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ED4" w:rsidP="00681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FWPCOT3205 Dress boards using multi-headed machines</w:t>
      </w:r>
      <w:r>
        <w:fldChar w:fldCharType="end"/>
      </w:r>
    </w:p>
    <w:p w:rsidR="00681ED4" w:rsidP="00681ED4">
      <w:pPr>
        <w:pStyle w:val="Version"/>
        <w:sectPr w:rsidSect="000141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12E" w:rsidP="0001412E">
      <w:pPr>
        <w:pStyle w:val="SuperHeading"/>
      </w:pPr>
      <w:r w:rsidRPr="0001412E">
        <w:t>FWPCOT3205 Dress boards using multi-headed machines</w:t>
      </w:r>
    </w:p>
    <w:p w:rsidR="00000000" w:rsidRPr="0001412E" w:rsidP="0001412E">
      <w:pPr>
        <w:pStyle w:val="Heading1"/>
      </w:pPr>
      <w:bookmarkStart w:id="1" w:name="O_911387"/>
      <w:bookmarkEnd w:id="1"/>
      <w:r w:rsidRPr="0001412E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01412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2E" w:rsidP="0001412E">
            <w:pPr>
              <w:pStyle w:val="BodyText"/>
            </w:pPr>
            <w:r w:rsidRPr="0001412E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2E">
            <w:pPr>
              <w:pStyle w:val="BodyText"/>
              <w:rPr>
                <w:lang w:val="en-NZ"/>
              </w:rPr>
            </w:pPr>
            <w:r w:rsidRPr="0001412E">
              <w:rPr>
                <w:rStyle w:val="SpecialBold"/>
              </w:rPr>
              <w:t>Comment</w:t>
            </w:r>
          </w:p>
        </w:tc>
      </w:tr>
      <w:tr w:rsidTr="0001412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2E">
            <w:pPr>
              <w:pStyle w:val="BodyText"/>
              <w:rPr>
                <w:lang w:val="en-NZ"/>
              </w:rPr>
            </w:pPr>
            <w:r w:rsidRPr="0001412E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2E" w:rsidP="0001412E">
            <w:pPr>
              <w:pStyle w:val="BodyText"/>
            </w:pPr>
            <w:r w:rsidRPr="0001412E">
              <w:t>Replaces equivalent unit FPICOT3205B Dress boards using multi-headed machines, which was first released with FPI11 Forest and Forest Products Training Package Version 2.2.</w:t>
            </w:r>
          </w:p>
          <w:p w:rsidR="00000000" w:rsidRPr="0001412E" w:rsidP="0001412E">
            <w:pPr>
              <w:pStyle w:val="BodyText"/>
            </w:pPr>
            <w:r w:rsidRPr="0001412E">
              <w:t>This is the first release of this un</w:t>
            </w:r>
            <w:r w:rsidRPr="0001412E">
              <w:t>it in the new standards format.</w:t>
            </w:r>
          </w:p>
        </w:tc>
      </w:tr>
    </w:tbl>
    <w:p w:rsidR="00000000" w:rsidRPr="0001412E" w:rsidP="0001412E">
      <w:pPr>
        <w:pStyle w:val="BodyText"/>
      </w:pPr>
    </w:p>
    <w:p w:rsidR="00000000" w:rsidRPr="0001412E" w:rsidP="0001412E">
      <w:pPr>
        <w:pStyle w:val="AllowPageBreak"/>
      </w:pPr>
    </w:p>
    <w:p w:rsidR="00000000" w:rsidRPr="0001412E" w:rsidP="0001412E">
      <w:pPr>
        <w:pStyle w:val="Heading1"/>
      </w:pPr>
      <w:bookmarkStart w:id="2" w:name="O_911388"/>
      <w:bookmarkEnd w:id="2"/>
      <w:r w:rsidRPr="0001412E">
        <w:t>Application</w:t>
      </w:r>
    </w:p>
    <w:p w:rsidR="00000000" w:rsidRPr="0001412E" w:rsidP="0001412E">
      <w:pPr>
        <w:pStyle w:val="BodyText"/>
      </w:pPr>
      <w:r w:rsidRPr="0001412E">
        <w:t>This unit of competency describes the outcomes required to set-up, operate and adjust multi-headed machines to dress boards and involves evaluating and monitoring dressing conditions and proces</w:t>
      </w:r>
      <w:r w:rsidRPr="0001412E">
        <w:t>ses. Work is completed in a forest products factory setting and includes operator maintenance.</w:t>
      </w:r>
    </w:p>
    <w:p w:rsidR="00000000" w:rsidRPr="0001412E" w:rsidP="0001412E">
      <w:pPr>
        <w:pStyle w:val="BodyText"/>
      </w:pPr>
      <w:r w:rsidRPr="0001412E">
        <w:t>The unit applies to operators of multi-headed machines for dressing timber boards in a wood products factory setting and includes operator maintenance.</w:t>
      </w:r>
    </w:p>
    <w:p w:rsidR="00000000" w:rsidRPr="0001412E" w:rsidP="0001412E">
      <w:pPr>
        <w:pStyle w:val="BodyText"/>
      </w:pPr>
      <w:r w:rsidRPr="0001412E">
        <w:t>No licens</w:t>
      </w:r>
      <w:r w:rsidRPr="0001412E">
        <w:t>ing, legislative, regulatory, or certification requirements apply to this unit at the time of publication.</w:t>
      </w:r>
    </w:p>
    <w:p w:rsidR="00000000" w:rsidRPr="0001412E" w:rsidP="0001412E">
      <w:pPr>
        <w:pStyle w:val="AllowPageBreak"/>
      </w:pPr>
    </w:p>
    <w:p w:rsidR="00000000" w:rsidRPr="0001412E" w:rsidP="0001412E">
      <w:pPr>
        <w:pStyle w:val="Heading1"/>
      </w:pPr>
      <w:bookmarkStart w:id="3" w:name="O_911389"/>
      <w:bookmarkEnd w:id="3"/>
      <w:r w:rsidRPr="0001412E">
        <w:t>Pre-requisite Unit</w:t>
      </w:r>
    </w:p>
    <w:p w:rsidR="00000000" w:rsidRPr="0001412E" w:rsidP="0001412E">
      <w:pPr>
        <w:pStyle w:val="BodyText"/>
      </w:pPr>
      <w:r w:rsidRPr="0001412E">
        <w:t>Nil</w:t>
      </w:r>
    </w:p>
    <w:p w:rsidR="00000000" w:rsidRPr="0001412E" w:rsidP="0001412E">
      <w:pPr>
        <w:pStyle w:val="AllowPageBreak"/>
      </w:pPr>
    </w:p>
    <w:p w:rsidR="00000000" w:rsidRPr="0001412E" w:rsidP="0001412E">
      <w:pPr>
        <w:pStyle w:val="Heading1"/>
      </w:pPr>
      <w:bookmarkStart w:id="4" w:name="O_911391"/>
      <w:bookmarkEnd w:id="4"/>
      <w:r w:rsidRPr="0001412E">
        <w:t>Unit Sector</w:t>
      </w:r>
    </w:p>
    <w:p w:rsidR="00000000" w:rsidRPr="0001412E" w:rsidP="0001412E">
      <w:pPr>
        <w:pStyle w:val="BodyText"/>
      </w:pPr>
      <w:r w:rsidRPr="0001412E">
        <w:t>Timber Manufactured Products</w:t>
      </w:r>
    </w:p>
    <w:p w:rsidR="00000000" w:rsidRPr="0001412E" w:rsidP="0001412E">
      <w:pPr>
        <w:pStyle w:val="BodyText"/>
      </w:pPr>
      <w:r w:rsidRPr="0001412E">
        <w:t>Wood Panel and Board Production</w:t>
      </w:r>
    </w:p>
    <w:p w:rsidR="00000000" w:rsidRPr="0001412E" w:rsidP="0001412E">
      <w:pPr>
        <w:pStyle w:val="BodyText"/>
      </w:pPr>
      <w:r w:rsidRPr="0001412E">
        <w:t>Sawmilling and Processing</w:t>
      </w:r>
    </w:p>
    <w:p w:rsidR="00000000" w:rsidRPr="0001412E" w:rsidP="0001412E">
      <w:pPr>
        <w:pStyle w:val="AllowPageBreak"/>
      </w:pPr>
    </w:p>
    <w:p w:rsidR="00000000" w:rsidRPr="0001412E" w:rsidP="0001412E">
      <w:pPr>
        <w:pStyle w:val="Heading1"/>
      </w:pPr>
      <w:bookmarkStart w:id="5" w:name="O_911392"/>
      <w:bookmarkEnd w:id="5"/>
      <w:r w:rsidRPr="0001412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0"/>
        <w:gridCol w:w="7056"/>
      </w:tblGrid>
      <w:tr w:rsidTr="00681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2E" w:rsidP="0001412E">
            <w:pPr>
              <w:pStyle w:val="BodyText"/>
            </w:pPr>
            <w:r w:rsidRPr="0001412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2E">
            <w:pPr>
              <w:pStyle w:val="BodyText"/>
              <w:rPr>
                <w:lang w:val="en-NZ"/>
              </w:rPr>
            </w:pPr>
            <w:r w:rsidRPr="0001412E">
              <w:rPr>
                <w:rStyle w:val="Emphasis"/>
              </w:rPr>
              <w:t>Performance criteria describe the performance needed to demonstrate achievement of the element. Where bold italicised text is used, furth</w:t>
            </w:r>
            <w:r w:rsidRPr="0001412E">
              <w:rPr>
                <w:rStyle w:val="Emphasis"/>
              </w:rPr>
              <w:t>er information is detailed in the range of conditions.</w:t>
            </w:r>
          </w:p>
        </w:tc>
      </w:tr>
      <w:tr w:rsidTr="00681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2E">
            <w:pPr>
              <w:pStyle w:val="BodyText"/>
              <w:rPr>
                <w:lang w:val="en-NZ"/>
              </w:rPr>
            </w:pPr>
            <w:r w:rsidRPr="0001412E">
              <w:t>1. Plan dressing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2E" w:rsidP="0001412E">
            <w:pPr>
              <w:pStyle w:val="BodyText"/>
            </w:pPr>
            <w:r w:rsidRPr="0001412E">
              <w:t>1.1 Review work order and where required check with appropriate personnel.</w:t>
            </w:r>
          </w:p>
          <w:p w:rsidR="00000000" w:rsidRPr="0001412E" w:rsidP="0001412E">
            <w:pPr>
              <w:pStyle w:val="BodyText"/>
            </w:pPr>
            <w:r w:rsidRPr="0001412E">
              <w:t>1.2 Select appropriate personal protective and other equipment and check for operational effectivene</w:t>
            </w:r>
            <w:r w:rsidRPr="0001412E">
              <w:t>ss.</w:t>
            </w:r>
          </w:p>
          <w:p w:rsidR="00000000" w:rsidRPr="0001412E" w:rsidP="0001412E">
            <w:pPr>
              <w:pStyle w:val="BodyText"/>
            </w:pPr>
            <w:r w:rsidRPr="0001412E">
              <w:t>1.3 Identify sizes and quantities for dressed boards, assess available sawn boards and estimate material removal rates.</w:t>
            </w:r>
          </w:p>
          <w:p w:rsidR="00000000" w:rsidP="0001412E">
            <w:pPr>
              <w:pStyle w:val="BodyText"/>
              <w:rPr>
                <w:lang w:val="en-NZ"/>
              </w:rPr>
            </w:pPr>
            <w:r w:rsidRPr="0001412E">
              <w:t>1.4 Plan dressing operation and processing sizes in line with work order.</w:t>
            </w:r>
          </w:p>
        </w:tc>
      </w:tr>
      <w:tr w:rsidTr="00681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2E">
            <w:pPr>
              <w:pStyle w:val="BodyText"/>
              <w:rPr>
                <w:lang w:val="en-NZ"/>
              </w:rPr>
            </w:pPr>
            <w:r w:rsidRPr="0001412E">
              <w:t>2. Set up cutters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2E" w:rsidP="0001412E">
            <w:pPr>
              <w:pStyle w:val="BodyText"/>
            </w:pPr>
            <w:r w:rsidRPr="0001412E">
              <w:t>2.1 Use equipment in line with organisational safety procedures, manufacturer’s instructions and environmental protection practices.</w:t>
            </w:r>
          </w:p>
          <w:p w:rsidR="00000000" w:rsidRPr="0001412E" w:rsidP="0001412E">
            <w:pPr>
              <w:pStyle w:val="BodyText"/>
            </w:pPr>
            <w:r w:rsidRPr="0001412E">
              <w:t>2.2 Lock-out equipment, set and adjust cutters, feeders, guides and conveyors to suit required dressed product dimensions a</w:t>
            </w:r>
            <w:r w:rsidRPr="0001412E">
              <w:t>nd available sawn material.</w:t>
            </w:r>
          </w:p>
          <w:p w:rsidR="00000000" w:rsidRPr="0001412E" w:rsidP="0001412E">
            <w:pPr>
              <w:pStyle w:val="BodyText"/>
            </w:pPr>
            <w:r w:rsidRPr="0001412E">
              <w:t>2.3 Complete trial run to check equipment operation, accuracy and quality and dimensions of finished work.</w:t>
            </w:r>
          </w:p>
          <w:p w:rsidR="00000000" w:rsidRPr="0001412E" w:rsidP="0001412E">
            <w:pPr>
              <w:pStyle w:val="BodyText"/>
            </w:pPr>
            <w:r w:rsidRPr="0001412E">
              <w:t>2.4 Accept or reject trialled material and dispose of in line with environmental protection practices.</w:t>
            </w:r>
          </w:p>
          <w:p w:rsidR="00000000" w:rsidP="0001412E">
            <w:pPr>
              <w:pStyle w:val="BodyText"/>
              <w:rPr>
                <w:lang w:val="en-NZ"/>
              </w:rPr>
            </w:pPr>
            <w:r w:rsidRPr="0001412E">
              <w:t>2.5 Adjust equipme</w:t>
            </w:r>
            <w:r w:rsidRPr="0001412E">
              <w:t>nt settings as necessary.</w:t>
            </w:r>
          </w:p>
        </w:tc>
      </w:tr>
      <w:tr w:rsidTr="00681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2E">
            <w:pPr>
              <w:pStyle w:val="BodyText"/>
              <w:rPr>
                <w:lang w:val="en-NZ"/>
              </w:rPr>
            </w:pPr>
            <w:r w:rsidRPr="0001412E">
              <w:t>3. Dress boards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2E" w:rsidP="0001412E">
            <w:pPr>
              <w:pStyle w:val="BodyText"/>
            </w:pPr>
            <w:r w:rsidRPr="0001412E">
              <w:t>3.1 Select and follow cutting sequence to maximise volume recovery and produce required dimensions and quantity.</w:t>
            </w:r>
          </w:p>
          <w:p w:rsidR="00000000" w:rsidRPr="0001412E" w:rsidP="0001412E">
            <w:pPr>
              <w:pStyle w:val="BodyText"/>
            </w:pPr>
            <w:r w:rsidRPr="0001412E">
              <w:t>3.2 Maintain feed rate appropriate to timber condition and board size.</w:t>
            </w:r>
          </w:p>
          <w:p w:rsidR="00000000" w:rsidRPr="0001412E" w:rsidP="0001412E">
            <w:pPr>
              <w:pStyle w:val="BodyText"/>
            </w:pPr>
            <w:r w:rsidRPr="0001412E">
              <w:t>3.3 Assess dressing condition</w:t>
            </w:r>
            <w:r w:rsidRPr="0001412E">
              <w:t>s regularly to ensure continuity of supply and processing.</w:t>
            </w:r>
          </w:p>
          <w:p w:rsidR="00000000" w:rsidRPr="0001412E" w:rsidP="0001412E">
            <w:pPr>
              <w:pStyle w:val="BodyText"/>
            </w:pPr>
            <w:r w:rsidRPr="0001412E">
              <w:t>3.4 Adjust conditions to optimise feed rate and maintain finished dimensions in line with work order.</w:t>
            </w:r>
          </w:p>
          <w:p w:rsidR="00000000" w:rsidRPr="0001412E" w:rsidP="0001412E">
            <w:pPr>
              <w:pStyle w:val="BodyText"/>
            </w:pPr>
            <w:r w:rsidRPr="0001412E">
              <w:t>3.5 Regularly evaluate finish and measure dressed board dimensions and make adjustments to ensu</w:t>
            </w:r>
            <w:r w:rsidRPr="0001412E">
              <w:t>re product quality and required dimensions.</w:t>
            </w:r>
          </w:p>
          <w:p w:rsidR="00000000" w:rsidP="0001412E">
            <w:pPr>
              <w:pStyle w:val="BodyText"/>
              <w:rPr>
                <w:lang w:val="en-NZ"/>
              </w:rPr>
            </w:pPr>
            <w:r w:rsidRPr="0001412E">
              <w:t>3.6 Dispose of incorrect cuts, off cuts and defective material in line with environmental protection practices.</w:t>
            </w:r>
          </w:p>
        </w:tc>
      </w:tr>
      <w:tr w:rsidTr="00681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2E">
            <w:pPr>
              <w:pStyle w:val="BodyText"/>
              <w:rPr>
                <w:lang w:val="en-NZ"/>
              </w:rPr>
            </w:pPr>
            <w:r w:rsidRPr="0001412E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2E" w:rsidP="0001412E">
            <w:pPr>
              <w:pStyle w:val="BodyText"/>
            </w:pPr>
            <w:r w:rsidRPr="0001412E">
              <w:t>4.1 Follow organisational safety procedures to lock out equipment.</w:t>
            </w:r>
          </w:p>
          <w:p w:rsidR="00000000" w:rsidRPr="0001412E" w:rsidP="0001412E">
            <w:pPr>
              <w:pStyle w:val="BodyText"/>
            </w:pPr>
            <w:r w:rsidRPr="0001412E">
              <w:t>4.2 Check cutter for bluntness or damage.</w:t>
            </w:r>
          </w:p>
          <w:p w:rsidR="00000000" w:rsidRPr="0001412E" w:rsidP="0001412E">
            <w:pPr>
              <w:pStyle w:val="BodyText"/>
            </w:pPr>
            <w:r w:rsidRPr="0001412E">
              <w:t>4.3 Remove and replace cutters and blades in line with manufacturer’s recommendations.</w:t>
            </w:r>
          </w:p>
          <w:p w:rsidR="00000000" w:rsidRPr="0001412E" w:rsidP="0001412E">
            <w:pPr>
              <w:pStyle w:val="BodyText"/>
            </w:pPr>
            <w:r w:rsidRPr="0001412E">
              <w:t>4.4 Dispose of used cutters in line with environmental protection practices.</w:t>
            </w:r>
          </w:p>
          <w:p w:rsidR="00000000" w:rsidRPr="0001412E" w:rsidP="0001412E">
            <w:pPr>
              <w:pStyle w:val="BodyText"/>
            </w:pPr>
            <w:r w:rsidRPr="0001412E">
              <w:t>4.5 Keep machine area clear of dust and debris in</w:t>
            </w:r>
            <w:r w:rsidRPr="0001412E">
              <w:t xml:space="preserve"> line with organisational safety procedures.</w:t>
            </w:r>
          </w:p>
          <w:p w:rsidR="00000000" w:rsidRPr="0001412E" w:rsidP="0001412E">
            <w:pPr>
              <w:pStyle w:val="BodyText"/>
            </w:pPr>
            <w:r w:rsidRPr="0001412E">
              <w:t>4.6 Record and report production outcomes, equipment faults and maintenance requirements to appropriate personnel.</w:t>
            </w:r>
          </w:p>
        </w:tc>
      </w:tr>
    </w:tbl>
    <w:p w:rsidR="00681ED4" w:rsidP="0001412E">
      <w:pPr>
        <w:pStyle w:val="BodyText"/>
      </w:pPr>
    </w:p>
    <w:p w:rsidR="00681ED4" w:rsidP="0001412E">
      <w:pPr>
        <w:pStyle w:val="BodyText"/>
      </w:pPr>
    </w:p>
    <w:p w:rsidR="00000000" w:rsidRPr="0001412E" w:rsidP="0001412E">
      <w:pPr>
        <w:pStyle w:val="Heading1"/>
      </w:pPr>
      <w:bookmarkStart w:id="6" w:name="O_911393"/>
      <w:bookmarkEnd w:id="6"/>
      <w:r w:rsidRPr="0001412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681E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2E">
            <w:pPr>
              <w:pStyle w:val="BodyText"/>
              <w:rPr>
                <w:lang w:val="en-NZ"/>
              </w:rPr>
            </w:pPr>
            <w:r w:rsidRPr="0001412E">
              <w:t>This section describes those core and employment skills that are essential to performance and are not explicit in the performance criteria.</w:t>
            </w:r>
          </w:p>
        </w:tc>
      </w:tr>
      <w:tr w:rsidTr="00681E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2E">
            <w:pPr>
              <w:pStyle w:val="BodyText"/>
              <w:rPr>
                <w:lang w:val="en-NZ"/>
              </w:rPr>
            </w:pPr>
            <w:r w:rsidRPr="0001412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2E" w:rsidP="0001412E">
            <w:pPr>
              <w:pStyle w:val="ListBullet"/>
            </w:pPr>
            <w:r w:rsidRPr="0001412E">
              <w:t>identify quantities of required material within work orders and count numbers of boards</w:t>
            </w:r>
          </w:p>
          <w:p w:rsidR="00000000" w:rsidRPr="0001412E" w:rsidP="0001412E">
            <w:pPr>
              <w:pStyle w:val="ListBullet"/>
            </w:pPr>
            <w:r w:rsidRPr="0001412E">
              <w:t>interpret order sizes and set up equipment to achieve correct dimensions</w:t>
            </w:r>
          </w:p>
          <w:p w:rsidR="00000000" w:rsidRPr="0001412E" w:rsidP="0001412E">
            <w:pPr>
              <w:pStyle w:val="ListBullet"/>
            </w:pPr>
            <w:r w:rsidRPr="0001412E">
              <w:t>calculate the feed rate to optimise quality and quantity of production output</w:t>
            </w:r>
          </w:p>
          <w:p w:rsidR="00000000" w:rsidP="0001412E">
            <w:pPr>
              <w:pStyle w:val="ListBullet"/>
              <w:rPr>
                <w:lang w:val="en-NZ"/>
              </w:rPr>
            </w:pPr>
            <w:r w:rsidRPr="0001412E">
              <w:t>measure finished dimensions against specifications and allowable tolerances.</w:t>
            </w:r>
          </w:p>
        </w:tc>
      </w:tr>
      <w:tr w:rsidTr="00681E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2E">
            <w:pPr>
              <w:pStyle w:val="BodyText"/>
              <w:rPr>
                <w:lang w:val="en-NZ"/>
              </w:rPr>
            </w:pPr>
            <w:r w:rsidRPr="0001412E">
              <w:t>Oral communication skills t</w:t>
            </w:r>
            <w:r w:rsidRPr="0001412E">
              <w:t>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2E">
            <w:pPr>
              <w:pStyle w:val="ListBullet"/>
              <w:rPr>
                <w:lang w:val="en-NZ"/>
              </w:rPr>
            </w:pPr>
            <w:r w:rsidRPr="0001412E">
              <w:t>ask questions and actively listen to clarify contents of work orders.</w:t>
            </w:r>
          </w:p>
        </w:tc>
      </w:tr>
      <w:tr w:rsidTr="00681E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2E">
            <w:pPr>
              <w:pStyle w:val="BodyText"/>
              <w:rPr>
                <w:lang w:val="en-NZ"/>
              </w:rPr>
            </w:pPr>
            <w:r w:rsidRPr="0001412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2E" w:rsidP="0001412E">
            <w:pPr>
              <w:pStyle w:val="ListBullet"/>
            </w:pPr>
            <w:r w:rsidRPr="0001412E">
              <w:t>interpret:</w:t>
            </w:r>
          </w:p>
          <w:p w:rsidR="00000000" w:rsidRPr="0001412E" w:rsidP="0001412E">
            <w:pPr>
              <w:pStyle w:val="ListBullet2"/>
            </w:pPr>
            <w:r w:rsidRPr="0001412E">
              <w:t>workplace health and safety and other organisational procedures</w:t>
            </w:r>
          </w:p>
          <w:p w:rsidR="00000000" w:rsidRPr="0001412E" w:rsidP="0001412E">
            <w:pPr>
              <w:pStyle w:val="ListBullet2"/>
            </w:pPr>
            <w:r w:rsidRPr="0001412E">
              <w:t>work orders</w:t>
            </w:r>
          </w:p>
          <w:p w:rsidR="00000000" w:rsidP="0001412E">
            <w:pPr>
              <w:pStyle w:val="ListBullet2"/>
              <w:rPr>
                <w:lang w:val="en-NZ"/>
              </w:rPr>
            </w:pPr>
            <w:r w:rsidRPr="0001412E">
              <w:t>manufacturers’ instructions and maintenance recommendations.</w:t>
            </w:r>
          </w:p>
        </w:tc>
      </w:tr>
      <w:tr w:rsidTr="00681E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2E">
            <w:pPr>
              <w:pStyle w:val="BodyText"/>
              <w:rPr>
                <w:lang w:val="en-NZ"/>
              </w:rPr>
            </w:pPr>
            <w:r w:rsidRPr="0001412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2E">
            <w:pPr>
              <w:pStyle w:val="ListBullet"/>
              <w:rPr>
                <w:lang w:val="en-NZ"/>
              </w:rPr>
            </w:pPr>
            <w:r w:rsidRPr="0001412E">
              <w:t>complete accurate basic records for production outcomes, equipment faults and maintenance requirements.</w:t>
            </w:r>
          </w:p>
        </w:tc>
      </w:tr>
      <w:tr w:rsidTr="00681E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2E">
            <w:pPr>
              <w:pStyle w:val="BodyText"/>
              <w:rPr>
                <w:lang w:val="en-NZ"/>
              </w:rPr>
            </w:pPr>
            <w:r w:rsidRPr="0001412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2E" w:rsidP="0001412E">
            <w:pPr>
              <w:pStyle w:val="ListBullet"/>
            </w:pPr>
            <w:r w:rsidRPr="0001412E">
              <w:t xml:space="preserve">efficiently and logically sequence the stages of preparation and production </w:t>
            </w:r>
            <w:r w:rsidRPr="0001412E">
              <w:t>using work order to guide activities.</w:t>
            </w:r>
          </w:p>
        </w:tc>
      </w:tr>
    </w:tbl>
    <w:p w:rsidR="00000000" w:rsidRPr="0001412E" w:rsidP="0001412E">
      <w:pPr>
        <w:pStyle w:val="BodyText"/>
      </w:pPr>
    </w:p>
    <w:p w:rsidR="00000000" w:rsidRPr="0001412E" w:rsidP="0001412E">
      <w:pPr>
        <w:pStyle w:val="AllowPageBreak"/>
      </w:pPr>
    </w:p>
    <w:p w:rsidR="00000000" w:rsidRPr="0001412E" w:rsidP="0001412E">
      <w:pPr>
        <w:pStyle w:val="Heading1"/>
      </w:pPr>
      <w:bookmarkStart w:id="7" w:name="O_911394"/>
      <w:bookmarkEnd w:id="7"/>
      <w:r w:rsidRPr="0001412E">
        <w:t>Range of Conditions</w:t>
      </w:r>
    </w:p>
    <w:p w:rsidR="00000000" w:rsidRPr="0001412E" w:rsidP="0001412E">
      <w:pPr>
        <w:pStyle w:val="BodyText"/>
      </w:pPr>
      <w:r w:rsidRPr="0001412E">
        <w:t>Not Applicable</w:t>
      </w:r>
    </w:p>
    <w:p w:rsidR="00000000" w:rsidRPr="0001412E" w:rsidP="0001412E">
      <w:pPr>
        <w:pStyle w:val="AllowPageBreak"/>
      </w:pPr>
    </w:p>
    <w:p w:rsidR="00000000" w:rsidRPr="0001412E" w:rsidP="0001412E">
      <w:pPr>
        <w:pStyle w:val="Heading1"/>
      </w:pPr>
      <w:bookmarkStart w:id="8" w:name="O_911395"/>
      <w:bookmarkEnd w:id="8"/>
      <w:r w:rsidRPr="0001412E">
        <w:t>Unit Mapping Information</w:t>
      </w:r>
    </w:p>
    <w:p w:rsidR="00000000" w:rsidRPr="0001412E" w:rsidP="0001412E">
      <w:pPr>
        <w:pStyle w:val="BodyText"/>
      </w:pPr>
      <w:r w:rsidRPr="0001412E">
        <w:t>FPICOT3205B Dress boards using multi-headed machines</w:t>
      </w:r>
    </w:p>
    <w:p w:rsidR="00000000" w:rsidRPr="0001412E" w:rsidP="0001412E">
      <w:pPr>
        <w:pStyle w:val="AllowPageBreak"/>
      </w:pPr>
    </w:p>
    <w:p w:rsidR="00000000" w:rsidRPr="0001412E" w:rsidP="0001412E">
      <w:pPr>
        <w:pStyle w:val="Heading1"/>
      </w:pPr>
      <w:bookmarkStart w:id="9" w:name="O_911402"/>
      <w:bookmarkEnd w:id="9"/>
      <w:r w:rsidRPr="0001412E">
        <w:t>Links</w:t>
      </w:r>
    </w:p>
    <w:p w:rsidR="00000000" w:rsidRPr="0001412E" w:rsidP="0001412E">
      <w:pPr>
        <w:pStyle w:val="BodyText"/>
      </w:pPr>
      <w:r w:rsidRPr="0001412E">
        <w:t>Companion Volume implementation guides are found in VETNet - https://vetnet.education.gov.au/Pages/TrainingDocs.aspx?q=0d96fe23-5747-4c01-9d6f-3509ff8d3d47</w:t>
      </w:r>
    </w:p>
    <w:p w:rsidR="00000000" w:rsidRPr="0001412E" w:rsidP="0001412E"/>
    <w:sectPr w:rsidSect="000141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2E" w:rsidRPr="00681ED4" w:rsidP="00681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D4" w:rsidP="000141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1ED4" w:rsidP="000141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1ED4" w:rsidP="000141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12E" w:rsidRPr="00681ED4" w:rsidP="00681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D4" w:rsidRPr="002D2AF8" w:rsidP="000141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FWPCOT3205 Dress boards using multi-headed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681ED4" w:rsidP="000141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1E1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8EF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E6E6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1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1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1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1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1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1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1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1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1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1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1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12E"/>
  </w:style>
  <w:style w:type="character" w:customStyle="1" w:styleId="Heading1Char">
    <w:name w:val="Heading 1 Char"/>
    <w:basedOn w:val="DefaultParagraphFont"/>
    <w:link w:val="Heading1"/>
    <w:rsid w:val="000141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1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1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12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412E"/>
    <w:rPr>
      <w:b/>
      <w:spacing w:val="0"/>
    </w:rPr>
  </w:style>
  <w:style w:type="paragraph" w:styleId="ListBullet2">
    <w:name w:val="List Bullet 2"/>
    <w:basedOn w:val="List2"/>
    <w:rsid w:val="0001412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412E"/>
    <w:rPr>
      <w:i/>
    </w:rPr>
  </w:style>
  <w:style w:type="paragraph" w:customStyle="1" w:styleId="SuperHeading">
    <w:name w:val="SuperHeading"/>
    <w:basedOn w:val="Normal"/>
    <w:rsid w:val="000141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1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1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1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1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1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1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1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1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1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1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1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1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1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1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1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1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1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41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1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1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41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1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1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1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1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1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1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1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1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41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1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1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12E"/>
  </w:style>
  <w:style w:type="paragraph" w:styleId="TableofFigures">
    <w:name w:val="table of figures"/>
    <w:basedOn w:val="Normal"/>
    <w:next w:val="Normal"/>
    <w:semiHidden/>
    <w:rsid w:val="000141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12E"/>
    <w:pPr>
      <w:numPr>
        <w:numId w:val="11"/>
      </w:numPr>
    </w:pPr>
  </w:style>
  <w:style w:type="character" w:customStyle="1" w:styleId="WingdingSymbols">
    <w:name w:val="Wingding Symbols"/>
    <w:rsid w:val="0001412E"/>
    <w:rPr>
      <w:rFonts w:ascii="Wingdings" w:hAnsi="Wingdings"/>
    </w:rPr>
  </w:style>
  <w:style w:type="paragraph" w:customStyle="1" w:styleId="TableHeading">
    <w:name w:val="Table Heading"/>
    <w:basedOn w:val="HeadingBase"/>
    <w:rsid w:val="000141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12E"/>
    <w:rPr>
      <w:color w:val="0033CC"/>
      <w:u w:val="none"/>
    </w:rPr>
  </w:style>
  <w:style w:type="paragraph" w:customStyle="1" w:styleId="BodyTextRight">
    <w:name w:val="Body Text Right"/>
    <w:basedOn w:val="BodyText"/>
    <w:rsid w:val="000141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1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1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1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1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1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12E"/>
    <w:rPr>
      <w:sz w:val="32"/>
    </w:rPr>
  </w:style>
  <w:style w:type="paragraph" w:customStyle="1" w:styleId="HeadingProcedure">
    <w:name w:val="Heading Procedure"/>
    <w:basedOn w:val="HeadingBase"/>
    <w:next w:val="Normal"/>
    <w:rsid w:val="000141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12E"/>
    <w:pPr>
      <w:spacing w:before="60" w:after="60"/>
    </w:pPr>
  </w:style>
  <w:style w:type="paragraph" w:styleId="ListContinue">
    <w:name w:val="List Continue"/>
    <w:basedOn w:val="List"/>
    <w:rsid w:val="0001412E"/>
    <w:pPr>
      <w:ind w:firstLine="0"/>
    </w:pPr>
  </w:style>
  <w:style w:type="paragraph" w:customStyle="1" w:styleId="ListNote">
    <w:name w:val="List Note"/>
    <w:basedOn w:val="List"/>
    <w:rsid w:val="000141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1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1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12E"/>
    <w:rPr>
      <w:rFonts w:ascii="Courier New" w:hAnsi="Courier New"/>
    </w:rPr>
  </w:style>
  <w:style w:type="paragraph" w:customStyle="1" w:styleId="NoteBullet">
    <w:name w:val="Note Bullet"/>
    <w:basedOn w:val="Note"/>
    <w:rsid w:val="000141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1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1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1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1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41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1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12E"/>
    <w:rPr>
      <w:b/>
      <w:smallCaps/>
    </w:rPr>
  </w:style>
  <w:style w:type="paragraph" w:customStyle="1" w:styleId="TableListNumber">
    <w:name w:val="Table List Number"/>
    <w:basedOn w:val="ListNumber"/>
    <w:rsid w:val="000141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1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12E"/>
    <w:pPr>
      <w:numPr>
        <w:numId w:val="9"/>
      </w:numPr>
    </w:pPr>
  </w:style>
  <w:style w:type="paragraph" w:customStyle="1" w:styleId="ListAlpha2">
    <w:name w:val="List Alpha 2"/>
    <w:basedOn w:val="List2"/>
    <w:rsid w:val="0001412E"/>
    <w:pPr>
      <w:numPr>
        <w:numId w:val="8"/>
      </w:numPr>
    </w:pPr>
  </w:style>
  <w:style w:type="paragraph" w:styleId="List2">
    <w:name w:val="List 2"/>
    <w:basedOn w:val="BodyText"/>
    <w:rsid w:val="000141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1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1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1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12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1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412E"/>
    <w:pPr>
      <w:numPr>
        <w:numId w:val="4"/>
      </w:numPr>
    </w:pPr>
  </w:style>
  <w:style w:type="paragraph" w:styleId="ListContinue2">
    <w:name w:val="List Continue 2"/>
    <w:basedOn w:val="List2"/>
    <w:rsid w:val="0001412E"/>
    <w:pPr>
      <w:ind w:firstLine="0"/>
    </w:pPr>
  </w:style>
  <w:style w:type="paragraph" w:styleId="ListContinue3">
    <w:name w:val="List Continue 3"/>
    <w:basedOn w:val="List3"/>
    <w:rsid w:val="0001412E"/>
    <w:pPr>
      <w:ind w:left="1021" w:firstLine="0"/>
    </w:pPr>
  </w:style>
  <w:style w:type="paragraph" w:styleId="ListContinue4">
    <w:name w:val="List Continue 4"/>
    <w:basedOn w:val="List4"/>
    <w:rsid w:val="0001412E"/>
    <w:pPr>
      <w:ind w:firstLine="0"/>
    </w:pPr>
  </w:style>
  <w:style w:type="paragraph" w:styleId="ListContinue5">
    <w:name w:val="List Continue 5"/>
    <w:basedOn w:val="List5"/>
    <w:rsid w:val="0001412E"/>
    <w:pPr>
      <w:ind w:firstLine="0"/>
    </w:pPr>
  </w:style>
  <w:style w:type="paragraph" w:styleId="ListNumber3">
    <w:name w:val="List Number 3"/>
    <w:basedOn w:val="List3"/>
    <w:rsid w:val="0001412E"/>
    <w:pPr>
      <w:numPr>
        <w:numId w:val="5"/>
      </w:numPr>
    </w:pPr>
  </w:style>
  <w:style w:type="paragraph" w:styleId="ListNumber4">
    <w:name w:val="List Number 4"/>
    <w:basedOn w:val="List4"/>
    <w:rsid w:val="0001412E"/>
    <w:pPr>
      <w:numPr>
        <w:numId w:val="6"/>
      </w:numPr>
    </w:pPr>
  </w:style>
  <w:style w:type="paragraph" w:styleId="ListNumber5">
    <w:name w:val="List Number 5"/>
    <w:basedOn w:val="List5"/>
    <w:rsid w:val="0001412E"/>
    <w:pPr>
      <w:numPr>
        <w:numId w:val="7"/>
      </w:numPr>
    </w:pPr>
  </w:style>
  <w:style w:type="paragraph" w:styleId="BlockText">
    <w:name w:val="Block Text"/>
    <w:basedOn w:val="Normal"/>
    <w:rsid w:val="000141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1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12E"/>
    <w:rPr>
      <w:sz w:val="16"/>
      <w:vertAlign w:val="superscript"/>
    </w:rPr>
  </w:style>
  <w:style w:type="character" w:customStyle="1" w:styleId="Symbols">
    <w:name w:val="Symbols"/>
    <w:basedOn w:val="DefaultParagraphFont"/>
    <w:rsid w:val="0001412E"/>
    <w:rPr>
      <w:rFonts w:ascii="Symbol" w:hAnsi="Symbol"/>
    </w:rPr>
  </w:style>
  <w:style w:type="character" w:customStyle="1" w:styleId="MenuOptions">
    <w:name w:val="Menu Options"/>
    <w:basedOn w:val="DefaultParagraphFont"/>
    <w:rsid w:val="000141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12E"/>
    <w:rPr>
      <w:b/>
    </w:rPr>
  </w:style>
  <w:style w:type="character" w:customStyle="1" w:styleId="Underlined">
    <w:name w:val="Underlined"/>
    <w:basedOn w:val="DefaultParagraphFont"/>
    <w:rsid w:val="0001412E"/>
    <w:rPr>
      <w:u w:val="single"/>
    </w:rPr>
  </w:style>
  <w:style w:type="paragraph" w:customStyle="1" w:styleId="TableBodyTextRight">
    <w:name w:val="Table Body Text Right"/>
    <w:basedOn w:val="TableBodyText"/>
    <w:rsid w:val="000141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12E"/>
    <w:rPr>
      <w:sz w:val="18"/>
    </w:rPr>
  </w:style>
  <w:style w:type="paragraph" w:customStyle="1" w:styleId="BodySmallRight">
    <w:name w:val="Body Small Right"/>
    <w:basedOn w:val="BodyTextRight"/>
    <w:rsid w:val="0001412E"/>
    <w:rPr>
      <w:sz w:val="18"/>
      <w:szCs w:val="18"/>
    </w:rPr>
  </w:style>
  <w:style w:type="paragraph" w:customStyle="1" w:styleId="MarginEdition">
    <w:name w:val="Margin Edition"/>
    <w:basedOn w:val="MarginNote"/>
    <w:rsid w:val="000141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12E"/>
    <w:rPr>
      <w:sz w:val="2"/>
      <w:szCs w:val="2"/>
    </w:rPr>
  </w:style>
  <w:style w:type="character" w:customStyle="1" w:styleId="Small">
    <w:name w:val="Small"/>
    <w:basedOn w:val="DefaultParagraphFont"/>
    <w:rsid w:val="0001412E"/>
    <w:rPr>
      <w:sz w:val="16"/>
    </w:rPr>
  </w:style>
  <w:style w:type="paragraph" w:customStyle="1" w:styleId="WideTable">
    <w:name w:val="Wide Table"/>
    <w:basedOn w:val="Normal"/>
    <w:rsid w:val="000141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12E"/>
  </w:style>
  <w:style w:type="paragraph" w:styleId="Quote">
    <w:name w:val="Quote"/>
    <w:basedOn w:val="Heading1"/>
    <w:link w:val="QuoteChar"/>
    <w:qFormat/>
    <w:rsid w:val="000141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1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12E"/>
    <w:pPr>
      <w:pageBreakBefore/>
    </w:pPr>
  </w:style>
  <w:style w:type="paragraph" w:customStyle="1" w:styleId="Border">
    <w:name w:val="Border"/>
    <w:basedOn w:val="Normal"/>
    <w:qFormat/>
    <w:rsid w:val="000141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1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1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1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1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1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1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1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1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12E"/>
    <w:rPr>
      <w:u w:val="single"/>
    </w:rPr>
  </w:style>
  <w:style w:type="character" w:customStyle="1" w:styleId="BoldandItalics">
    <w:name w:val="Bold and Italics"/>
    <w:qFormat/>
    <w:rsid w:val="0001412E"/>
    <w:rPr>
      <w:b/>
      <w:i/>
      <w:u w:val="none"/>
    </w:rPr>
  </w:style>
  <w:style w:type="paragraph" w:styleId="BalloonText">
    <w:name w:val="Balloon Text"/>
    <w:basedOn w:val="Normal"/>
    <w:link w:val="BalloonTextChar"/>
    <w:rsid w:val="00014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1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1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1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1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1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12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4131</Characters>
  <Application>Microsoft Office Word</Application>
  <DocSecurity>0</DocSecurity>
  <Lines>122</Lines>
  <Paragraphs>71</Paragraphs>
  <ScaleCrop>false</ScaleCrop>
  <Company>Author-it Software Corporation Ltd.</Company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FWPCOT3205 Dress boards using multi-headed machines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2018-02-21T03:30:00Z</dcterms:created>
  <dcterms:modified xsi:type="dcterms:W3CDTF">2018-02-21T03:30:00Z</dcterms:modified>
</cp:coreProperties>
</file>