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C20DE" w:rsidP="002C20D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FWPCOT2263 Cross cut materials with a fixed saw</w:t>
      </w:r>
      <w:r>
        <w:fldChar w:fldCharType="end"/>
      </w:r>
    </w:p>
    <w:p w:rsidR="002C20DE" w:rsidP="002C20DE">
      <w:pPr>
        <w:pStyle w:val="Version"/>
        <w:sectPr w:rsidSect="004211D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211DC" w:rsidP="004211DC">
      <w:pPr>
        <w:pStyle w:val="SuperHeading"/>
      </w:pPr>
      <w:r w:rsidRPr="004211DC">
        <w:t>Assessment Requirements for FWPCOT2263 Cross cut materials with a fixed saw</w:t>
      </w:r>
    </w:p>
    <w:p w:rsidR="00000000" w:rsidRPr="004211DC" w:rsidP="004211DC">
      <w:pPr>
        <w:pStyle w:val="Heading1"/>
      </w:pPr>
      <w:bookmarkStart w:id="1" w:name="O_1105150"/>
      <w:bookmarkEnd w:id="1"/>
      <w:r w:rsidRPr="004211D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211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DC">
            <w:pPr>
              <w:pStyle w:val="BodyTextBold"/>
              <w:rPr>
                <w:lang w:val="en-NZ"/>
              </w:rPr>
            </w:pPr>
            <w:r w:rsidRPr="004211D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DC">
            <w:pPr>
              <w:pStyle w:val="BodyTextBold"/>
              <w:rPr>
                <w:lang w:val="en-NZ"/>
              </w:rPr>
            </w:pPr>
            <w:r w:rsidRPr="004211DC">
              <w:t>Comments</w:t>
            </w:r>
          </w:p>
        </w:tc>
      </w:tr>
      <w:tr w:rsidTr="004211D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211DC">
            <w:pPr>
              <w:pStyle w:val="BodyText"/>
              <w:rPr>
                <w:lang w:val="en-NZ"/>
              </w:rPr>
            </w:pPr>
            <w:r w:rsidRPr="004211D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211DC" w:rsidP="004211DC">
            <w:pPr>
              <w:pStyle w:val="BodyText"/>
            </w:pPr>
            <w:r w:rsidRPr="004211DC">
              <w:t>This version released with FWP Forest and Wood Products Training Package Version 6.0.</w:t>
            </w:r>
          </w:p>
        </w:tc>
      </w:tr>
    </w:tbl>
    <w:p w:rsidR="00000000" w:rsidRPr="004211DC" w:rsidP="004211DC">
      <w:pPr>
        <w:pStyle w:val="BodyText"/>
      </w:pPr>
    </w:p>
    <w:p w:rsidR="00000000" w:rsidRPr="004211DC" w:rsidP="004211DC">
      <w:pPr>
        <w:pStyle w:val="AllowPageBreak"/>
      </w:pPr>
    </w:p>
    <w:p w:rsidR="00000000" w:rsidRPr="004211DC" w:rsidP="004211DC">
      <w:pPr>
        <w:pStyle w:val="Heading1"/>
      </w:pPr>
      <w:bookmarkStart w:id="2" w:name="O_1105151"/>
      <w:bookmarkEnd w:id="2"/>
      <w:r w:rsidRPr="004211DC">
        <w:t>Performance Evidence</w:t>
      </w:r>
    </w:p>
    <w:p w:rsidR="00000000" w:rsidRPr="004211DC" w:rsidP="002C20DE">
      <w:pPr>
        <w:pStyle w:val="BodyText"/>
      </w:pPr>
      <w:r w:rsidRPr="004211DC">
        <w:t>An individual demonstrating competency must satisfy all of the elements and performance criteria in this unit.</w:t>
      </w:r>
    </w:p>
    <w:p w:rsidR="00000000" w:rsidRPr="004211DC" w:rsidP="002C20DE">
      <w:pPr>
        <w:pStyle w:val="BodyText"/>
      </w:pPr>
      <w:r w:rsidRPr="004211DC">
        <w:t xml:space="preserve">There must be evidence that the individual has: </w:t>
      </w:r>
    </w:p>
    <w:p w:rsidR="00000000" w:rsidRPr="004211DC" w:rsidP="004211DC">
      <w:pPr>
        <w:pStyle w:val="ListBullet"/>
      </w:pPr>
      <w:r w:rsidRPr="004211DC">
        <w:t>assessed and used a fixed saw to cross cut:</w:t>
      </w:r>
    </w:p>
    <w:p w:rsidR="00000000" w:rsidRPr="004211DC" w:rsidP="004211DC">
      <w:pPr>
        <w:pStyle w:val="ListBullet2"/>
      </w:pPr>
      <w:r w:rsidRPr="004211DC">
        <w:t xml:space="preserve">twenty individual pieces of timber to industry standard lengths, maximising volume and quality of recovery material </w:t>
      </w:r>
    </w:p>
    <w:p w:rsidR="00000000" w:rsidRPr="004211DC" w:rsidP="004211DC">
      <w:pPr>
        <w:pStyle w:val="ListBullet2"/>
      </w:pPr>
      <w:r w:rsidRPr="004211DC">
        <w:t>ten packs of timber</w:t>
      </w:r>
    </w:p>
    <w:p w:rsidR="00000000" w:rsidRPr="004211DC" w:rsidP="004211DC">
      <w:pPr>
        <w:pStyle w:val="ListBullet"/>
      </w:pPr>
      <w:r w:rsidRPr="004211DC">
        <w:t>inspected and carried out routine operator maintenance on one fixed saw on one occasion, including removing, sharpenin</w:t>
      </w:r>
      <w:r w:rsidRPr="004211DC">
        <w:t>g and/or replacing blade or chain, according to manufacturer requirements.</w:t>
      </w:r>
    </w:p>
    <w:p w:rsidR="002C20DE" w:rsidP="002C20DE">
      <w:pPr>
        <w:pStyle w:val="BodyText"/>
      </w:pPr>
      <w:r w:rsidRPr="004211DC">
        <w:t>There must also be evidence that in using the fixed saw the individual has followed a work order or instruction that is consistent with workplace policy and procedures and current w</w:t>
      </w:r>
      <w:r w:rsidRPr="004211DC">
        <w:t>orkplace health and safety legislation, regulations and related industry standards and codes of practice.</w:t>
      </w:r>
    </w:p>
    <w:p w:rsidR="00000000" w:rsidRPr="004211DC" w:rsidP="004211DC">
      <w:pPr>
        <w:pStyle w:val="Heading1"/>
      </w:pPr>
      <w:bookmarkStart w:id="3" w:name="O_1105152"/>
      <w:bookmarkEnd w:id="3"/>
      <w:r w:rsidRPr="004211DC">
        <w:t>Knowledge Evidence</w:t>
      </w:r>
    </w:p>
    <w:p w:rsidR="00000000" w:rsidRPr="004211DC" w:rsidP="002C20DE">
      <w:pPr>
        <w:pStyle w:val="BodyText"/>
      </w:pPr>
      <w:r w:rsidRPr="004211DC">
        <w:t xml:space="preserve">An individual must be able to demonstrate the knowledge required to perform the tasks outlined in the elements </w:t>
      </w:r>
      <w:r w:rsidRPr="004211DC">
        <w:t>and performance criteria of this unit. This includes knowledge of:</w:t>
      </w:r>
    </w:p>
    <w:p w:rsidR="00000000" w:rsidRPr="004211DC" w:rsidP="004211DC">
      <w:pPr>
        <w:pStyle w:val="ListBullet"/>
      </w:pPr>
      <w:r w:rsidRPr="004211DC">
        <w:t xml:space="preserve">workplace safety requirements and standards for operating, checking, starting up and shutting down a fixed saw </w:t>
      </w:r>
    </w:p>
    <w:p w:rsidR="00000000" w:rsidRPr="004211DC" w:rsidP="004211DC">
      <w:pPr>
        <w:pStyle w:val="ListBullet"/>
      </w:pPr>
      <w:r w:rsidRPr="004211DC">
        <w:t>environmental protection requirements and safe disposal of waste material</w:t>
      </w:r>
    </w:p>
    <w:p w:rsidR="00000000" w:rsidRPr="004211DC" w:rsidP="004211DC">
      <w:pPr>
        <w:pStyle w:val="ListBullet"/>
      </w:pPr>
      <w:r w:rsidRPr="004211DC">
        <w:t>ha</w:t>
      </w:r>
      <w:r w:rsidRPr="004211DC">
        <w:t xml:space="preserve">zards and risks associated with use of fixed saws </w:t>
      </w:r>
    </w:p>
    <w:p w:rsidR="00000000" w:rsidRPr="004211DC" w:rsidP="004211DC">
      <w:pPr>
        <w:pStyle w:val="ListBullet"/>
      </w:pPr>
      <w:r w:rsidRPr="004211DC">
        <w:t>cutting techniques for a fixed saw, including:</w:t>
      </w:r>
    </w:p>
    <w:p w:rsidR="00000000" w:rsidRPr="004211DC" w:rsidP="004211DC">
      <w:pPr>
        <w:pStyle w:val="ListBullet2"/>
      </w:pPr>
      <w:r w:rsidRPr="004211DC">
        <w:t>cutting positions</w:t>
      </w:r>
    </w:p>
    <w:p w:rsidR="00000000" w:rsidRPr="004211DC" w:rsidP="004211DC">
      <w:pPr>
        <w:pStyle w:val="ListBullet2"/>
      </w:pPr>
      <w:r w:rsidRPr="004211DC">
        <w:t>work order requirements</w:t>
      </w:r>
    </w:p>
    <w:p w:rsidR="00000000" w:rsidRPr="004211DC" w:rsidP="004211DC">
      <w:pPr>
        <w:pStyle w:val="ListBullet2"/>
      </w:pPr>
      <w:r w:rsidRPr="004211DC">
        <w:t>industry standard lengths</w:t>
      </w:r>
    </w:p>
    <w:p w:rsidR="00000000" w:rsidRPr="004211DC" w:rsidP="004211DC">
      <w:pPr>
        <w:pStyle w:val="ListBullet2"/>
      </w:pPr>
      <w:r w:rsidRPr="004211DC">
        <w:t>straightness requirements</w:t>
      </w:r>
    </w:p>
    <w:p w:rsidR="00000000" w:rsidRPr="004211DC" w:rsidP="004211DC">
      <w:pPr>
        <w:pStyle w:val="ListBullet2"/>
      </w:pPr>
      <w:r w:rsidRPr="004211DC">
        <w:t>cutting patterns</w:t>
      </w:r>
    </w:p>
    <w:p w:rsidR="00000000" w:rsidRPr="004211DC" w:rsidP="004211DC">
      <w:pPr>
        <w:pStyle w:val="ListBullet2"/>
      </w:pPr>
      <w:r w:rsidRPr="004211DC">
        <w:t>maximising volume and quality of recovery requirements</w:t>
      </w:r>
    </w:p>
    <w:p w:rsidR="00000000" w:rsidRPr="004211DC" w:rsidP="004211DC">
      <w:pPr>
        <w:pStyle w:val="ListBullet2"/>
      </w:pPr>
      <w:r w:rsidRPr="004211DC">
        <w:t>cutting procedures that minimise capping and splitting of material</w:t>
      </w:r>
    </w:p>
    <w:p w:rsidR="00000000" w:rsidRPr="004211DC" w:rsidP="004211DC">
      <w:pPr>
        <w:pStyle w:val="ListBullet2"/>
      </w:pPr>
      <w:r w:rsidRPr="004211DC">
        <w:t>placing material on conveyor or carriage</w:t>
      </w:r>
    </w:p>
    <w:p w:rsidR="00000000" w:rsidRPr="004211DC" w:rsidP="004211DC">
      <w:pPr>
        <w:pStyle w:val="ListBullet2"/>
      </w:pPr>
      <w:r w:rsidRPr="004211DC">
        <w:t>securing material</w:t>
      </w:r>
    </w:p>
    <w:p w:rsidR="00000000" w:rsidRPr="004211DC" w:rsidP="004211DC">
      <w:pPr>
        <w:pStyle w:val="ListBullet2"/>
      </w:pPr>
      <w:r w:rsidRPr="004211DC">
        <w:t>cutting at optimum feed rate to avoid damage to saw blade</w:t>
      </w:r>
    </w:p>
    <w:p w:rsidR="00000000" w:rsidRPr="004211DC" w:rsidP="004211DC">
      <w:pPr>
        <w:pStyle w:val="ListBullet"/>
      </w:pPr>
      <w:r w:rsidRPr="004211DC">
        <w:t>techniques for c</w:t>
      </w:r>
      <w:r w:rsidRPr="004211DC">
        <w:t>learing debris when cross cutting materials, including:</w:t>
      </w:r>
    </w:p>
    <w:p w:rsidR="00000000" w:rsidRPr="004211DC" w:rsidP="004211DC">
      <w:pPr>
        <w:pStyle w:val="ListBullet2"/>
      </w:pPr>
      <w:r w:rsidRPr="004211DC">
        <w:t>using hand tools and a water jet to clear debris from the surface of material</w:t>
      </w:r>
    </w:p>
    <w:p w:rsidR="00000000" w:rsidRPr="004211DC" w:rsidP="004211DC">
      <w:pPr>
        <w:pStyle w:val="ListBullet2"/>
      </w:pPr>
      <w:r w:rsidRPr="004211DC">
        <w:t>clearing the work area of offcuts</w:t>
      </w:r>
    </w:p>
    <w:p w:rsidR="00000000" w:rsidRPr="004211DC" w:rsidP="004211DC">
      <w:pPr>
        <w:pStyle w:val="ListBullet2"/>
      </w:pPr>
      <w:r w:rsidRPr="004211DC">
        <w:t>ensuring saw clearance around material</w:t>
      </w:r>
    </w:p>
    <w:p w:rsidR="00000000" w:rsidRPr="004211DC" w:rsidP="004211DC">
      <w:pPr>
        <w:pStyle w:val="ListBullet2"/>
      </w:pPr>
      <w:r w:rsidRPr="004211DC">
        <w:t>depositing off-cuts and debris in recognised are</w:t>
      </w:r>
      <w:r w:rsidRPr="004211DC">
        <w:t>as</w:t>
      </w:r>
    </w:p>
    <w:p w:rsidR="00000000" w:rsidRPr="004211DC" w:rsidP="004211DC">
      <w:pPr>
        <w:pStyle w:val="ListBullet2"/>
      </w:pPr>
      <w:r w:rsidRPr="004211DC">
        <w:t>clearing surfaces of debris likely to cause saw damage in the cutting area</w:t>
      </w:r>
    </w:p>
    <w:p w:rsidR="00000000" w:rsidRPr="004211DC" w:rsidP="004211DC">
      <w:pPr>
        <w:pStyle w:val="ListBullet"/>
      </w:pPr>
      <w:r w:rsidRPr="004211DC">
        <w:t xml:space="preserve">equipment processes, technical capability and limitations of fixed saws </w:t>
      </w:r>
    </w:p>
    <w:p w:rsidR="00000000" w:rsidRPr="004211DC" w:rsidP="004211DC">
      <w:pPr>
        <w:pStyle w:val="ListBullet"/>
      </w:pPr>
      <w:r w:rsidRPr="004211DC">
        <w:t>industry standard length dimensions</w:t>
      </w:r>
    </w:p>
    <w:p w:rsidR="00000000" w:rsidRPr="004211DC" w:rsidP="004211DC">
      <w:pPr>
        <w:pStyle w:val="ListBullet"/>
      </w:pPr>
      <w:r w:rsidRPr="004211DC">
        <w:t>established communication channels and protocols to maintain safety</w:t>
      </w:r>
    </w:p>
    <w:p w:rsidR="00000000" w:rsidRPr="004211DC" w:rsidP="004211DC">
      <w:pPr>
        <w:pStyle w:val="ListBullet"/>
      </w:pPr>
      <w:r w:rsidRPr="004211DC">
        <w:t>processes for managing risks and hazards associated with fixed saw operations</w:t>
      </w:r>
    </w:p>
    <w:p w:rsidR="00000000" w:rsidRPr="004211DC" w:rsidP="004211DC">
      <w:pPr>
        <w:pStyle w:val="ListBullet"/>
      </w:pPr>
      <w:r w:rsidRPr="004211DC">
        <w:t>defects in timber that can affect processing and cause risk</w:t>
      </w:r>
    </w:p>
    <w:p w:rsidR="00000000" w:rsidRPr="004211DC" w:rsidP="004211DC">
      <w:pPr>
        <w:pStyle w:val="ListBullet"/>
      </w:pPr>
      <w:r w:rsidRPr="004211DC">
        <w:t>emergency evacuation procedures</w:t>
      </w:r>
    </w:p>
    <w:p w:rsidR="00000000" w:rsidRPr="004211DC" w:rsidP="004211DC">
      <w:pPr>
        <w:pStyle w:val="ListBullet"/>
      </w:pPr>
      <w:r w:rsidRPr="004211DC">
        <w:t>workplace requirements for recording and reporting information.</w:t>
      </w:r>
    </w:p>
    <w:p w:rsidR="00000000" w:rsidRPr="004211DC" w:rsidP="004211DC">
      <w:pPr>
        <w:pStyle w:val="AllowPageBreak"/>
      </w:pPr>
    </w:p>
    <w:p w:rsidR="00000000" w:rsidRPr="004211DC" w:rsidP="004211DC">
      <w:pPr>
        <w:pStyle w:val="Heading1"/>
      </w:pPr>
      <w:bookmarkStart w:id="4" w:name="O_1105153"/>
      <w:bookmarkEnd w:id="4"/>
      <w:r w:rsidRPr="004211DC">
        <w:t>Ass</w:t>
      </w:r>
      <w:r w:rsidRPr="004211DC">
        <w:t>essment Conditions</w:t>
      </w:r>
    </w:p>
    <w:p w:rsidR="00000000" w:rsidRPr="004211DC" w:rsidP="002C20DE">
      <w:pPr>
        <w:pStyle w:val="BodyText"/>
      </w:pPr>
      <w:r w:rsidRPr="004211DC">
        <w:t>Assessment of the skills in this unit of competency must take place under the following conditions:</w:t>
      </w:r>
    </w:p>
    <w:p w:rsidR="00000000" w:rsidRPr="004211DC" w:rsidP="004211DC">
      <w:pPr>
        <w:pStyle w:val="ListBullet"/>
      </w:pPr>
      <w:r w:rsidRPr="004211DC">
        <w:t>physical conditions:</w:t>
      </w:r>
    </w:p>
    <w:p w:rsidR="00000000" w:rsidRPr="004211DC" w:rsidP="004211DC">
      <w:pPr>
        <w:pStyle w:val="ListBullet2"/>
      </w:pPr>
      <w:r w:rsidRPr="004211DC">
        <w:t>skills must be demonstrated in a timber yard, timber manufacturing setting or an environment that accurately repre</w:t>
      </w:r>
      <w:r w:rsidRPr="004211DC">
        <w:t xml:space="preserve">sents workplace conditions </w:t>
      </w:r>
    </w:p>
    <w:p w:rsidR="00000000" w:rsidRPr="004211DC" w:rsidP="004211DC">
      <w:pPr>
        <w:pStyle w:val="ListBullet"/>
      </w:pPr>
      <w:r w:rsidRPr="004211DC">
        <w:t>resources, equipment and materials:</w:t>
      </w:r>
    </w:p>
    <w:p w:rsidR="00000000" w:rsidRPr="004211DC" w:rsidP="004211DC">
      <w:pPr>
        <w:pStyle w:val="ListBullet2"/>
      </w:pPr>
      <w:r w:rsidRPr="004211DC">
        <w:t>a fixed circular saw or fixed chainsaw</w:t>
      </w:r>
    </w:p>
    <w:p w:rsidR="00000000" w:rsidRPr="004211DC" w:rsidP="004211DC">
      <w:pPr>
        <w:pStyle w:val="ListBullet2"/>
      </w:pPr>
      <w:r w:rsidRPr="004211DC">
        <w:t>tools and equipment used to maintain fixed saws</w:t>
      </w:r>
    </w:p>
    <w:p w:rsidR="00000000" w:rsidRPr="004211DC" w:rsidP="004211DC">
      <w:pPr>
        <w:pStyle w:val="ListBullet2"/>
      </w:pPr>
      <w:r w:rsidRPr="004211DC">
        <w:t xml:space="preserve">spare parts and consumables for fixed saws </w:t>
      </w:r>
    </w:p>
    <w:p w:rsidR="00000000" w:rsidRPr="004211DC" w:rsidP="004211DC">
      <w:pPr>
        <w:pStyle w:val="ListBullet2"/>
      </w:pPr>
      <w:r w:rsidRPr="004211DC">
        <w:t>personal protective equipment required in fixed saw operations</w:t>
      </w:r>
    </w:p>
    <w:p w:rsidR="00000000" w:rsidRPr="004211DC" w:rsidP="004211DC">
      <w:pPr>
        <w:pStyle w:val="ListBullet"/>
      </w:pPr>
      <w:r w:rsidRPr="004211DC">
        <w:t>specifications:</w:t>
      </w:r>
    </w:p>
    <w:p w:rsidR="00000000" w:rsidRPr="004211DC" w:rsidP="004211DC">
      <w:pPr>
        <w:pStyle w:val="ListBullet2"/>
      </w:pPr>
      <w:r w:rsidRPr="004211DC">
        <w:t>access to work order or instruction detailing cutting activities to be carried out by operator</w:t>
      </w:r>
    </w:p>
    <w:p w:rsidR="00000000" w:rsidRPr="004211DC" w:rsidP="004211DC">
      <w:pPr>
        <w:pStyle w:val="ListBullet2"/>
      </w:pPr>
      <w:r w:rsidRPr="004211DC">
        <w:t xml:space="preserve">access to workplace safety and environmental policies and procedures applicable </w:t>
      </w:r>
      <w:r w:rsidRPr="004211DC">
        <w:t>to the use of fixed saws</w:t>
      </w:r>
    </w:p>
    <w:p w:rsidR="00000000" w:rsidRPr="004211DC" w:rsidP="004211DC">
      <w:pPr>
        <w:pStyle w:val="ListBullet2"/>
      </w:pPr>
      <w:r w:rsidRPr="004211DC">
        <w:t>access to workplace procedures and forms for recording production outcomes and fixed saw maintenance</w:t>
      </w:r>
    </w:p>
    <w:p w:rsidR="00000000" w:rsidRPr="004211DC" w:rsidP="004211DC">
      <w:pPr>
        <w:pStyle w:val="ListBullet2"/>
      </w:pPr>
      <w:r w:rsidRPr="004211DC">
        <w:t>access to site emergency procedure</w:t>
      </w:r>
    </w:p>
    <w:p w:rsidR="00000000" w:rsidRPr="004211DC" w:rsidP="004211DC">
      <w:pPr>
        <w:pStyle w:val="ListBullet2"/>
      </w:pPr>
      <w:r w:rsidRPr="004211DC">
        <w:t>access to workplace standard operating procedures or manufacturer manual for fixed saws.</w:t>
      </w:r>
    </w:p>
    <w:p w:rsidR="00000000" w:rsidRPr="004211DC" w:rsidP="002C20DE">
      <w:pPr>
        <w:pStyle w:val="BodyText"/>
      </w:pPr>
      <w:r w:rsidRPr="004211DC">
        <w:t>Assess</w:t>
      </w:r>
      <w:r w:rsidRPr="004211DC">
        <w:t>ors of this unit must satisfy the requirements for assessors in applicable vocational education and training legislation, frameworks and/or standards.</w:t>
      </w:r>
    </w:p>
    <w:p w:rsidR="00000000" w:rsidRPr="004211DC" w:rsidP="004211DC">
      <w:pPr>
        <w:pStyle w:val="Heading1"/>
      </w:pPr>
      <w:bookmarkStart w:id="5" w:name="O_1105156"/>
      <w:bookmarkEnd w:id="5"/>
      <w:r w:rsidRPr="004211DC">
        <w:t>Links</w:t>
      </w:r>
    </w:p>
    <w:p w:rsidR="00000000" w:rsidRPr="004211DC" w:rsidP="002C20DE">
      <w:pPr>
        <w:pStyle w:val="BodyText"/>
      </w:pPr>
      <w:r w:rsidRPr="004211DC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00439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4211DC" w:rsidP="004211DC"/>
    <w:sectPr w:rsidSect="004211D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D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DC" w:rsidRPr="002C20DE" w:rsidP="002C20D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D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E" w:rsidP="004211D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C20DE" w:rsidP="004211D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C20DE" w:rsidP="004211D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D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211DC" w:rsidRPr="002C20DE" w:rsidP="002C20D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11D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20DE" w:rsidRPr="002D2AF8" w:rsidP="004211D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FWPCOT2263 Cross cut materials with a fixed saw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2C20DE" w:rsidP="004211D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E845D1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F043B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FAC5B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11D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211D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211D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211D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211D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211D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211D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211D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211D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211D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211D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211DC"/>
  </w:style>
  <w:style w:type="character" w:customStyle="1" w:styleId="Heading1Char">
    <w:name w:val="Heading 1 Char"/>
    <w:basedOn w:val="DefaultParagraphFont"/>
    <w:link w:val="Heading1"/>
    <w:rsid w:val="004211D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211D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211D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211D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211D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211D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211D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211DC"/>
    <w:rPr>
      <w:b/>
    </w:rPr>
  </w:style>
  <w:style w:type="character" w:customStyle="1" w:styleId="Heading2Char">
    <w:name w:val="Heading 2 Char"/>
    <w:basedOn w:val="DefaultParagraphFont"/>
    <w:link w:val="Heading2"/>
    <w:rsid w:val="004211D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211D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211D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2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211D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2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211D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211D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211D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211D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211D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211D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211D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211D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211D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211D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211D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211D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211D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211D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211DC"/>
    <w:rPr>
      <w:b/>
      <w:spacing w:val="0"/>
    </w:rPr>
  </w:style>
  <w:style w:type="paragraph" w:customStyle="1" w:styleId="SuperTitle">
    <w:name w:val="SuperTitle"/>
    <w:basedOn w:val="Title"/>
    <w:rsid w:val="004211D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211D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211D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211D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211D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211D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211D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211D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211D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211D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211D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211D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211DC"/>
    <w:rPr>
      <w:i/>
    </w:rPr>
  </w:style>
  <w:style w:type="paragraph" w:styleId="Caption">
    <w:name w:val="caption"/>
    <w:basedOn w:val="BodyText"/>
    <w:next w:val="Normal"/>
    <w:qFormat/>
    <w:rsid w:val="004211D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211D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211D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211DC"/>
  </w:style>
  <w:style w:type="paragraph" w:styleId="TableofFigures">
    <w:name w:val="table of figures"/>
    <w:basedOn w:val="Normal"/>
    <w:next w:val="Normal"/>
    <w:semiHidden/>
    <w:rsid w:val="004211D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211D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211DC"/>
    <w:rPr>
      <w:rFonts w:ascii="Wingdings" w:hAnsi="Wingdings"/>
    </w:rPr>
  </w:style>
  <w:style w:type="paragraph" w:customStyle="1" w:styleId="TableHeading">
    <w:name w:val="Table Heading"/>
    <w:basedOn w:val="HeadingBase"/>
    <w:rsid w:val="004211D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211DC"/>
    <w:rPr>
      <w:color w:val="0033CC"/>
      <w:u w:val="none"/>
    </w:rPr>
  </w:style>
  <w:style w:type="paragraph" w:customStyle="1" w:styleId="BodyTextRight">
    <w:name w:val="Body Text Right"/>
    <w:basedOn w:val="BodyText"/>
    <w:rsid w:val="004211D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211D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211D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211D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211D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211D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211DC"/>
    <w:rPr>
      <w:sz w:val="32"/>
    </w:rPr>
  </w:style>
  <w:style w:type="paragraph" w:customStyle="1" w:styleId="HeadingProcedure">
    <w:name w:val="Heading Procedure"/>
    <w:basedOn w:val="HeadingBase"/>
    <w:next w:val="Normal"/>
    <w:rsid w:val="004211D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211DC"/>
    <w:pPr>
      <w:spacing w:before="60" w:after="60"/>
    </w:pPr>
  </w:style>
  <w:style w:type="paragraph" w:styleId="ListContinue">
    <w:name w:val="List Continue"/>
    <w:basedOn w:val="List"/>
    <w:rsid w:val="004211DC"/>
    <w:pPr>
      <w:ind w:firstLine="0"/>
    </w:pPr>
  </w:style>
  <w:style w:type="paragraph" w:customStyle="1" w:styleId="ListNote">
    <w:name w:val="List Note"/>
    <w:basedOn w:val="List"/>
    <w:rsid w:val="004211D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211D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211D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211DC"/>
    <w:rPr>
      <w:rFonts w:ascii="Courier New" w:hAnsi="Courier New"/>
    </w:rPr>
  </w:style>
  <w:style w:type="paragraph" w:customStyle="1" w:styleId="NoteBullet">
    <w:name w:val="Note Bullet"/>
    <w:basedOn w:val="Note"/>
    <w:rsid w:val="004211D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211D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211D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211D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211D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211D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211D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211DC"/>
    <w:rPr>
      <w:b/>
      <w:smallCaps/>
    </w:rPr>
  </w:style>
  <w:style w:type="paragraph" w:customStyle="1" w:styleId="TableListNumber">
    <w:name w:val="Table List Number"/>
    <w:basedOn w:val="ListNumber"/>
    <w:rsid w:val="004211D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211D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211DC"/>
    <w:pPr>
      <w:numPr>
        <w:numId w:val="9"/>
      </w:numPr>
    </w:pPr>
  </w:style>
  <w:style w:type="paragraph" w:customStyle="1" w:styleId="ListAlpha2">
    <w:name w:val="List Alpha 2"/>
    <w:basedOn w:val="List2"/>
    <w:rsid w:val="004211DC"/>
    <w:pPr>
      <w:numPr>
        <w:numId w:val="8"/>
      </w:numPr>
    </w:pPr>
  </w:style>
  <w:style w:type="paragraph" w:styleId="List2">
    <w:name w:val="List 2"/>
    <w:basedOn w:val="BodyText"/>
    <w:rsid w:val="004211D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211D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211D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211D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211D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211D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211DC"/>
    <w:pPr>
      <w:numPr>
        <w:numId w:val="4"/>
      </w:numPr>
    </w:pPr>
  </w:style>
  <w:style w:type="paragraph" w:styleId="ListContinue2">
    <w:name w:val="List Continue 2"/>
    <w:basedOn w:val="List2"/>
    <w:rsid w:val="004211DC"/>
    <w:pPr>
      <w:ind w:firstLine="0"/>
    </w:pPr>
  </w:style>
  <w:style w:type="paragraph" w:styleId="ListContinue3">
    <w:name w:val="List Continue 3"/>
    <w:basedOn w:val="List3"/>
    <w:rsid w:val="004211DC"/>
    <w:pPr>
      <w:ind w:left="1021" w:firstLine="0"/>
    </w:pPr>
  </w:style>
  <w:style w:type="paragraph" w:styleId="ListContinue4">
    <w:name w:val="List Continue 4"/>
    <w:basedOn w:val="List4"/>
    <w:rsid w:val="004211DC"/>
    <w:pPr>
      <w:ind w:firstLine="0"/>
    </w:pPr>
  </w:style>
  <w:style w:type="paragraph" w:styleId="ListContinue5">
    <w:name w:val="List Continue 5"/>
    <w:basedOn w:val="List5"/>
    <w:rsid w:val="004211DC"/>
    <w:pPr>
      <w:ind w:firstLine="0"/>
    </w:pPr>
  </w:style>
  <w:style w:type="paragraph" w:styleId="ListNumber3">
    <w:name w:val="List Number 3"/>
    <w:basedOn w:val="List3"/>
    <w:rsid w:val="004211DC"/>
    <w:pPr>
      <w:numPr>
        <w:numId w:val="5"/>
      </w:numPr>
    </w:pPr>
  </w:style>
  <w:style w:type="paragraph" w:styleId="ListNumber4">
    <w:name w:val="List Number 4"/>
    <w:basedOn w:val="List4"/>
    <w:rsid w:val="004211DC"/>
    <w:pPr>
      <w:numPr>
        <w:numId w:val="6"/>
      </w:numPr>
    </w:pPr>
  </w:style>
  <w:style w:type="paragraph" w:styleId="ListNumber5">
    <w:name w:val="List Number 5"/>
    <w:basedOn w:val="List5"/>
    <w:rsid w:val="004211DC"/>
    <w:pPr>
      <w:numPr>
        <w:numId w:val="7"/>
      </w:numPr>
    </w:pPr>
  </w:style>
  <w:style w:type="paragraph" w:styleId="BlockText">
    <w:name w:val="Block Text"/>
    <w:basedOn w:val="Normal"/>
    <w:rsid w:val="004211D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211D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211DC"/>
    <w:rPr>
      <w:sz w:val="16"/>
      <w:vertAlign w:val="superscript"/>
    </w:rPr>
  </w:style>
  <w:style w:type="character" w:customStyle="1" w:styleId="Symbols">
    <w:name w:val="Symbols"/>
    <w:basedOn w:val="DefaultParagraphFont"/>
    <w:rsid w:val="004211DC"/>
    <w:rPr>
      <w:rFonts w:ascii="Symbol" w:hAnsi="Symbol"/>
    </w:rPr>
  </w:style>
  <w:style w:type="character" w:customStyle="1" w:styleId="MenuOptions">
    <w:name w:val="Menu Options"/>
    <w:basedOn w:val="DefaultParagraphFont"/>
    <w:rsid w:val="004211D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211DC"/>
    <w:rPr>
      <w:b/>
    </w:rPr>
  </w:style>
  <w:style w:type="character" w:customStyle="1" w:styleId="Underlined">
    <w:name w:val="Underlined"/>
    <w:basedOn w:val="DefaultParagraphFont"/>
    <w:rsid w:val="004211DC"/>
    <w:rPr>
      <w:u w:val="single"/>
    </w:rPr>
  </w:style>
  <w:style w:type="paragraph" w:customStyle="1" w:styleId="TableBodyTextRight">
    <w:name w:val="Table Body Text Right"/>
    <w:basedOn w:val="TableBodyText"/>
    <w:rsid w:val="004211D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211DC"/>
    <w:rPr>
      <w:sz w:val="18"/>
    </w:rPr>
  </w:style>
  <w:style w:type="paragraph" w:customStyle="1" w:styleId="BodySmallRight">
    <w:name w:val="Body Small Right"/>
    <w:basedOn w:val="BodyTextRight"/>
    <w:rsid w:val="004211DC"/>
    <w:rPr>
      <w:sz w:val="18"/>
      <w:szCs w:val="18"/>
    </w:rPr>
  </w:style>
  <w:style w:type="paragraph" w:customStyle="1" w:styleId="MarginEdition">
    <w:name w:val="Margin Edition"/>
    <w:basedOn w:val="MarginNote"/>
    <w:rsid w:val="004211D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211DC"/>
    <w:rPr>
      <w:sz w:val="2"/>
      <w:szCs w:val="2"/>
    </w:rPr>
  </w:style>
  <w:style w:type="character" w:customStyle="1" w:styleId="Small">
    <w:name w:val="Small"/>
    <w:basedOn w:val="DefaultParagraphFont"/>
    <w:rsid w:val="004211DC"/>
    <w:rPr>
      <w:sz w:val="16"/>
    </w:rPr>
  </w:style>
  <w:style w:type="paragraph" w:customStyle="1" w:styleId="WideTable">
    <w:name w:val="Wide Table"/>
    <w:basedOn w:val="Normal"/>
    <w:rsid w:val="004211D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211DC"/>
  </w:style>
  <w:style w:type="paragraph" w:styleId="Quote">
    <w:name w:val="Quote"/>
    <w:basedOn w:val="Heading1"/>
    <w:link w:val="QuoteChar"/>
    <w:qFormat/>
    <w:rsid w:val="004211D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211D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211DC"/>
    <w:pPr>
      <w:pageBreakBefore/>
    </w:pPr>
  </w:style>
  <w:style w:type="paragraph" w:customStyle="1" w:styleId="Border">
    <w:name w:val="Border"/>
    <w:basedOn w:val="Normal"/>
    <w:qFormat/>
    <w:rsid w:val="004211D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211D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11D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11D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211D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211D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211D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211D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211D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211DC"/>
    <w:rPr>
      <w:u w:val="single"/>
    </w:rPr>
  </w:style>
  <w:style w:type="character" w:customStyle="1" w:styleId="BoldandItalics">
    <w:name w:val="Bold and Italics"/>
    <w:qFormat/>
    <w:rsid w:val="004211DC"/>
    <w:rPr>
      <w:b/>
      <w:i/>
      <w:u w:val="none"/>
    </w:rPr>
  </w:style>
  <w:style w:type="paragraph" w:styleId="BalloonText">
    <w:name w:val="Balloon Text"/>
    <w:basedOn w:val="Normal"/>
    <w:link w:val="BalloonTextChar"/>
    <w:rsid w:val="004211D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211D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211D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211D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211D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211D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211D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2C20D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3611</Characters>
  <Application>Microsoft Office Word</Application>
  <DocSecurity>0</DocSecurity>
  <Lines>95</Lines>
  <Paragraphs>74</Paragraphs>
  <ScaleCrop>false</ScaleCrop>
  <Company>Author-it Software Corporation Ltd.</Company>
  <LinksUpToDate>false</LinksUpToDate>
  <CharactersWithSpaces>4117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FWPCOT2263 Cross cut materials with a fixed saw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2024-04-26T01:26:00Z</dcterms:created>
  <dcterms:modified xsi:type="dcterms:W3CDTF">2024-04-26T01:26:00Z</dcterms:modified>
</cp:coreProperties>
</file>