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FE1" w:rsidP="00201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FWPCOT2230 Assemble products</w:t>
      </w:r>
      <w:r>
        <w:fldChar w:fldCharType="end"/>
      </w:r>
    </w:p>
    <w:p w:rsidR="00201FE1" w:rsidP="00201FE1">
      <w:pPr>
        <w:pStyle w:val="Version"/>
        <w:sectPr w:rsidSect="00BB1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1CCB" w:rsidP="00BB1CCB">
      <w:pPr>
        <w:pStyle w:val="SuperHeading"/>
      </w:pPr>
      <w:r w:rsidRPr="00BB1CCB">
        <w:t>FWPCOT2230 Assemble products</w:t>
      </w:r>
    </w:p>
    <w:p w:rsidR="00000000" w:rsidRPr="00BB1CCB" w:rsidP="00BB1CCB">
      <w:pPr>
        <w:pStyle w:val="Heading1"/>
      </w:pPr>
      <w:bookmarkStart w:id="1" w:name="O_1017938"/>
      <w:bookmarkEnd w:id="1"/>
      <w:r w:rsidRPr="00BB1C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rPr>
                <w:rStyle w:val="SpecialBold"/>
              </w:rPr>
              <w:t>Comments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This version released with FWP Forest and Wood Products Training Package Version 4.0.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>This version replaces equivalent unit FPICOT2230B Assemble products, which was first released with FPI11 Fores</w:t>
            </w:r>
            <w:r w:rsidRPr="00BB1CCB">
              <w:t>t and Forest Products Training Package Version 2.2.</w:t>
            </w:r>
          </w:p>
        </w:tc>
      </w:tr>
    </w:tbl>
    <w:p w:rsidR="00000000" w:rsidRPr="00BB1CCB" w:rsidP="00BB1CCB">
      <w:pPr>
        <w:pStyle w:val="BodyText"/>
      </w:pPr>
    </w:p>
    <w:p w:rsidR="00000000" w:rsidRPr="00BB1CCB" w:rsidP="00BB1CCB">
      <w:pPr>
        <w:pStyle w:val="AllowPageBreak"/>
      </w:pPr>
    </w:p>
    <w:p w:rsidR="00000000" w:rsidRPr="00BB1CCB" w:rsidP="00BB1CCB">
      <w:pPr>
        <w:pStyle w:val="Heading1"/>
      </w:pPr>
      <w:bookmarkStart w:id="2" w:name="O_1017937"/>
      <w:bookmarkEnd w:id="2"/>
      <w:r w:rsidRPr="00BB1CCB">
        <w:t>Application</w:t>
      </w:r>
    </w:p>
    <w:p w:rsidR="00000000" w:rsidRPr="00BB1CCB" w:rsidP="00201FE1">
      <w:pPr>
        <w:pStyle w:val="BodyText"/>
      </w:pPr>
      <w:r w:rsidRPr="00BB1CCB">
        <w:t xml:space="preserve">This unit of competency describes the skills and knowledge required to prepare and assemble construction-ready timber products. Work also involves stacking, strapping and </w:t>
      </w:r>
      <w:r w:rsidRPr="00BB1CCB">
        <w:t>despatching assembled timber products in readiness for transport to a construction site.</w:t>
      </w:r>
    </w:p>
    <w:p w:rsidR="00000000" w:rsidRPr="00BB1CCB" w:rsidP="00201FE1">
      <w:pPr>
        <w:pStyle w:val="BodyText"/>
      </w:pPr>
      <w:r w:rsidRPr="00BB1CCB">
        <w:t>The unit applies to individuals who assemble products for despatch in a timber product manufacturing facility. Operators generally work under broad or limited directio</w:t>
      </w:r>
      <w:r w:rsidRPr="00BB1CCB">
        <w:t>n to complete routine activities related to their own work, and take responsibility for their work.</w:t>
      </w:r>
    </w:p>
    <w:p w:rsidR="00000000" w:rsidRPr="00BB1CCB" w:rsidP="00201FE1">
      <w:pPr>
        <w:pStyle w:val="BodyText"/>
      </w:pPr>
      <w:r w:rsidRPr="00BB1CCB">
        <w:t>All work must be carried out to comply with workplace procedures, according to state/territory health and safety regulations, legislation and standards that</w:t>
      </w:r>
      <w:r w:rsidRPr="00BB1CCB">
        <w:t xml:space="preserve"> apply to the workplace. </w:t>
      </w:r>
    </w:p>
    <w:p w:rsidR="00000000" w:rsidRPr="00BB1CCB" w:rsidP="00201FE1">
      <w:pPr>
        <w:pStyle w:val="BodyText"/>
      </w:pPr>
      <w:r w:rsidRPr="00BB1CCB">
        <w:t>No licensing, legislative, regulatory or certification requirements apply to this unit at the time of publication.</w:t>
      </w:r>
    </w:p>
    <w:p w:rsidR="00000000" w:rsidRPr="00BB1CCB" w:rsidP="00BB1CCB">
      <w:pPr>
        <w:pStyle w:val="Heading1"/>
      </w:pPr>
      <w:bookmarkStart w:id="3" w:name="O_1017936"/>
      <w:bookmarkEnd w:id="3"/>
      <w:r w:rsidRPr="00BB1CCB">
        <w:t>Pre-requisite Unit</w:t>
      </w:r>
    </w:p>
    <w:p w:rsidR="00000000" w:rsidRPr="00BB1CCB" w:rsidP="00201FE1">
      <w:pPr>
        <w:pStyle w:val="BodyText"/>
      </w:pPr>
      <w:r w:rsidRPr="00BB1CCB">
        <w:t>Nil</w:t>
      </w:r>
    </w:p>
    <w:p w:rsidR="00000000" w:rsidRPr="00BB1CCB" w:rsidP="00BB1CCB">
      <w:pPr>
        <w:pStyle w:val="Heading1"/>
      </w:pPr>
      <w:bookmarkStart w:id="4" w:name="O_1017935"/>
      <w:bookmarkEnd w:id="4"/>
      <w:r w:rsidRPr="00BB1CCB">
        <w:t>Unit Sector</w:t>
      </w:r>
    </w:p>
    <w:p w:rsidR="00000000" w:rsidRPr="00BB1CCB" w:rsidP="00201FE1">
      <w:pPr>
        <w:pStyle w:val="List"/>
      </w:pPr>
      <w:r w:rsidRPr="00BB1CCB">
        <w:t>Timber Manufactured Products</w:t>
      </w:r>
    </w:p>
    <w:p w:rsidR="00000000" w:rsidRPr="00BB1CCB" w:rsidP="00201FE1">
      <w:pPr>
        <w:pStyle w:val="List"/>
      </w:pPr>
      <w:r w:rsidRPr="00BB1CCB">
        <w:t>Wood Panel and Board Production</w:t>
      </w:r>
    </w:p>
    <w:p w:rsidR="00000000" w:rsidRPr="00BB1CCB" w:rsidP="00201FE1">
      <w:pPr>
        <w:pStyle w:val="List"/>
      </w:pPr>
      <w:r w:rsidRPr="00BB1CCB">
        <w:t>Sawmilling and Processing</w:t>
      </w:r>
    </w:p>
    <w:p w:rsidR="00000000" w:rsidRPr="00BB1CCB" w:rsidP="00BB1CCB">
      <w:pPr>
        <w:pStyle w:val="AllowPageBreak"/>
      </w:pPr>
    </w:p>
    <w:p w:rsidR="00000000" w:rsidRPr="00BB1CCB" w:rsidP="00BB1CCB">
      <w:pPr>
        <w:pStyle w:val="Heading1"/>
      </w:pPr>
      <w:bookmarkStart w:id="5" w:name="O_1017934"/>
      <w:bookmarkEnd w:id="5"/>
      <w:r w:rsidRPr="00BB1C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1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rPr>
                <w:rStyle w:val="SpecialBold"/>
              </w:rPr>
              <w:t>Performance Criteria</w:t>
            </w:r>
          </w:p>
        </w:tc>
      </w:tr>
      <w:tr w:rsidTr="00201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rPr>
                <w:rStyle w:val="Emphasis"/>
              </w:rPr>
              <w:t>Performance criteria describe the performance needed to demonstrate achi</w:t>
            </w:r>
            <w:r w:rsidRPr="00BB1CCB">
              <w:rPr>
                <w:rStyle w:val="Emphasis"/>
              </w:rPr>
              <w:t>evement of the element.</w:t>
            </w:r>
          </w:p>
        </w:tc>
      </w:tr>
      <w:tr w:rsidTr="00201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1. Prepare for assembly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 xml:space="preserve">1.1 Review construction plans, work order, workplace health and safety requirements, environmental protection practices and emergency procedures for assembly operation and, where required, clarify with </w:t>
            </w:r>
            <w:r w:rsidRPr="00BB1CCB">
              <w:t>appropriate personnel</w:t>
            </w:r>
          </w:p>
          <w:p w:rsidR="00000000" w:rsidRPr="00BB1CCB" w:rsidP="00BB1CCB">
            <w:pPr>
              <w:pStyle w:val="BodyText"/>
            </w:pPr>
            <w:r w:rsidRPr="00BB1CCB">
              <w:t>1.2 Identify and report hazards and use personal protective equipment according to workplace requirements and health and safety legislation to maintain safe work practices</w:t>
            </w:r>
          </w:p>
          <w:p w:rsidR="00000000" w:rsidRPr="00BB1CCB" w:rsidP="00BB1CCB">
            <w:pPr>
              <w:pStyle w:val="BodyText"/>
            </w:pPr>
            <w:r w:rsidRPr="00BB1CCB">
              <w:t>1.3 Identify and obtain the type and quantity of material to be assembled and hardware</w:t>
            </w:r>
          </w:p>
          <w:p w:rsidR="00000000" w:rsidRPr="00BB1CCB" w:rsidP="00BB1CCB">
            <w:pPr>
              <w:pStyle w:val="BodyText"/>
            </w:pPr>
            <w:r w:rsidRPr="00BB1CCB">
              <w:t>1.4 Select appropriate tools and equipment and check for operational effectiveness according to manufacturer recommendations</w:t>
            </w:r>
          </w:p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1.5 Identify and prepare set-up jigs require</w:t>
            </w:r>
            <w:r w:rsidRPr="00BB1CCB">
              <w:t>d for assembly</w:t>
            </w:r>
          </w:p>
        </w:tc>
      </w:tr>
      <w:tr w:rsidTr="00201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2. Set up timber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>2.1 Select timber components from the pre-cut material according to cutting list</w:t>
            </w:r>
          </w:p>
          <w:p w:rsidR="00000000" w:rsidRPr="00BB1CCB" w:rsidP="00BB1CCB">
            <w:pPr>
              <w:pStyle w:val="BodyText"/>
            </w:pPr>
            <w:r w:rsidRPr="00BB1CCB">
              <w:t>2.2 Reject material with defects and dispose of according to environmental protection practices</w:t>
            </w:r>
          </w:p>
          <w:p w:rsidR="00000000" w:rsidRPr="00BB1CCB" w:rsidP="00BB1CCB">
            <w:pPr>
              <w:pStyle w:val="BodyText"/>
            </w:pPr>
            <w:r w:rsidRPr="00BB1CCB">
              <w:t>2.3 Use equipment according to work</w:t>
            </w:r>
            <w:r w:rsidRPr="00BB1CCB">
              <w:t xml:space="preserve">place health and safety procedures and manufacturer instructions </w:t>
            </w:r>
          </w:p>
          <w:p w:rsidR="00000000" w:rsidRPr="00BB1CCB" w:rsidP="00BB1CCB">
            <w:pPr>
              <w:pStyle w:val="BodyText"/>
            </w:pPr>
            <w:r w:rsidRPr="00BB1CCB">
              <w:t>2.4 Position and clamp timber components in jigs ready for joining, and check for allowable faults, joins and grain according to construction standards and grading rules</w:t>
            </w:r>
          </w:p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2.5 Staple timber co</w:t>
            </w:r>
            <w:r w:rsidRPr="00BB1CCB">
              <w:t>mponents to maintain temporary alignment during assembly</w:t>
            </w:r>
          </w:p>
        </w:tc>
      </w:tr>
      <w:tr w:rsidTr="00201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3. Install assembly hardware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>3.1 Position and install hardware on joints according to construction plans</w:t>
            </w:r>
          </w:p>
          <w:p w:rsidR="00000000" w:rsidRPr="00BB1CCB" w:rsidP="00BB1CCB">
            <w:pPr>
              <w:pStyle w:val="BodyText"/>
            </w:pPr>
            <w:r w:rsidRPr="00BB1CCB">
              <w:t>3.2 Nail or staple temporary bracing to the product according to construction standards</w:t>
            </w:r>
          </w:p>
          <w:p w:rsidR="00000000" w:rsidRPr="00BB1CCB" w:rsidP="00BB1CCB">
            <w:pPr>
              <w:pStyle w:val="BodyText"/>
            </w:pPr>
            <w:r w:rsidRPr="00BB1CCB">
              <w:t>3.3 C</w:t>
            </w:r>
            <w:r w:rsidRPr="00BB1CCB">
              <w:t>orrect assembly faults</w:t>
            </w:r>
          </w:p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3.4 Identify routine processing and equipment faults and resolve or report to appropriate personnel</w:t>
            </w:r>
          </w:p>
        </w:tc>
      </w:tr>
      <w:tr w:rsidTr="00201F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4. Prepare timber products for despatch and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>4.1 Check finished timber product for quality and label according to work order</w:t>
            </w:r>
          </w:p>
          <w:p w:rsidR="00000000" w:rsidRPr="00BB1CCB" w:rsidP="00BB1CCB">
            <w:pPr>
              <w:pStyle w:val="BodyText"/>
            </w:pPr>
            <w:r w:rsidRPr="00BB1CCB">
              <w:t>4</w:t>
            </w:r>
            <w:r w:rsidRPr="00BB1CCB">
              <w:t>.2 Remove timber product from jigs and safely stack in a designated location</w:t>
            </w:r>
          </w:p>
          <w:p w:rsidR="00000000" w:rsidRPr="00BB1CCB" w:rsidP="00BB1CCB">
            <w:pPr>
              <w:pStyle w:val="BodyText"/>
            </w:pPr>
            <w:r w:rsidRPr="00BB1CCB">
              <w:t>4.3 Strap, pack and label finished timber products ready for transportation</w:t>
            </w:r>
          </w:p>
          <w:p w:rsidR="00000000" w:rsidRPr="00BB1CCB" w:rsidP="00BB1CCB">
            <w:pPr>
              <w:pStyle w:val="BodyText"/>
            </w:pPr>
            <w:r w:rsidRPr="00BB1CCB">
              <w:t>4.4 Avoid wastage of strapping and packaging materials and maximise use of recycled materials</w:t>
            </w:r>
          </w:p>
          <w:p w:rsidR="00000000" w:rsidRPr="00BB1CCB" w:rsidP="00BB1CCB">
            <w:pPr>
              <w:pStyle w:val="BodyText"/>
            </w:pPr>
            <w:r w:rsidRPr="00BB1CCB">
              <w:t>4.5 Complete quality records and report for production outcomes, equipment faults and maintenance requirements according to workplace procedures</w:t>
            </w:r>
          </w:p>
        </w:tc>
      </w:tr>
    </w:tbl>
    <w:p w:rsidR="00000000" w:rsidRPr="00BB1CCB" w:rsidP="00BB1CCB">
      <w:pPr>
        <w:pStyle w:val="BodyText"/>
      </w:pPr>
    </w:p>
    <w:p w:rsidR="00000000" w:rsidRPr="00BB1CCB" w:rsidP="00BB1CCB">
      <w:pPr>
        <w:pStyle w:val="AllowPageBreak"/>
      </w:pPr>
    </w:p>
    <w:p w:rsidR="00000000" w:rsidRPr="00BB1CCB" w:rsidP="00BB1CCB">
      <w:pPr>
        <w:pStyle w:val="Heading1"/>
      </w:pPr>
      <w:bookmarkStart w:id="6" w:name="O_1017933"/>
      <w:bookmarkEnd w:id="6"/>
      <w:r w:rsidRPr="00BB1CCB">
        <w:t>Foundation Skills</w:t>
      </w:r>
    </w:p>
    <w:p w:rsidR="00000000" w:rsidRPr="00201FE1" w:rsidP="00201FE1">
      <w:pPr>
        <w:pStyle w:val="BodyText"/>
        <w:rPr>
          <w:i/>
        </w:rPr>
      </w:pPr>
      <w:r w:rsidRPr="00201FE1">
        <w:rPr>
          <w:rStyle w:val="Emphasis"/>
        </w:rPr>
        <w:t>This section describes those language, literacy, numeracy and employment</w:t>
      </w:r>
      <w:r w:rsidRPr="00201FE1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rPr>
                <w:rStyle w:val="SpecialBold"/>
              </w:rPr>
              <w:t>Description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ListBullet"/>
              <w:rPr>
                <w:lang w:val="en-NZ"/>
              </w:rPr>
            </w:pPr>
            <w:r w:rsidRPr="00BB1CCB">
              <w:t>Produce basic clear labels for product identification and transportation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ListBullet"/>
            </w:pPr>
            <w:r w:rsidRPr="00BB1CCB">
              <w:t>Count quantities of materials and hardware components and select appropriate sizes</w:t>
            </w:r>
          </w:p>
          <w:p w:rsidR="00000000" w:rsidRPr="00BB1CCB" w:rsidP="00BB1CCB">
            <w:pPr>
              <w:pStyle w:val="ListBullet"/>
            </w:pPr>
            <w:r w:rsidRPr="00BB1CCB">
              <w:t>Complete routine calculations for component layouts</w:t>
            </w:r>
          </w:p>
          <w:p w:rsidR="00000000" w:rsidP="00BB1CCB">
            <w:pPr>
              <w:pStyle w:val="ListBullet"/>
              <w:rPr>
                <w:lang w:val="en-NZ"/>
              </w:rPr>
            </w:pPr>
            <w:r w:rsidRPr="00BB1CCB">
              <w:t>Accurately measure lengths and angles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ListBullet"/>
              <w:rPr>
                <w:lang w:val="en-NZ"/>
              </w:rPr>
            </w:pPr>
            <w:r w:rsidRPr="00BB1CCB">
              <w:t>Understand main tasks, responsibilities and boundaries</w:t>
            </w:r>
            <w:r w:rsidRPr="00BB1CCB">
              <w:t xml:space="preserve"> of own role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ListBullet"/>
              <w:rPr>
                <w:lang w:val="en-NZ"/>
              </w:rPr>
            </w:pPr>
            <w:r w:rsidRPr="00BB1CCB">
              <w:t>Use modes of communication suitable for the purpose to confirm and clarify understanding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ListBullet"/>
            </w:pPr>
            <w:r w:rsidRPr="00BB1CCB">
              <w:t>Recognise and respond to routine problems</w:t>
            </w:r>
          </w:p>
        </w:tc>
      </w:tr>
    </w:tbl>
    <w:p w:rsidR="00000000" w:rsidRPr="00BB1CCB" w:rsidP="00BB1CCB">
      <w:pPr>
        <w:pStyle w:val="BodyText"/>
      </w:pPr>
    </w:p>
    <w:p w:rsidR="00000000" w:rsidRPr="00BB1CCB" w:rsidP="00BB1CCB">
      <w:pPr>
        <w:pStyle w:val="AllowPageBreak"/>
      </w:pPr>
    </w:p>
    <w:p w:rsidR="00000000" w:rsidRPr="00BB1CCB" w:rsidP="00BB1CCB">
      <w:pPr>
        <w:pStyle w:val="Heading1"/>
      </w:pPr>
      <w:bookmarkStart w:id="7" w:name="O_1017931"/>
      <w:bookmarkEnd w:id="7"/>
      <w:r w:rsidRPr="00BB1C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rPr>
                <w:rStyle w:val="SpecialBold"/>
              </w:rPr>
              <w:t>Equivalence status</w:t>
            </w:r>
          </w:p>
        </w:tc>
      </w:tr>
      <w:tr w:rsidTr="00BB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>FWPCOT2230 Assemble products</w:t>
            </w:r>
          </w:p>
          <w:p w:rsidR="00000000" w:rsidRPr="00BB1CCB" w:rsidP="00BB1CCB">
            <w:pPr>
              <w:pStyle w:val="BodyText"/>
            </w:pPr>
            <w:r w:rsidRPr="00BB1CCB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>FWPCOT2230 Assemble products</w:t>
            </w:r>
          </w:p>
          <w:p w:rsidR="00000000" w:rsidRPr="00BB1CCB" w:rsidP="00BB1CCB">
            <w:pPr>
              <w:pStyle w:val="BodyText"/>
            </w:pPr>
            <w:r w:rsidRPr="00BB1CCB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CCB">
            <w:pPr>
              <w:pStyle w:val="BodyText"/>
              <w:rPr>
                <w:lang w:val="en-NZ"/>
              </w:rPr>
            </w:pPr>
            <w:r w:rsidRPr="00BB1CCB">
              <w:t xml:space="preserve">Updated workplace health and safety requirements in performance criteria; clarified </w:t>
            </w:r>
            <w:r w:rsidRPr="00BB1CCB">
              <w:t>the intent of unit and assessment requirements; updated foundation skills; updated frequency and volume of the performance evidence.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CCB" w:rsidP="00BB1CCB">
            <w:pPr>
              <w:pStyle w:val="BodyText"/>
            </w:pPr>
            <w:r w:rsidRPr="00BB1CCB">
              <w:t xml:space="preserve">Equivalent unit </w:t>
            </w:r>
          </w:p>
          <w:p w:rsidR="00000000" w:rsidRPr="00BB1CCB" w:rsidP="00BB1CCB">
            <w:pPr>
              <w:pStyle w:val="BodyText"/>
            </w:pPr>
          </w:p>
        </w:tc>
      </w:tr>
    </w:tbl>
    <w:p w:rsidR="00000000" w:rsidRPr="00BB1CCB" w:rsidP="00BB1CCB">
      <w:pPr>
        <w:pStyle w:val="BodyText"/>
      </w:pPr>
    </w:p>
    <w:p w:rsidR="00000000" w:rsidRPr="00BB1CCB" w:rsidP="00BB1CCB">
      <w:pPr>
        <w:pStyle w:val="AllowPageBreak"/>
      </w:pPr>
    </w:p>
    <w:p w:rsidR="00000000" w:rsidRPr="00BB1CCB" w:rsidP="00BB1CCB">
      <w:pPr>
        <w:pStyle w:val="Heading1"/>
      </w:pPr>
      <w:bookmarkStart w:id="8" w:name="O_1017939"/>
      <w:bookmarkEnd w:id="8"/>
      <w:r w:rsidRPr="00BB1CCB">
        <w:t>Links</w:t>
      </w:r>
    </w:p>
    <w:p w:rsidR="00000000" w:rsidRPr="00BB1CCB" w:rsidP="00201FE1">
      <w:pPr>
        <w:pStyle w:val="BodyText"/>
      </w:pPr>
      <w:r w:rsidRPr="00BB1CCB">
        <w:t>Companion Volumes, including Implementation Guides, are available at VETNet: -</w:t>
      </w:r>
      <w:r w:rsidRPr="00BB1CCB">
        <w:t xml:space="preserve">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563A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B1CCB" w:rsidP="00BB1CCB"/>
    <w:sectPr w:rsidSect="00BB1C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CB" w:rsidRPr="00201FE1" w:rsidP="00201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E1" w:rsidP="00BB1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FE1" w:rsidP="00BB1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1FE1" w:rsidP="00BB1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CCB" w:rsidRPr="00201FE1" w:rsidP="00201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E1" w:rsidRPr="002D2AF8" w:rsidP="00BB1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FWPCOT2230 Assemble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01FE1" w:rsidP="00BB1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B8D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342F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CCB"/>
  </w:style>
  <w:style w:type="character" w:customStyle="1" w:styleId="Heading1Char">
    <w:name w:val="Heading 1 Char"/>
    <w:basedOn w:val="DefaultParagraphFont"/>
    <w:link w:val="Heading1"/>
    <w:rsid w:val="00BB1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C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C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C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CCB"/>
    <w:rPr>
      <w:b/>
      <w:spacing w:val="0"/>
    </w:rPr>
  </w:style>
  <w:style w:type="character" w:styleId="Emphasis">
    <w:name w:val="Emphasis"/>
    <w:basedOn w:val="DefaultParagraphFont"/>
    <w:qFormat/>
    <w:rsid w:val="00BB1CCB"/>
    <w:rPr>
      <w:i/>
    </w:rPr>
  </w:style>
  <w:style w:type="paragraph" w:customStyle="1" w:styleId="SuperHeading">
    <w:name w:val="SuperHeading"/>
    <w:basedOn w:val="Normal"/>
    <w:rsid w:val="00BB1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C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C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CCB"/>
  </w:style>
  <w:style w:type="paragraph" w:styleId="TableofFigures">
    <w:name w:val="table of figures"/>
    <w:basedOn w:val="Normal"/>
    <w:next w:val="Normal"/>
    <w:semiHidden/>
    <w:rsid w:val="00BB1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C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CCB"/>
    <w:rPr>
      <w:rFonts w:ascii="Wingdings" w:hAnsi="Wingdings"/>
    </w:rPr>
  </w:style>
  <w:style w:type="paragraph" w:customStyle="1" w:styleId="TableHeading">
    <w:name w:val="Table Heading"/>
    <w:basedOn w:val="HeadingBase"/>
    <w:rsid w:val="00BB1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CCB"/>
    <w:rPr>
      <w:color w:val="0033CC"/>
      <w:u w:val="none"/>
    </w:rPr>
  </w:style>
  <w:style w:type="paragraph" w:customStyle="1" w:styleId="BodyTextRight">
    <w:name w:val="Body Text Right"/>
    <w:basedOn w:val="BodyText"/>
    <w:rsid w:val="00BB1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C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CCB"/>
    <w:rPr>
      <w:sz w:val="32"/>
    </w:rPr>
  </w:style>
  <w:style w:type="paragraph" w:customStyle="1" w:styleId="HeadingProcedure">
    <w:name w:val="Heading Procedure"/>
    <w:basedOn w:val="HeadingBase"/>
    <w:next w:val="Normal"/>
    <w:rsid w:val="00BB1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CCB"/>
    <w:pPr>
      <w:spacing w:before="60" w:after="60"/>
    </w:pPr>
  </w:style>
  <w:style w:type="paragraph" w:styleId="ListContinue">
    <w:name w:val="List Continue"/>
    <w:basedOn w:val="List"/>
    <w:rsid w:val="00BB1CCB"/>
    <w:pPr>
      <w:ind w:firstLine="0"/>
    </w:pPr>
  </w:style>
  <w:style w:type="paragraph" w:customStyle="1" w:styleId="ListNote">
    <w:name w:val="List Note"/>
    <w:basedOn w:val="List"/>
    <w:rsid w:val="00BB1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CCB"/>
    <w:rPr>
      <w:rFonts w:ascii="Courier New" w:hAnsi="Courier New"/>
    </w:rPr>
  </w:style>
  <w:style w:type="paragraph" w:customStyle="1" w:styleId="NoteBullet">
    <w:name w:val="Note Bullet"/>
    <w:basedOn w:val="Note"/>
    <w:rsid w:val="00BB1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CCB"/>
    <w:rPr>
      <w:b/>
      <w:smallCaps/>
    </w:rPr>
  </w:style>
  <w:style w:type="paragraph" w:customStyle="1" w:styleId="TableListNumber">
    <w:name w:val="Table List Number"/>
    <w:basedOn w:val="ListNumber"/>
    <w:rsid w:val="00BB1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CCB"/>
    <w:pPr>
      <w:numPr>
        <w:numId w:val="8"/>
      </w:numPr>
    </w:pPr>
  </w:style>
  <w:style w:type="paragraph" w:customStyle="1" w:styleId="ListAlpha2">
    <w:name w:val="List Alpha 2"/>
    <w:basedOn w:val="List2"/>
    <w:rsid w:val="00BB1CCB"/>
    <w:pPr>
      <w:numPr>
        <w:numId w:val="7"/>
      </w:numPr>
    </w:pPr>
  </w:style>
  <w:style w:type="paragraph" w:styleId="List2">
    <w:name w:val="List 2"/>
    <w:basedOn w:val="BodyText"/>
    <w:rsid w:val="00BB1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C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CCB"/>
    <w:pPr>
      <w:numPr>
        <w:numId w:val="3"/>
      </w:numPr>
    </w:pPr>
  </w:style>
  <w:style w:type="paragraph" w:styleId="ListContinue2">
    <w:name w:val="List Continue 2"/>
    <w:basedOn w:val="List2"/>
    <w:rsid w:val="00BB1CCB"/>
    <w:pPr>
      <w:ind w:firstLine="0"/>
    </w:pPr>
  </w:style>
  <w:style w:type="paragraph" w:styleId="ListContinue3">
    <w:name w:val="List Continue 3"/>
    <w:basedOn w:val="List3"/>
    <w:rsid w:val="00BB1CCB"/>
    <w:pPr>
      <w:ind w:left="1021" w:firstLine="0"/>
    </w:pPr>
  </w:style>
  <w:style w:type="paragraph" w:styleId="ListContinue4">
    <w:name w:val="List Continue 4"/>
    <w:basedOn w:val="List4"/>
    <w:rsid w:val="00BB1CCB"/>
    <w:pPr>
      <w:ind w:firstLine="0"/>
    </w:pPr>
  </w:style>
  <w:style w:type="paragraph" w:styleId="ListContinue5">
    <w:name w:val="List Continue 5"/>
    <w:basedOn w:val="List5"/>
    <w:rsid w:val="00BB1CCB"/>
    <w:pPr>
      <w:ind w:firstLine="0"/>
    </w:pPr>
  </w:style>
  <w:style w:type="paragraph" w:styleId="ListNumber3">
    <w:name w:val="List Number 3"/>
    <w:basedOn w:val="List3"/>
    <w:rsid w:val="00BB1CCB"/>
    <w:pPr>
      <w:numPr>
        <w:numId w:val="4"/>
      </w:numPr>
    </w:pPr>
  </w:style>
  <w:style w:type="paragraph" w:styleId="ListNumber4">
    <w:name w:val="List Number 4"/>
    <w:basedOn w:val="List4"/>
    <w:rsid w:val="00BB1CCB"/>
    <w:pPr>
      <w:numPr>
        <w:numId w:val="5"/>
      </w:numPr>
    </w:pPr>
  </w:style>
  <w:style w:type="paragraph" w:styleId="ListNumber5">
    <w:name w:val="List Number 5"/>
    <w:basedOn w:val="List5"/>
    <w:rsid w:val="00BB1CCB"/>
    <w:pPr>
      <w:numPr>
        <w:numId w:val="6"/>
      </w:numPr>
    </w:pPr>
  </w:style>
  <w:style w:type="paragraph" w:styleId="BlockText">
    <w:name w:val="Block Text"/>
    <w:basedOn w:val="Normal"/>
    <w:rsid w:val="00BB1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CCB"/>
    <w:rPr>
      <w:sz w:val="16"/>
      <w:vertAlign w:val="superscript"/>
    </w:rPr>
  </w:style>
  <w:style w:type="character" w:customStyle="1" w:styleId="Symbols">
    <w:name w:val="Symbols"/>
    <w:basedOn w:val="DefaultParagraphFont"/>
    <w:rsid w:val="00BB1CCB"/>
    <w:rPr>
      <w:rFonts w:ascii="Symbol" w:hAnsi="Symbol"/>
    </w:rPr>
  </w:style>
  <w:style w:type="character" w:customStyle="1" w:styleId="MenuOptions">
    <w:name w:val="Menu Options"/>
    <w:basedOn w:val="DefaultParagraphFont"/>
    <w:rsid w:val="00BB1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CCB"/>
    <w:rPr>
      <w:b/>
    </w:rPr>
  </w:style>
  <w:style w:type="character" w:customStyle="1" w:styleId="Underlined">
    <w:name w:val="Underlined"/>
    <w:basedOn w:val="DefaultParagraphFont"/>
    <w:rsid w:val="00BB1CCB"/>
    <w:rPr>
      <w:u w:val="single"/>
    </w:rPr>
  </w:style>
  <w:style w:type="paragraph" w:customStyle="1" w:styleId="TableBodyTextRight">
    <w:name w:val="Table Body Text Right"/>
    <w:basedOn w:val="TableBodyText"/>
    <w:rsid w:val="00BB1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CCB"/>
    <w:rPr>
      <w:sz w:val="18"/>
    </w:rPr>
  </w:style>
  <w:style w:type="paragraph" w:customStyle="1" w:styleId="BodySmallRight">
    <w:name w:val="Body Small Right"/>
    <w:basedOn w:val="BodyTextRight"/>
    <w:rsid w:val="00BB1CCB"/>
    <w:rPr>
      <w:sz w:val="18"/>
      <w:szCs w:val="18"/>
    </w:rPr>
  </w:style>
  <w:style w:type="paragraph" w:customStyle="1" w:styleId="MarginEdition">
    <w:name w:val="Margin Edition"/>
    <w:basedOn w:val="MarginNote"/>
    <w:rsid w:val="00BB1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CCB"/>
    <w:rPr>
      <w:sz w:val="2"/>
      <w:szCs w:val="2"/>
    </w:rPr>
  </w:style>
  <w:style w:type="character" w:customStyle="1" w:styleId="Small">
    <w:name w:val="Small"/>
    <w:basedOn w:val="DefaultParagraphFont"/>
    <w:rsid w:val="00BB1CCB"/>
    <w:rPr>
      <w:sz w:val="16"/>
    </w:rPr>
  </w:style>
  <w:style w:type="paragraph" w:customStyle="1" w:styleId="WideTable">
    <w:name w:val="Wide Table"/>
    <w:basedOn w:val="Normal"/>
    <w:rsid w:val="00BB1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CCB"/>
  </w:style>
  <w:style w:type="paragraph" w:styleId="Quote">
    <w:name w:val="Quote"/>
    <w:basedOn w:val="Heading1"/>
    <w:link w:val="QuoteChar"/>
    <w:qFormat/>
    <w:rsid w:val="00BB1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CCB"/>
    <w:pPr>
      <w:pageBreakBefore/>
    </w:pPr>
  </w:style>
  <w:style w:type="paragraph" w:customStyle="1" w:styleId="Border">
    <w:name w:val="Border"/>
    <w:basedOn w:val="Normal"/>
    <w:qFormat/>
    <w:rsid w:val="00BB1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CCB"/>
    <w:rPr>
      <w:u w:val="single"/>
    </w:rPr>
  </w:style>
  <w:style w:type="character" w:customStyle="1" w:styleId="BoldandItalics">
    <w:name w:val="Bold and Italics"/>
    <w:qFormat/>
    <w:rsid w:val="00BB1CCB"/>
    <w:rPr>
      <w:b/>
      <w:i/>
      <w:u w:val="none"/>
    </w:rPr>
  </w:style>
  <w:style w:type="paragraph" w:styleId="BalloonText">
    <w:name w:val="Balloon Text"/>
    <w:basedOn w:val="Normal"/>
    <w:link w:val="BalloonTextChar"/>
    <w:rsid w:val="00BB1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C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C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CCB"/>
    <w:pPr>
      <w:spacing w:before="0" w:after="0"/>
    </w:pPr>
  </w:style>
  <w:style w:type="paragraph" w:customStyle="1" w:styleId="BodyTextBold">
    <w:name w:val="Body Text Bold"/>
    <w:basedOn w:val="BodyText"/>
    <w:qFormat/>
    <w:rsid w:val="00BB1CCB"/>
    <w:rPr>
      <w:b/>
    </w:rPr>
  </w:style>
  <w:style w:type="character" w:styleId="Hyperlink">
    <w:name w:val="Hyperlink"/>
    <w:basedOn w:val="DefaultParagraphFont"/>
    <w:uiPriority w:val="99"/>
    <w:unhideWhenUsed/>
    <w:rsid w:val="00201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4479</Characters>
  <Application>Microsoft Office Word</Application>
  <DocSecurity>0</DocSecurity>
  <Lines>165</Lines>
  <Paragraphs>92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FWPCOT2230 Assemble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2020-01-31T07:08:00Z</dcterms:created>
  <dcterms:modified xsi:type="dcterms:W3CDTF">2020-01-31T07:08:00Z</dcterms:modified>
</cp:coreProperties>
</file>