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923" w:rsidP="002E3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FWPCOT2208 Resaw boards and timber</w:t>
      </w:r>
      <w:r>
        <w:fldChar w:fldCharType="end"/>
      </w:r>
    </w:p>
    <w:p w:rsidR="002E3923" w:rsidP="002E3923">
      <w:pPr>
        <w:pStyle w:val="Version"/>
        <w:sectPr w:rsidSect="00A50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36A" w:rsidP="00A5036A">
      <w:pPr>
        <w:pStyle w:val="SuperHeading"/>
      </w:pPr>
      <w:r w:rsidRPr="00A5036A">
        <w:t>FWPCOT2208 Resaw boards and timber</w:t>
      </w:r>
    </w:p>
    <w:p w:rsidR="00000000" w:rsidRPr="00A5036A" w:rsidP="00A5036A">
      <w:pPr>
        <w:pStyle w:val="Heading1"/>
      </w:pPr>
      <w:bookmarkStart w:id="1" w:name="O_910589"/>
      <w:bookmarkEnd w:id="1"/>
      <w:r w:rsidRPr="00A5036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A5036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rPr>
                <w:rStyle w:val="SpecialBold"/>
              </w:rPr>
              <w:t>Comment</w:t>
            </w:r>
          </w:p>
        </w:tc>
      </w:tr>
      <w:tr w:rsidTr="00A5036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t xml:space="preserve">Replaces equivalent unit FPICOT2208B Resaw boards and timber, which was first released with FPI11 Forest and Forest Products Training Package Version 2.2.  </w:t>
            </w:r>
          </w:p>
          <w:p w:rsidR="00000000" w:rsidRPr="00A5036A" w:rsidP="00A5036A">
            <w:pPr>
              <w:pStyle w:val="BodyText"/>
            </w:pPr>
            <w:r w:rsidRPr="00A5036A">
              <w:t>This is the first release of this unit in the new standards</w:t>
            </w:r>
            <w:r w:rsidRPr="00A5036A">
              <w:t xml:space="preserve"> format.</w:t>
            </w:r>
          </w:p>
        </w:tc>
      </w:tr>
    </w:tbl>
    <w:p w:rsidR="00000000" w:rsidRPr="00A5036A" w:rsidP="00A5036A">
      <w:pPr>
        <w:pStyle w:val="BodyText"/>
      </w:pPr>
    </w:p>
    <w:p w:rsidR="00000000" w:rsidRPr="00A5036A" w:rsidP="00A5036A">
      <w:pPr>
        <w:pStyle w:val="AllowPageBreak"/>
      </w:pPr>
    </w:p>
    <w:p w:rsidR="00000000" w:rsidRPr="00A5036A" w:rsidP="00A5036A">
      <w:pPr>
        <w:pStyle w:val="Heading1"/>
      </w:pPr>
      <w:bookmarkStart w:id="2" w:name="O_910590"/>
      <w:bookmarkEnd w:id="2"/>
      <w:r w:rsidRPr="00A5036A">
        <w:t>Application</w:t>
      </w:r>
    </w:p>
    <w:p w:rsidR="00000000" w:rsidRPr="00A5036A" w:rsidP="002E3923">
      <w:pPr>
        <w:pStyle w:val="BodyText"/>
      </w:pPr>
      <w:r w:rsidRPr="00A5036A">
        <w:t>This unit of competency describes the outcomes required to plan and produce boards by resawing larger boards. Work is completed in a forest products factory setting and includes adjusting and maintaining sawing equip</w:t>
      </w:r>
      <w:r w:rsidRPr="00A5036A">
        <w:t>ment.</w:t>
      </w:r>
    </w:p>
    <w:p w:rsidR="00000000" w:rsidRPr="00A5036A" w:rsidP="002E3923">
      <w:pPr>
        <w:pStyle w:val="BodyText"/>
      </w:pPr>
      <w:r w:rsidRPr="00A5036A">
        <w:t xml:space="preserve">The unit applies to Saw Operators, Sawyers, Benchmen, and Wood Machinists </w:t>
      </w:r>
    </w:p>
    <w:p w:rsidR="002E3923" w:rsidP="002E3923">
      <w:pPr>
        <w:pStyle w:val="BodyText"/>
      </w:pPr>
      <w:r w:rsidRPr="00A5036A">
        <w:t>No licensing, legislative, regulatory, or certification requirements apply to this unit at the time of publication.</w:t>
      </w:r>
    </w:p>
    <w:p w:rsidR="00000000" w:rsidRPr="00A5036A" w:rsidP="00A5036A">
      <w:pPr>
        <w:pStyle w:val="Heading1"/>
      </w:pPr>
      <w:bookmarkStart w:id="3" w:name="O_910591"/>
      <w:bookmarkEnd w:id="3"/>
      <w:r w:rsidRPr="00A5036A">
        <w:t>Pre-requisite Unit</w:t>
      </w:r>
    </w:p>
    <w:p w:rsidR="00000000" w:rsidRPr="00A5036A" w:rsidP="002E3923">
      <w:pPr>
        <w:pStyle w:val="BodyText"/>
      </w:pPr>
      <w:r w:rsidRPr="00A5036A">
        <w:t>Nil</w:t>
      </w:r>
    </w:p>
    <w:p w:rsidR="00000000" w:rsidRPr="00A5036A" w:rsidP="00A5036A">
      <w:pPr>
        <w:pStyle w:val="Heading1"/>
      </w:pPr>
      <w:bookmarkStart w:id="4" w:name="O_910593"/>
      <w:bookmarkEnd w:id="4"/>
      <w:r w:rsidRPr="00A5036A">
        <w:t>Unit Sector</w:t>
      </w:r>
    </w:p>
    <w:p w:rsidR="00000000" w:rsidRPr="00A5036A" w:rsidP="002E3923">
      <w:pPr>
        <w:pStyle w:val="BodyText"/>
      </w:pPr>
      <w:r w:rsidRPr="00A5036A">
        <w:t>Common Technical; applies across sectors</w:t>
      </w:r>
    </w:p>
    <w:p w:rsidR="00000000" w:rsidRPr="00A5036A" w:rsidP="00A5036A">
      <w:pPr>
        <w:pStyle w:val="Heading1"/>
      </w:pPr>
      <w:bookmarkStart w:id="5" w:name="O_910594"/>
      <w:bookmarkEnd w:id="5"/>
      <w:r w:rsidRPr="00A503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rPr>
                <w:rStyle w:val="SpecialBold"/>
              </w:rPr>
              <w:t>PERFORMANCE CRITERIA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rPr>
                <w:rStyle w:val="Emphasis"/>
              </w:rPr>
              <w:t>Performance criteria describe the performance needed to demonstrate achievement</w:t>
            </w:r>
            <w:r w:rsidRPr="00A5036A">
              <w:rPr>
                <w:rStyle w:val="Emphasis"/>
              </w:rPr>
              <w:t xml:space="preserve"> of the element. Where bold italicised text is used, further information is detailed in the range of conditions.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t>1.1 Review work order and where required check with appropriate personnel.</w:t>
            </w:r>
          </w:p>
          <w:p w:rsidR="00000000" w:rsidRPr="00A5036A" w:rsidP="00A5036A">
            <w:pPr>
              <w:pStyle w:val="BodyText"/>
            </w:pPr>
            <w:r w:rsidRPr="00A5036A">
              <w:t>1.2 Identify sizes and quantities for resawn boards and obtain material for resawing.</w:t>
            </w:r>
          </w:p>
          <w:p w:rsidR="00000000" w:rsidRPr="00A5036A" w:rsidP="00A5036A">
            <w:pPr>
              <w:pStyle w:val="BodyText"/>
            </w:pPr>
            <w:r w:rsidRPr="00A5036A">
              <w:t>1.3 Select appropriate equipment and check for operational effectiveness in line with manufacturer</w:t>
            </w:r>
            <w:r>
              <w:t>’</w:t>
            </w:r>
            <w:r w:rsidRPr="00A5036A">
              <w:t>s recommendations.</w:t>
            </w:r>
          </w:p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1.4 Plan sequence of machining operations in line wi</w:t>
            </w:r>
            <w:r w:rsidRPr="00A5036A">
              <w:t>th work order and to suit multiple cuts.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2. Produce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t>2.1 Follow lock out procedures and adjust saws, carriage, speeds and feeds to suit types of boards and timber, dimensions, and cutting sequence.</w:t>
            </w:r>
          </w:p>
          <w:p w:rsidR="00000000" w:rsidRPr="00A5036A" w:rsidP="00A5036A">
            <w:pPr>
              <w:pStyle w:val="BodyText"/>
            </w:pPr>
            <w:r w:rsidRPr="00A5036A">
              <w:t>2.2 Use equipment in line with organisational safet</w:t>
            </w:r>
            <w:r w:rsidRPr="00A5036A">
              <w:t>y procedures, manufacturer’s instructions environmental protection practices.</w:t>
            </w:r>
          </w:p>
          <w:p w:rsidR="00000000" w:rsidRPr="00A5036A" w:rsidP="00A5036A">
            <w:pPr>
              <w:pStyle w:val="BodyText"/>
            </w:pPr>
            <w:r w:rsidRPr="00A5036A">
              <w:t>2.3 Select and follow cutting sequence to produce required quantity.</w:t>
            </w:r>
          </w:p>
          <w:p w:rsidR="00000000" w:rsidRPr="00A5036A" w:rsidP="00A5036A">
            <w:pPr>
              <w:pStyle w:val="BodyText"/>
            </w:pPr>
            <w:r w:rsidRPr="00A5036A">
              <w:t>2.4 Maintain feed rate appropriate to timber condition and board size.</w:t>
            </w:r>
          </w:p>
          <w:p w:rsidR="00000000" w:rsidRPr="00A5036A" w:rsidP="00A5036A">
            <w:pPr>
              <w:pStyle w:val="BodyText"/>
            </w:pPr>
            <w:r w:rsidRPr="00A5036A">
              <w:t xml:space="preserve">2.5 Regularly tally resawn boards and </w:t>
            </w:r>
            <w:r w:rsidRPr="00A5036A">
              <w:t>timber against work orders.</w:t>
            </w:r>
          </w:p>
          <w:p w:rsidR="00000000" w:rsidRPr="00A5036A" w:rsidP="00A5036A">
            <w:pPr>
              <w:pStyle w:val="BodyText"/>
            </w:pPr>
            <w:r w:rsidRPr="00A5036A">
              <w:t>2.6 Clear work area regularly in line with in line with organisational safety procedures.</w:t>
            </w:r>
          </w:p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2.7 Identify damaged sawn material and dispose of or recycle in line with environmental protection practices.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3. Assess conditions and ma</w:t>
            </w:r>
            <w:r w:rsidRPr="00A5036A">
              <w:t>intain optimum sawing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t>3.1 Assess sawing conditions regularly to determine optimal feed rate and finish.</w:t>
            </w:r>
          </w:p>
          <w:p w:rsidR="00000000" w:rsidRPr="00A5036A" w:rsidP="00A5036A">
            <w:pPr>
              <w:pStyle w:val="BodyText"/>
            </w:pPr>
            <w:r w:rsidRPr="00A5036A">
              <w:t>3.2 Adjust sawing feed rate to achieve finished dimensions in line with work order.</w:t>
            </w:r>
          </w:p>
          <w:p w:rsidR="00000000" w:rsidRPr="00A5036A" w:rsidP="00A5036A">
            <w:pPr>
              <w:pStyle w:val="BodyText"/>
            </w:pPr>
            <w:r w:rsidRPr="00A5036A">
              <w:t>3.3 Evaluate finish regularly and make adjustments to maxi</w:t>
            </w:r>
            <w:r w:rsidRPr="00A5036A">
              <w:t>mise product quality.</w:t>
            </w:r>
          </w:p>
          <w:p w:rsidR="00000000" w:rsidRPr="00A5036A" w:rsidP="00A5036A">
            <w:pPr>
              <w:pStyle w:val="BodyText"/>
            </w:pPr>
            <w:r w:rsidRPr="00A5036A">
              <w:t>3.4 Regularly measure cross section dimensions of sawn boards against standard sizes and tolerances and adjust sawing process.</w:t>
            </w:r>
          </w:p>
          <w:p w:rsidR="00000000" w:rsidRPr="00A5036A" w:rsidP="00A5036A">
            <w:pPr>
              <w:pStyle w:val="BodyText"/>
            </w:pPr>
            <w:r w:rsidRPr="00A5036A">
              <w:t>3.5 Identify routine processing and equipment faults and resolve or report to appropriate personnel.</w:t>
            </w:r>
          </w:p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3.6 Complete production and quality records and report in line with organisational procedures.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BodyText"/>
            </w:pPr>
            <w:r w:rsidRPr="00A5036A">
              <w:t>4.1 Follow organisational safety procedures to lock out equipment.</w:t>
            </w:r>
          </w:p>
          <w:p w:rsidR="00000000" w:rsidRPr="00A5036A" w:rsidP="00A5036A">
            <w:pPr>
              <w:pStyle w:val="BodyText"/>
            </w:pPr>
            <w:r w:rsidRPr="00A5036A">
              <w:t>4.2 Check cutters and saw blades for bluntness or damage.</w:t>
            </w:r>
          </w:p>
          <w:p w:rsidR="00000000" w:rsidRPr="00A5036A" w:rsidP="00A5036A">
            <w:pPr>
              <w:pStyle w:val="BodyText"/>
            </w:pPr>
            <w:r w:rsidRPr="00A5036A">
              <w:t>4.</w:t>
            </w:r>
            <w:r w:rsidRPr="00A5036A">
              <w:t>3 Remove and replace cutters and blades in line with manufacturer’s recommendations.</w:t>
            </w:r>
          </w:p>
          <w:p w:rsidR="00000000" w:rsidRPr="00A5036A" w:rsidP="00A5036A">
            <w:pPr>
              <w:pStyle w:val="BodyText"/>
            </w:pPr>
            <w:r w:rsidRPr="00A5036A">
              <w:t>4.4 Dispose of used blades in line with organisational procedures and environmental protection practices.</w:t>
            </w:r>
          </w:p>
          <w:p w:rsidR="00000000" w:rsidRPr="00A5036A" w:rsidP="00A5036A">
            <w:pPr>
              <w:pStyle w:val="BodyText"/>
            </w:pPr>
            <w:r w:rsidRPr="00A5036A">
              <w:t>4.5 Complete basic non-specialist maintenance for equipment.</w:t>
            </w:r>
          </w:p>
          <w:p w:rsidR="00000000" w:rsidRPr="00A5036A" w:rsidP="00A5036A">
            <w:pPr>
              <w:pStyle w:val="BodyText"/>
            </w:pPr>
            <w:r w:rsidRPr="00A5036A">
              <w:t xml:space="preserve">4.6 </w:t>
            </w:r>
            <w:r w:rsidRPr="00A5036A">
              <w:t>Record and report equipment faults and maintenance requirements to appropriate personnel.</w:t>
            </w:r>
          </w:p>
        </w:tc>
      </w:tr>
    </w:tbl>
    <w:p w:rsidR="00000000" w:rsidRPr="00A5036A" w:rsidP="00A5036A">
      <w:pPr>
        <w:pStyle w:val="BodyText"/>
      </w:pPr>
    </w:p>
    <w:p w:rsidR="00000000" w:rsidRPr="00A5036A" w:rsidP="00A5036A">
      <w:pPr>
        <w:pStyle w:val="AllowPageBreak"/>
      </w:pPr>
    </w:p>
    <w:p w:rsidR="00000000" w:rsidRPr="00A5036A" w:rsidP="00A5036A">
      <w:pPr>
        <w:pStyle w:val="Heading1"/>
      </w:pPr>
      <w:bookmarkStart w:id="6" w:name="O_910595"/>
      <w:bookmarkEnd w:id="6"/>
      <w:r w:rsidRPr="00A503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This section describes those core and employment skills that are essential to performance and are not explicit in the performance</w:t>
            </w:r>
            <w:r w:rsidRPr="00A5036A">
              <w:t xml:space="preserve"> criteria.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ListBullet"/>
            </w:pPr>
            <w:r w:rsidRPr="00A5036A">
              <w:t>identify quantities of required material within work orders and count raw materials</w:t>
            </w:r>
          </w:p>
          <w:p w:rsidR="00000000" w:rsidRPr="00A5036A" w:rsidP="00A5036A">
            <w:pPr>
              <w:pStyle w:val="ListBullet"/>
            </w:pPr>
            <w:r w:rsidRPr="00A5036A">
              <w:t>interpret order sizes and set up equipment to achieve correct dimensions</w:t>
            </w:r>
          </w:p>
          <w:p w:rsidR="00000000" w:rsidRPr="00A5036A" w:rsidP="00A5036A">
            <w:pPr>
              <w:pStyle w:val="ListBullet"/>
            </w:pPr>
            <w:r w:rsidRPr="00A5036A">
              <w:t xml:space="preserve">calculate the feed rate </w:t>
            </w:r>
            <w:r w:rsidRPr="00A5036A">
              <w:t>to optimise quality and quantity of production output</w:t>
            </w:r>
          </w:p>
          <w:p w:rsidR="00000000" w:rsidRPr="00A5036A" w:rsidP="00A5036A">
            <w:pPr>
              <w:pStyle w:val="ListBullet"/>
            </w:pPr>
            <w:r w:rsidRPr="00A5036A">
              <w:t>accurately measure cross section dimensions of sawn boards against standard sizes and tolerances</w:t>
            </w:r>
          </w:p>
          <w:p w:rsidR="00000000" w:rsidP="00A5036A">
            <w:pPr>
              <w:pStyle w:val="ListBullet"/>
              <w:rPr>
                <w:lang w:val="en-NZ"/>
              </w:rPr>
            </w:pPr>
            <w:r w:rsidRPr="00A5036A">
              <w:t>complete routine production records involving dimensions and quantities tallied against orders.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Oral com</w:t>
            </w:r>
            <w:r w:rsidRPr="00A5036A">
              <w:t>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ListBullet"/>
            </w:pPr>
            <w:r w:rsidRPr="00A5036A">
              <w:t>ask open and closed probe questions and actively listen to clarify contents of work orders</w:t>
            </w:r>
          </w:p>
          <w:p w:rsidR="00000000" w:rsidP="00A5036A">
            <w:pPr>
              <w:pStyle w:val="ListBullet"/>
              <w:rPr>
                <w:lang w:val="en-NZ"/>
              </w:rPr>
            </w:pPr>
            <w:r w:rsidRPr="00A5036A">
              <w:t>make accurate verbal reports on processing and equipment faults.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ListBullet"/>
            </w:pPr>
            <w:r w:rsidRPr="00A5036A">
              <w:t>interpret:</w:t>
            </w:r>
          </w:p>
          <w:p w:rsidR="00000000" w:rsidRPr="00A5036A" w:rsidP="00A5036A">
            <w:pPr>
              <w:pStyle w:val="ListBullet2"/>
            </w:pPr>
            <w:r w:rsidRPr="00A5036A">
              <w:t>workplace health and safety and other organisational procedures</w:t>
            </w:r>
          </w:p>
          <w:p w:rsidR="00000000" w:rsidRPr="00A5036A" w:rsidP="00A5036A">
            <w:pPr>
              <w:pStyle w:val="ListBullet2"/>
            </w:pPr>
            <w:r w:rsidRPr="00A5036A">
              <w:t>work orders</w:t>
            </w:r>
          </w:p>
          <w:p w:rsidR="00000000" w:rsidP="00A5036A">
            <w:pPr>
              <w:pStyle w:val="ListBullet2"/>
              <w:rPr>
                <w:lang w:val="en-NZ"/>
              </w:rPr>
            </w:pPr>
            <w:r w:rsidRPr="00A5036A">
              <w:t>manufacturers’ instructions and maintenance recommendations.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ListBullet"/>
              <w:rPr>
                <w:lang w:val="en-NZ"/>
              </w:rPr>
            </w:pPr>
            <w:r w:rsidRPr="00A5036A">
              <w:t xml:space="preserve">complete accurate basic records for production outcomes, equipment faults and maintenance </w:t>
            </w:r>
            <w:r w:rsidRPr="00A5036A">
              <w:t>requirements.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ListBullet"/>
              <w:rPr>
                <w:lang w:val="en-NZ"/>
              </w:rPr>
            </w:pPr>
            <w:r w:rsidRPr="00A5036A">
              <w:t>efficiently and logically sequence the stages of preparation and production using work order to guide activities.</w:t>
            </w:r>
          </w:p>
        </w:tc>
      </w:tr>
      <w:tr w:rsidTr="002E39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6A">
            <w:pPr>
              <w:pStyle w:val="BodyText"/>
              <w:rPr>
                <w:lang w:val="en-NZ"/>
              </w:rPr>
            </w:pPr>
            <w:r w:rsidRPr="00A5036A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6A" w:rsidP="00A5036A">
            <w:pPr>
              <w:pStyle w:val="ListBullet"/>
            </w:pPr>
            <w:r w:rsidRPr="00A5036A">
              <w:t>identify and dispose of damaged sawn material</w:t>
            </w:r>
          </w:p>
          <w:p w:rsidR="00000000" w:rsidRPr="00A5036A" w:rsidP="00A5036A">
            <w:pPr>
              <w:pStyle w:val="ListBullet"/>
            </w:pPr>
            <w:r w:rsidRPr="00A5036A">
              <w:t>recognise faulty equipment and resolve by reporting or rectifying.</w:t>
            </w:r>
          </w:p>
        </w:tc>
      </w:tr>
    </w:tbl>
    <w:p w:rsidR="00000000" w:rsidRPr="00A5036A" w:rsidP="00A5036A">
      <w:pPr>
        <w:pStyle w:val="BodyText"/>
      </w:pPr>
    </w:p>
    <w:p w:rsidR="00000000" w:rsidRPr="00A5036A" w:rsidP="00A5036A">
      <w:pPr>
        <w:pStyle w:val="AllowPageBreak"/>
      </w:pPr>
    </w:p>
    <w:p w:rsidR="00000000" w:rsidRPr="00A5036A" w:rsidP="00A5036A">
      <w:pPr>
        <w:pStyle w:val="Heading1"/>
      </w:pPr>
      <w:bookmarkStart w:id="7" w:name="O_910596"/>
      <w:bookmarkEnd w:id="7"/>
      <w:r w:rsidRPr="00A5036A">
        <w:t>Range of Conditions</w:t>
      </w:r>
    </w:p>
    <w:p w:rsidR="00000000" w:rsidRPr="00A5036A" w:rsidP="002E3923">
      <w:pPr>
        <w:pStyle w:val="BodyText"/>
      </w:pPr>
      <w:r w:rsidRPr="00A5036A">
        <w:t>Not Applicable</w:t>
      </w:r>
    </w:p>
    <w:p w:rsidR="00000000" w:rsidRPr="00A5036A" w:rsidP="00A5036A">
      <w:pPr>
        <w:pStyle w:val="Heading1"/>
      </w:pPr>
      <w:bookmarkStart w:id="8" w:name="O_910597"/>
      <w:bookmarkEnd w:id="8"/>
      <w:r w:rsidRPr="00A5036A">
        <w:t>Unit Mapping Information</w:t>
      </w:r>
    </w:p>
    <w:p w:rsidR="00000000" w:rsidRPr="00A5036A" w:rsidP="002E3923">
      <w:pPr>
        <w:pStyle w:val="BodyText"/>
      </w:pPr>
      <w:r w:rsidRPr="00A5036A">
        <w:t>FPICOT2208B Resaw boards and timber</w:t>
      </w:r>
    </w:p>
    <w:p w:rsidR="00000000" w:rsidRPr="00A5036A" w:rsidP="00A5036A">
      <w:pPr>
        <w:pStyle w:val="Heading1"/>
      </w:pPr>
      <w:bookmarkStart w:id="9" w:name="O_910604"/>
      <w:bookmarkEnd w:id="9"/>
      <w:r w:rsidRPr="00A5036A">
        <w:t>Links</w:t>
      </w:r>
    </w:p>
    <w:p w:rsidR="00000000" w:rsidRPr="00A5036A" w:rsidP="002E3923">
      <w:pPr>
        <w:pStyle w:val="BodyText"/>
      </w:pPr>
      <w:r w:rsidRPr="00A5036A">
        <w:t>Companion Volume implementation gu</w:t>
      </w:r>
      <w:r w:rsidRPr="00A5036A">
        <w:t xml:space="preserve">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44A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036A" w:rsidP="00A5036A"/>
    <w:sectPr w:rsidSect="00A503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6A" w:rsidRPr="002E3923" w:rsidP="002E3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23" w:rsidP="00A50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923" w:rsidP="00A50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3923" w:rsidP="00A50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36A" w:rsidRPr="002E3923" w:rsidP="002E3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23" w:rsidRPr="002D2AF8" w:rsidP="00A50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FWPCOT2208 Resaw boards and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E3923" w:rsidP="00A50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408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23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A6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36A"/>
  </w:style>
  <w:style w:type="character" w:customStyle="1" w:styleId="Heading1Char">
    <w:name w:val="Heading 1 Char"/>
    <w:basedOn w:val="DefaultParagraphFont"/>
    <w:link w:val="Heading1"/>
    <w:rsid w:val="00A50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3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36A"/>
    <w:rPr>
      <w:b/>
      <w:spacing w:val="0"/>
    </w:rPr>
  </w:style>
  <w:style w:type="paragraph" w:styleId="ListBullet2">
    <w:name w:val="List Bullet 2"/>
    <w:basedOn w:val="List2"/>
    <w:rsid w:val="00A503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036A"/>
    <w:rPr>
      <w:i/>
    </w:rPr>
  </w:style>
  <w:style w:type="paragraph" w:customStyle="1" w:styleId="SuperHeading">
    <w:name w:val="SuperHeading"/>
    <w:basedOn w:val="Normal"/>
    <w:rsid w:val="00A50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3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36A"/>
  </w:style>
  <w:style w:type="paragraph" w:styleId="TableofFigures">
    <w:name w:val="table of figures"/>
    <w:basedOn w:val="Normal"/>
    <w:next w:val="Normal"/>
    <w:semiHidden/>
    <w:rsid w:val="00A50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3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36A"/>
    <w:rPr>
      <w:rFonts w:ascii="Wingdings" w:hAnsi="Wingdings"/>
    </w:rPr>
  </w:style>
  <w:style w:type="paragraph" w:customStyle="1" w:styleId="TableHeading">
    <w:name w:val="Table Heading"/>
    <w:basedOn w:val="HeadingBase"/>
    <w:rsid w:val="00A50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36A"/>
    <w:rPr>
      <w:color w:val="0033CC"/>
      <w:u w:val="none"/>
    </w:rPr>
  </w:style>
  <w:style w:type="paragraph" w:customStyle="1" w:styleId="BodyTextRight">
    <w:name w:val="Body Text Right"/>
    <w:basedOn w:val="BodyText"/>
    <w:rsid w:val="00A50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36A"/>
    <w:rPr>
      <w:sz w:val="32"/>
    </w:rPr>
  </w:style>
  <w:style w:type="paragraph" w:customStyle="1" w:styleId="HeadingProcedure">
    <w:name w:val="Heading Procedure"/>
    <w:basedOn w:val="HeadingBase"/>
    <w:next w:val="Normal"/>
    <w:rsid w:val="00A50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36A"/>
    <w:pPr>
      <w:spacing w:before="60" w:after="60"/>
    </w:pPr>
  </w:style>
  <w:style w:type="paragraph" w:styleId="ListContinue">
    <w:name w:val="List Continue"/>
    <w:basedOn w:val="List"/>
    <w:rsid w:val="00A5036A"/>
    <w:pPr>
      <w:ind w:firstLine="0"/>
    </w:pPr>
  </w:style>
  <w:style w:type="paragraph" w:customStyle="1" w:styleId="ListNote">
    <w:name w:val="List Note"/>
    <w:basedOn w:val="List"/>
    <w:rsid w:val="00A50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36A"/>
    <w:rPr>
      <w:rFonts w:ascii="Courier New" w:hAnsi="Courier New"/>
    </w:rPr>
  </w:style>
  <w:style w:type="paragraph" w:customStyle="1" w:styleId="NoteBullet">
    <w:name w:val="Note Bullet"/>
    <w:basedOn w:val="Note"/>
    <w:rsid w:val="00A50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3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36A"/>
    <w:rPr>
      <w:b/>
      <w:smallCaps/>
    </w:rPr>
  </w:style>
  <w:style w:type="paragraph" w:customStyle="1" w:styleId="TableListNumber">
    <w:name w:val="Table List Number"/>
    <w:basedOn w:val="ListNumber"/>
    <w:rsid w:val="00A50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36A"/>
    <w:pPr>
      <w:numPr>
        <w:numId w:val="9"/>
      </w:numPr>
    </w:pPr>
  </w:style>
  <w:style w:type="paragraph" w:customStyle="1" w:styleId="ListAlpha2">
    <w:name w:val="List Alpha 2"/>
    <w:basedOn w:val="List2"/>
    <w:rsid w:val="00A5036A"/>
    <w:pPr>
      <w:numPr>
        <w:numId w:val="8"/>
      </w:numPr>
    </w:pPr>
  </w:style>
  <w:style w:type="paragraph" w:styleId="List2">
    <w:name w:val="List 2"/>
    <w:basedOn w:val="BodyText"/>
    <w:rsid w:val="00A50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3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36A"/>
    <w:pPr>
      <w:numPr>
        <w:numId w:val="4"/>
      </w:numPr>
    </w:pPr>
  </w:style>
  <w:style w:type="paragraph" w:styleId="ListContinue2">
    <w:name w:val="List Continue 2"/>
    <w:basedOn w:val="List2"/>
    <w:rsid w:val="00A5036A"/>
    <w:pPr>
      <w:ind w:firstLine="0"/>
    </w:pPr>
  </w:style>
  <w:style w:type="paragraph" w:styleId="ListContinue3">
    <w:name w:val="List Continue 3"/>
    <w:basedOn w:val="List3"/>
    <w:rsid w:val="00A5036A"/>
    <w:pPr>
      <w:ind w:left="1021" w:firstLine="0"/>
    </w:pPr>
  </w:style>
  <w:style w:type="paragraph" w:styleId="ListContinue4">
    <w:name w:val="List Continue 4"/>
    <w:basedOn w:val="List4"/>
    <w:rsid w:val="00A5036A"/>
    <w:pPr>
      <w:ind w:firstLine="0"/>
    </w:pPr>
  </w:style>
  <w:style w:type="paragraph" w:styleId="ListContinue5">
    <w:name w:val="List Continue 5"/>
    <w:basedOn w:val="List5"/>
    <w:rsid w:val="00A5036A"/>
    <w:pPr>
      <w:ind w:firstLine="0"/>
    </w:pPr>
  </w:style>
  <w:style w:type="paragraph" w:styleId="ListNumber3">
    <w:name w:val="List Number 3"/>
    <w:basedOn w:val="List3"/>
    <w:rsid w:val="00A5036A"/>
    <w:pPr>
      <w:numPr>
        <w:numId w:val="5"/>
      </w:numPr>
    </w:pPr>
  </w:style>
  <w:style w:type="paragraph" w:styleId="ListNumber4">
    <w:name w:val="List Number 4"/>
    <w:basedOn w:val="List4"/>
    <w:rsid w:val="00A5036A"/>
    <w:pPr>
      <w:numPr>
        <w:numId w:val="6"/>
      </w:numPr>
    </w:pPr>
  </w:style>
  <w:style w:type="paragraph" w:styleId="ListNumber5">
    <w:name w:val="List Number 5"/>
    <w:basedOn w:val="List5"/>
    <w:rsid w:val="00A5036A"/>
    <w:pPr>
      <w:numPr>
        <w:numId w:val="7"/>
      </w:numPr>
    </w:pPr>
  </w:style>
  <w:style w:type="paragraph" w:styleId="BlockText">
    <w:name w:val="Block Text"/>
    <w:basedOn w:val="Normal"/>
    <w:rsid w:val="00A50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36A"/>
    <w:rPr>
      <w:sz w:val="16"/>
      <w:vertAlign w:val="superscript"/>
    </w:rPr>
  </w:style>
  <w:style w:type="character" w:customStyle="1" w:styleId="Symbols">
    <w:name w:val="Symbols"/>
    <w:basedOn w:val="DefaultParagraphFont"/>
    <w:rsid w:val="00A5036A"/>
    <w:rPr>
      <w:rFonts w:ascii="Symbol" w:hAnsi="Symbol"/>
    </w:rPr>
  </w:style>
  <w:style w:type="character" w:customStyle="1" w:styleId="MenuOptions">
    <w:name w:val="Menu Options"/>
    <w:basedOn w:val="DefaultParagraphFont"/>
    <w:rsid w:val="00A50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36A"/>
    <w:rPr>
      <w:b/>
    </w:rPr>
  </w:style>
  <w:style w:type="character" w:customStyle="1" w:styleId="Underlined">
    <w:name w:val="Underlined"/>
    <w:basedOn w:val="DefaultParagraphFont"/>
    <w:rsid w:val="00A5036A"/>
    <w:rPr>
      <w:u w:val="single"/>
    </w:rPr>
  </w:style>
  <w:style w:type="paragraph" w:customStyle="1" w:styleId="TableBodyTextRight">
    <w:name w:val="Table Body Text Right"/>
    <w:basedOn w:val="TableBodyText"/>
    <w:rsid w:val="00A50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36A"/>
    <w:rPr>
      <w:sz w:val="18"/>
    </w:rPr>
  </w:style>
  <w:style w:type="paragraph" w:customStyle="1" w:styleId="BodySmallRight">
    <w:name w:val="Body Small Right"/>
    <w:basedOn w:val="BodyTextRight"/>
    <w:rsid w:val="00A5036A"/>
    <w:rPr>
      <w:sz w:val="18"/>
      <w:szCs w:val="18"/>
    </w:rPr>
  </w:style>
  <w:style w:type="paragraph" w:customStyle="1" w:styleId="MarginEdition">
    <w:name w:val="Margin Edition"/>
    <w:basedOn w:val="MarginNote"/>
    <w:rsid w:val="00A50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36A"/>
    <w:rPr>
      <w:sz w:val="2"/>
      <w:szCs w:val="2"/>
    </w:rPr>
  </w:style>
  <w:style w:type="character" w:customStyle="1" w:styleId="Small">
    <w:name w:val="Small"/>
    <w:basedOn w:val="DefaultParagraphFont"/>
    <w:rsid w:val="00A5036A"/>
    <w:rPr>
      <w:sz w:val="16"/>
    </w:rPr>
  </w:style>
  <w:style w:type="paragraph" w:customStyle="1" w:styleId="WideTable">
    <w:name w:val="Wide Table"/>
    <w:basedOn w:val="Normal"/>
    <w:rsid w:val="00A50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36A"/>
  </w:style>
  <w:style w:type="paragraph" w:styleId="Quote">
    <w:name w:val="Quote"/>
    <w:basedOn w:val="Heading1"/>
    <w:link w:val="QuoteChar"/>
    <w:qFormat/>
    <w:rsid w:val="00A50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36A"/>
    <w:pPr>
      <w:pageBreakBefore/>
    </w:pPr>
  </w:style>
  <w:style w:type="paragraph" w:customStyle="1" w:styleId="Border">
    <w:name w:val="Border"/>
    <w:basedOn w:val="Normal"/>
    <w:qFormat/>
    <w:rsid w:val="00A50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36A"/>
    <w:rPr>
      <w:u w:val="single"/>
    </w:rPr>
  </w:style>
  <w:style w:type="character" w:customStyle="1" w:styleId="BoldandItalics">
    <w:name w:val="Bold and Italics"/>
    <w:qFormat/>
    <w:rsid w:val="00A5036A"/>
    <w:rPr>
      <w:b/>
      <w:i/>
      <w:u w:val="none"/>
    </w:rPr>
  </w:style>
  <w:style w:type="paragraph" w:styleId="BalloonText">
    <w:name w:val="Balloon Text"/>
    <w:basedOn w:val="Normal"/>
    <w:link w:val="BalloonTextChar"/>
    <w:rsid w:val="00A50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36A"/>
    <w:pPr>
      <w:spacing w:before="0" w:after="0"/>
    </w:pPr>
  </w:style>
  <w:style w:type="paragraph" w:customStyle="1" w:styleId="BodyTextBold">
    <w:name w:val="Body Text Bold"/>
    <w:basedOn w:val="BodyText"/>
    <w:qFormat/>
    <w:rsid w:val="00A5036A"/>
    <w:rPr>
      <w:b/>
    </w:rPr>
  </w:style>
  <w:style w:type="character" w:styleId="Hyperlink">
    <w:name w:val="Hyperlink"/>
    <w:basedOn w:val="DefaultParagraphFont"/>
    <w:uiPriority w:val="99"/>
    <w:unhideWhenUsed/>
    <w:rsid w:val="002E3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4469</Characters>
  <Application>Microsoft Office Word</Application>
  <DocSecurity>0</DocSecurity>
  <Lines>139</Lines>
  <Paragraphs>92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FWPCOT2208 Resaw boards and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2020-01-31T08:11:00Z</dcterms:created>
  <dcterms:modified xsi:type="dcterms:W3CDTF">2020-01-31T08:11:00Z</dcterms:modified>
</cp:coreProperties>
</file>