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02D" w:rsidP="003430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FWPCOT2208 Resaw boards and timber</w:t>
      </w:r>
      <w:r>
        <w:fldChar w:fldCharType="end"/>
      </w:r>
    </w:p>
    <w:p w:rsidR="0034302D" w:rsidP="0034302D">
      <w:pPr>
        <w:pStyle w:val="Version"/>
        <w:sectPr w:rsidSect="007932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328E" w:rsidP="0079328E">
      <w:pPr>
        <w:pStyle w:val="SuperHeading"/>
      </w:pPr>
      <w:r w:rsidRPr="0079328E">
        <w:t>Assessment Requirements for FWPCOT2208 Resaw boards and timber</w:t>
      </w:r>
    </w:p>
    <w:p w:rsidR="00000000" w:rsidRPr="0079328E" w:rsidP="0079328E">
      <w:pPr>
        <w:pStyle w:val="Heading1"/>
      </w:pPr>
      <w:bookmarkStart w:id="1" w:name="O_910599"/>
      <w:bookmarkEnd w:id="1"/>
      <w:r w:rsidRPr="0079328E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79328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8E" w:rsidP="0079328E">
            <w:pPr>
              <w:pStyle w:val="BodyText"/>
            </w:pPr>
            <w:r w:rsidRPr="0079328E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8E">
            <w:pPr>
              <w:pStyle w:val="BodyText"/>
              <w:rPr>
                <w:lang w:val="en-NZ"/>
              </w:rPr>
            </w:pPr>
            <w:r w:rsidRPr="0079328E">
              <w:rPr>
                <w:rStyle w:val="SpecialBold"/>
              </w:rPr>
              <w:t>Comment</w:t>
            </w:r>
          </w:p>
        </w:tc>
      </w:tr>
      <w:tr w:rsidTr="0079328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28E">
            <w:pPr>
              <w:pStyle w:val="BodyText"/>
              <w:rPr>
                <w:lang w:val="en-NZ"/>
              </w:rPr>
            </w:pPr>
            <w:r w:rsidRPr="0079328E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28E" w:rsidP="0079328E">
            <w:pPr>
              <w:pStyle w:val="BodyText"/>
            </w:pPr>
            <w:r w:rsidRPr="0079328E">
              <w:t>Replaces equivalent unit FPICOT2208B Resaw boards and timber, which was first released with FPI11 Forest and Forest Products Trai</w:t>
            </w:r>
            <w:r w:rsidRPr="0079328E">
              <w:t>ning Package Version 2.2.   This is the first release of this unit in the new standards format.</w:t>
            </w:r>
          </w:p>
          <w:p w:rsidR="00000000" w:rsidRPr="0079328E" w:rsidP="0079328E">
            <w:pPr>
              <w:pStyle w:val="BodyText"/>
            </w:pPr>
            <w:r w:rsidRPr="0079328E">
              <w:t>Assessment requirements now specify the performance and knowledge evidence, as well as assessment conditions for this unit of competency. These sections simplif</w:t>
            </w:r>
            <w:r w:rsidRPr="0079328E">
              <w:t>y and replace components used in the previous unit format, including Required Skills and Knowledge, Evidence Guide and Range Statement.</w:t>
            </w:r>
          </w:p>
        </w:tc>
      </w:tr>
    </w:tbl>
    <w:p w:rsidR="00000000" w:rsidRPr="0079328E" w:rsidP="0079328E">
      <w:pPr>
        <w:pStyle w:val="BodyText"/>
      </w:pPr>
    </w:p>
    <w:p w:rsidR="00000000" w:rsidRPr="0079328E" w:rsidP="0079328E">
      <w:pPr>
        <w:pStyle w:val="AllowPageBreak"/>
      </w:pPr>
    </w:p>
    <w:p w:rsidR="00000000" w:rsidRPr="0079328E" w:rsidP="0079328E">
      <w:pPr>
        <w:pStyle w:val="Heading1"/>
      </w:pPr>
      <w:bookmarkStart w:id="2" w:name="O_910600"/>
      <w:bookmarkEnd w:id="2"/>
      <w:r w:rsidRPr="0079328E">
        <w:t>Performance Evidence</w:t>
      </w:r>
    </w:p>
    <w:p w:rsidR="00000000" w:rsidRPr="0079328E" w:rsidP="0034302D">
      <w:pPr>
        <w:pStyle w:val="BodyText"/>
      </w:pPr>
      <w:r w:rsidRPr="0079328E">
        <w:t>A person demonstrating competency in this unit must satisfy all of the elements,</w:t>
      </w:r>
      <w:r w:rsidRPr="0079328E">
        <w:t xml:space="preserve"> performance criteria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79328E" w:rsidP="0079328E">
      <w:pPr>
        <w:pStyle w:val="ListBullet"/>
      </w:pPr>
      <w:r w:rsidRPr="0079328E">
        <w:t xml:space="preserve">complete resawing jobs, in line </w:t>
      </w:r>
      <w:r w:rsidRPr="0079328E">
        <w:t>with an individual work order for each job, on one or more of these types of timber:</w:t>
      </w:r>
    </w:p>
    <w:p w:rsidR="00000000" w:rsidRPr="0079328E" w:rsidP="0079328E">
      <w:pPr>
        <w:pStyle w:val="ListBullet2"/>
      </w:pPr>
      <w:r w:rsidRPr="0079328E">
        <w:t>softwood</w:t>
      </w:r>
    </w:p>
    <w:p w:rsidR="00000000" w:rsidRPr="0079328E" w:rsidP="0079328E">
      <w:pPr>
        <w:pStyle w:val="ListBullet2"/>
      </w:pPr>
      <w:r w:rsidRPr="0079328E">
        <w:t>hardwood</w:t>
      </w:r>
    </w:p>
    <w:p w:rsidR="00000000" w:rsidRPr="0079328E" w:rsidP="0079328E">
      <w:pPr>
        <w:pStyle w:val="ListBullet2"/>
      </w:pPr>
      <w:r w:rsidRPr="0079328E">
        <w:t>treated</w:t>
      </w:r>
    </w:p>
    <w:p w:rsidR="00000000" w:rsidRPr="0079328E" w:rsidP="0079328E">
      <w:pPr>
        <w:pStyle w:val="ListBullet2"/>
      </w:pPr>
      <w:r w:rsidRPr="0079328E">
        <w:t>untreated</w:t>
      </w:r>
    </w:p>
    <w:p w:rsidR="00000000" w:rsidRPr="0079328E" w:rsidP="0079328E">
      <w:pPr>
        <w:pStyle w:val="ListBullet2"/>
      </w:pPr>
      <w:r w:rsidRPr="0079328E">
        <w:t>laminated boards</w:t>
      </w:r>
    </w:p>
    <w:p w:rsidR="00000000" w:rsidRPr="0079328E" w:rsidP="0079328E">
      <w:pPr>
        <w:pStyle w:val="ListBullet"/>
      </w:pPr>
      <w:r w:rsidRPr="0079328E">
        <w:t>across the above jobs, complete these processes:</w:t>
      </w:r>
    </w:p>
    <w:p w:rsidR="00000000" w:rsidRPr="0079328E" w:rsidP="0079328E">
      <w:pPr>
        <w:pStyle w:val="ListBullet2"/>
      </w:pPr>
      <w:r w:rsidRPr="0079328E">
        <w:t>resawing larger boards, recovering boards from one edge at each pass</w:t>
      </w:r>
    </w:p>
    <w:p w:rsidR="00000000" w:rsidRPr="0079328E" w:rsidP="0079328E">
      <w:pPr>
        <w:pStyle w:val="ListBullet2"/>
      </w:pPr>
      <w:r w:rsidRPr="0079328E">
        <w:t>splitting a larger board into two or more sections</w:t>
      </w:r>
    </w:p>
    <w:p w:rsidR="00000000" w:rsidRPr="0079328E" w:rsidP="0079328E">
      <w:pPr>
        <w:pStyle w:val="ListBullet"/>
      </w:pPr>
      <w:r w:rsidRPr="0079328E">
        <w:t>complete these types of basic non-specialist maintenance:</w:t>
      </w:r>
    </w:p>
    <w:p w:rsidR="00000000" w:rsidRPr="0079328E" w:rsidP="0079328E">
      <w:pPr>
        <w:pStyle w:val="ListBullet2"/>
      </w:pPr>
      <w:r w:rsidRPr="0079328E">
        <w:t>cleaning the machine of wood chips and sawdust</w:t>
      </w:r>
    </w:p>
    <w:p w:rsidR="00000000" w:rsidRPr="0079328E" w:rsidP="0079328E">
      <w:pPr>
        <w:pStyle w:val="ListBullet2"/>
      </w:pPr>
      <w:r w:rsidRPr="0079328E">
        <w:t>replacing blunt cutters or sa</w:t>
      </w:r>
      <w:r w:rsidRPr="0079328E">
        <w:t>w blades</w:t>
      </w:r>
    </w:p>
    <w:p w:rsidR="00000000" w:rsidRPr="0079328E" w:rsidP="0079328E">
      <w:pPr>
        <w:pStyle w:val="ListBullet2"/>
      </w:pPr>
      <w:r w:rsidRPr="0079328E">
        <w:t>inspecting machine parts for wear or damage, including guards</w:t>
      </w:r>
    </w:p>
    <w:p w:rsidR="00000000" w:rsidRPr="0079328E" w:rsidP="0079328E">
      <w:pPr>
        <w:pStyle w:val="ListBullet2"/>
      </w:pPr>
      <w:r w:rsidRPr="0079328E">
        <w:t>greasing and lubricating moving parts</w:t>
      </w:r>
    </w:p>
    <w:p w:rsidR="0034302D" w:rsidP="0079328E">
      <w:pPr>
        <w:pStyle w:val="ListBullet2"/>
      </w:pPr>
      <w:r w:rsidRPr="0079328E">
        <w:t>checking the operation of emergency stop buttons and lock out systems.</w:t>
      </w:r>
    </w:p>
    <w:p w:rsidR="0034302D" w:rsidP="0079328E">
      <w:pPr>
        <w:pStyle w:val="ListBullet2"/>
      </w:pPr>
    </w:p>
    <w:p w:rsidR="00000000" w:rsidRPr="0079328E" w:rsidP="0079328E">
      <w:pPr>
        <w:pStyle w:val="Heading1"/>
      </w:pPr>
      <w:bookmarkStart w:id="3" w:name="O_910601"/>
      <w:bookmarkEnd w:id="3"/>
      <w:r w:rsidRPr="0079328E">
        <w:t>Knowledge Evidence</w:t>
      </w:r>
    </w:p>
    <w:p w:rsidR="00000000" w:rsidRPr="0079328E" w:rsidP="0034302D">
      <w:pPr>
        <w:pStyle w:val="BodyText"/>
      </w:pPr>
      <w:r w:rsidRPr="0079328E">
        <w:t>A person competent in this unit must be able to demonstrate knowledge of:</w:t>
      </w:r>
    </w:p>
    <w:p w:rsidR="00000000" w:rsidRPr="0079328E" w:rsidP="0079328E">
      <w:pPr>
        <w:pStyle w:val="ListBullet"/>
      </w:pPr>
      <w:r w:rsidRPr="0079328E">
        <w:t>environmental protection practices for forest products factory settings:</w:t>
      </w:r>
    </w:p>
    <w:p w:rsidR="00000000" w:rsidRPr="0079328E" w:rsidP="0079328E">
      <w:pPr>
        <w:pStyle w:val="ListBullet2"/>
      </w:pPr>
      <w:r w:rsidRPr="0079328E">
        <w:t>cleaning plant, tools and equipment</w:t>
      </w:r>
    </w:p>
    <w:p w:rsidR="00000000" w:rsidRPr="0079328E" w:rsidP="0079328E">
      <w:pPr>
        <w:pStyle w:val="ListBullet2"/>
      </w:pPr>
      <w:r w:rsidRPr="0079328E">
        <w:t>disposing of, recycling and reusing timber including:</w:t>
      </w:r>
    </w:p>
    <w:p w:rsidR="00000000" w:rsidRPr="0079328E" w:rsidP="0079328E">
      <w:pPr>
        <w:pStyle w:val="ListBullet3"/>
      </w:pPr>
      <w:r w:rsidRPr="0079328E">
        <w:t>recycling damage</w:t>
      </w:r>
      <w:r w:rsidRPr="0079328E">
        <w:t>d sawn material</w:t>
      </w:r>
    </w:p>
    <w:p w:rsidR="00000000" w:rsidRPr="0079328E" w:rsidP="0079328E">
      <w:pPr>
        <w:pStyle w:val="ListBullet3"/>
      </w:pPr>
      <w:r w:rsidRPr="0079328E">
        <w:t>re-using damaged sawn material</w:t>
      </w:r>
    </w:p>
    <w:p w:rsidR="00000000" w:rsidRPr="0079328E" w:rsidP="0079328E">
      <w:pPr>
        <w:pStyle w:val="ListBullet3"/>
      </w:pPr>
      <w:r w:rsidRPr="0079328E">
        <w:t>redirecting damaged sawn material for energy recovery</w:t>
      </w:r>
    </w:p>
    <w:p w:rsidR="00000000" w:rsidRPr="0079328E" w:rsidP="0079328E">
      <w:pPr>
        <w:pStyle w:val="ListBullet"/>
      </w:pPr>
      <w:r w:rsidRPr="0079328E">
        <w:t>range of industry standard lengths, cross sections and tolerances and applicable terminology</w:t>
      </w:r>
    </w:p>
    <w:p w:rsidR="00000000" w:rsidRPr="0079328E" w:rsidP="0079328E">
      <w:pPr>
        <w:pStyle w:val="ListBullet"/>
      </w:pPr>
      <w:r w:rsidRPr="0079328E">
        <w:t>typical cutting patterns</w:t>
      </w:r>
    </w:p>
    <w:p w:rsidR="00000000" w:rsidRPr="0079328E" w:rsidP="0079328E">
      <w:pPr>
        <w:pStyle w:val="ListBullet"/>
      </w:pPr>
      <w:r w:rsidRPr="0079328E">
        <w:t>machines and equipment used for resawing boards and timber; their purpose, features, operation and basic non-specialist repair and maintenance:</w:t>
      </w:r>
    </w:p>
    <w:p w:rsidR="00000000" w:rsidRPr="0079328E" w:rsidP="0079328E">
      <w:pPr>
        <w:pStyle w:val="ListBullet2"/>
      </w:pPr>
      <w:r w:rsidRPr="0079328E">
        <w:t>simple table saws</w:t>
      </w:r>
    </w:p>
    <w:p w:rsidR="00000000" w:rsidRPr="0079328E" w:rsidP="0079328E">
      <w:pPr>
        <w:pStyle w:val="ListBullet2"/>
      </w:pPr>
      <w:r w:rsidRPr="0079328E">
        <w:t>complex saw and conveyor systems</w:t>
      </w:r>
    </w:p>
    <w:p w:rsidR="00000000" w:rsidRPr="0079328E" w:rsidP="0079328E">
      <w:pPr>
        <w:pStyle w:val="ListBullet2"/>
      </w:pPr>
      <w:r w:rsidRPr="0079328E">
        <w:t>circular or band saws</w:t>
      </w:r>
    </w:p>
    <w:p w:rsidR="00000000" w:rsidRPr="0079328E" w:rsidP="0079328E">
      <w:pPr>
        <w:pStyle w:val="ListBullet2"/>
      </w:pPr>
      <w:r w:rsidRPr="0079328E">
        <w:t>single or multiple saws</w:t>
      </w:r>
    </w:p>
    <w:p w:rsidR="00000000" w:rsidRPr="0079328E" w:rsidP="0079328E">
      <w:pPr>
        <w:pStyle w:val="ListBullet"/>
      </w:pPr>
      <w:r w:rsidRPr="0079328E">
        <w:t>methods for assessing cutters and saw blade condition</w:t>
      </w:r>
    </w:p>
    <w:p w:rsidR="00000000" w:rsidRPr="0079328E" w:rsidP="0079328E">
      <w:pPr>
        <w:pStyle w:val="ListBullet"/>
      </w:pPr>
      <w:r w:rsidRPr="0079328E">
        <w:t>problems that may occur during sawing operations including:</w:t>
      </w:r>
    </w:p>
    <w:p w:rsidR="00000000" w:rsidRPr="0079328E" w:rsidP="0079328E">
      <w:pPr>
        <w:pStyle w:val="ListBullet2"/>
      </w:pPr>
      <w:r w:rsidRPr="0079328E">
        <w:t>equipment faults and malfunctions</w:t>
      </w:r>
    </w:p>
    <w:p w:rsidR="00000000" w:rsidRPr="0079328E" w:rsidP="0079328E">
      <w:pPr>
        <w:pStyle w:val="ListBullet2"/>
      </w:pPr>
      <w:r w:rsidRPr="0079328E">
        <w:t>quality of product and machine settings</w:t>
      </w:r>
    </w:p>
    <w:p w:rsidR="00000000" w:rsidRPr="0079328E" w:rsidP="0079328E">
      <w:pPr>
        <w:pStyle w:val="ListBullet2"/>
      </w:pPr>
      <w:r w:rsidRPr="0079328E">
        <w:t>transfer and flow of material</w:t>
      </w:r>
    </w:p>
    <w:p w:rsidR="00000000" w:rsidRPr="0079328E" w:rsidP="0079328E">
      <w:pPr>
        <w:pStyle w:val="ListBullet2"/>
      </w:pPr>
      <w:r w:rsidRPr="0079328E">
        <w:t>routine sawing problems</w:t>
      </w:r>
    </w:p>
    <w:p w:rsidR="00000000" w:rsidRPr="0079328E" w:rsidP="0079328E">
      <w:pPr>
        <w:pStyle w:val="ListBullet2"/>
      </w:pPr>
      <w:r w:rsidRPr="0079328E">
        <w:t>feed rate and</w:t>
      </w:r>
      <w:r w:rsidRPr="0079328E">
        <w:t xml:space="preserve"> product finish</w:t>
      </w:r>
    </w:p>
    <w:p w:rsidR="00000000" w:rsidRPr="0079328E" w:rsidP="0079328E">
      <w:pPr>
        <w:pStyle w:val="ListBullet2"/>
      </w:pPr>
      <w:r w:rsidRPr="0079328E">
        <w:t>infeed and outfeed systems</w:t>
      </w:r>
    </w:p>
    <w:p w:rsidR="00000000" w:rsidRPr="0079328E" w:rsidP="0079328E">
      <w:pPr>
        <w:pStyle w:val="ListBullet2"/>
      </w:pPr>
      <w:r w:rsidRPr="0079328E">
        <w:t>damage to sawn board</w:t>
      </w:r>
    </w:p>
    <w:p w:rsidR="00000000" w:rsidRPr="0079328E" w:rsidP="0079328E">
      <w:pPr>
        <w:pStyle w:val="ListBullet2"/>
      </w:pPr>
      <w:r w:rsidRPr="0079328E">
        <w:t>damage to saw blade</w:t>
      </w:r>
    </w:p>
    <w:p w:rsidR="00000000" w:rsidRPr="0079328E" w:rsidP="0079328E">
      <w:pPr>
        <w:pStyle w:val="ListBullet2"/>
      </w:pPr>
      <w:r w:rsidRPr="0079328E">
        <w:t>timber positioning</w:t>
      </w:r>
    </w:p>
    <w:p w:rsidR="00000000" w:rsidRPr="0079328E" w:rsidP="0079328E">
      <w:pPr>
        <w:pStyle w:val="ListBullet"/>
      </w:pPr>
      <w:r w:rsidRPr="0079328E">
        <w:t>organisational procedures specific to resawing boards and timber:</w:t>
      </w:r>
    </w:p>
    <w:p w:rsidR="00000000" w:rsidRPr="0079328E" w:rsidP="0079328E">
      <w:pPr>
        <w:pStyle w:val="ListBullet2"/>
      </w:pPr>
      <w:r w:rsidRPr="0079328E">
        <w:t>workplace health and safety with particular emphasis on equipment lock out</w:t>
      </w:r>
    </w:p>
    <w:p w:rsidR="00000000" w:rsidRPr="0079328E" w:rsidP="0079328E">
      <w:pPr>
        <w:pStyle w:val="ListBullet2"/>
      </w:pPr>
      <w:r w:rsidRPr="0079328E">
        <w:t>use and maintenance of equipment</w:t>
      </w:r>
    </w:p>
    <w:p w:rsidR="00000000" w:rsidRPr="0079328E" w:rsidP="0079328E">
      <w:pPr>
        <w:pStyle w:val="ListBullet2"/>
      </w:pPr>
      <w:r w:rsidRPr="0079328E">
        <w:t>communication reporting lines</w:t>
      </w:r>
    </w:p>
    <w:p w:rsidR="0034302D" w:rsidP="0079328E">
      <w:pPr>
        <w:pStyle w:val="ListBullet2"/>
      </w:pPr>
      <w:r w:rsidRPr="0079328E">
        <w:t>recording and reporting production outcomes and equipment faults.</w:t>
      </w:r>
    </w:p>
    <w:p w:rsidR="0034302D" w:rsidP="0079328E">
      <w:pPr>
        <w:pStyle w:val="ListBullet2"/>
      </w:pPr>
    </w:p>
    <w:p w:rsidR="00000000" w:rsidRPr="0079328E" w:rsidP="0079328E">
      <w:pPr>
        <w:pStyle w:val="Heading1"/>
      </w:pPr>
      <w:bookmarkStart w:id="4" w:name="O_910602"/>
      <w:bookmarkEnd w:id="4"/>
      <w:r w:rsidRPr="0079328E">
        <w:t>Assessment Conditions</w:t>
      </w:r>
    </w:p>
    <w:p w:rsidR="00000000" w:rsidRPr="0079328E" w:rsidP="0034302D">
      <w:pPr>
        <w:pStyle w:val="BodyText"/>
      </w:pPr>
      <w:r w:rsidRPr="0079328E">
        <w:t>The following resources must be made available:</w:t>
      </w:r>
    </w:p>
    <w:p w:rsidR="00000000" w:rsidRPr="0079328E" w:rsidP="0079328E">
      <w:pPr>
        <w:pStyle w:val="ListBullet"/>
      </w:pPr>
      <w:r w:rsidRPr="0079328E">
        <w:t>one or more of the following tools and</w:t>
      </w:r>
      <w:r w:rsidRPr="0079328E">
        <w:t xml:space="preserve"> equipment used to resaw boards and timber:</w:t>
      </w:r>
    </w:p>
    <w:p w:rsidR="00000000" w:rsidRPr="0079328E" w:rsidP="0079328E">
      <w:pPr>
        <w:pStyle w:val="ListBullet2"/>
      </w:pPr>
      <w:r w:rsidRPr="0079328E">
        <w:t>simple saw benches</w:t>
      </w:r>
    </w:p>
    <w:p w:rsidR="00000000" w:rsidRPr="0079328E" w:rsidP="0079328E">
      <w:pPr>
        <w:pStyle w:val="ListBullet2"/>
      </w:pPr>
      <w:r w:rsidRPr="0079328E">
        <w:t>complex saw and conveyor systems</w:t>
      </w:r>
    </w:p>
    <w:p w:rsidR="00000000" w:rsidRPr="0079328E" w:rsidP="0079328E">
      <w:pPr>
        <w:pStyle w:val="ListBullet2"/>
      </w:pPr>
      <w:r w:rsidRPr="0079328E">
        <w:t>circular or band saws</w:t>
      </w:r>
    </w:p>
    <w:p w:rsidR="00000000" w:rsidRPr="0079328E" w:rsidP="0079328E">
      <w:pPr>
        <w:pStyle w:val="ListBullet2"/>
      </w:pPr>
      <w:r w:rsidRPr="0079328E">
        <w:t>single or multiple saws</w:t>
      </w:r>
    </w:p>
    <w:p w:rsidR="00000000" w:rsidRPr="0079328E" w:rsidP="0079328E">
      <w:pPr>
        <w:pStyle w:val="ListBullet"/>
      </w:pPr>
      <w:r w:rsidRPr="0079328E">
        <w:t>tools and equipment for operator maintenance of saws</w:t>
      </w:r>
    </w:p>
    <w:p w:rsidR="00000000" w:rsidRPr="0079328E" w:rsidP="0079328E">
      <w:pPr>
        <w:pStyle w:val="ListBullet"/>
      </w:pPr>
      <w:r w:rsidRPr="0079328E">
        <w:t>consumable components; cutters, saw blades</w:t>
      </w:r>
    </w:p>
    <w:p w:rsidR="00000000" w:rsidRPr="0079328E" w:rsidP="0079328E">
      <w:pPr>
        <w:pStyle w:val="ListBullet"/>
      </w:pPr>
      <w:r w:rsidRPr="0079328E">
        <w:t>personal protective equipment suitable for resawing boards and timber</w:t>
      </w:r>
    </w:p>
    <w:p w:rsidR="00000000" w:rsidRPr="0079328E" w:rsidP="0079328E">
      <w:pPr>
        <w:pStyle w:val="ListBullet"/>
      </w:pPr>
      <w:r w:rsidRPr="0079328E">
        <w:t xml:space="preserve">a diverse, comprehensive and commercial product range of board and timber </w:t>
      </w:r>
    </w:p>
    <w:p w:rsidR="00000000" w:rsidRPr="0079328E" w:rsidP="0079328E">
      <w:pPr>
        <w:pStyle w:val="ListBullet"/>
      </w:pPr>
      <w:r w:rsidRPr="0079328E">
        <w:t>manufacturers’:</w:t>
      </w:r>
    </w:p>
    <w:p w:rsidR="00000000" w:rsidRPr="0079328E" w:rsidP="0079328E">
      <w:pPr>
        <w:pStyle w:val="ListBullet2"/>
      </w:pPr>
      <w:r w:rsidRPr="0079328E">
        <w:t>instructions for equipment use</w:t>
      </w:r>
    </w:p>
    <w:p w:rsidR="00000000" w:rsidRPr="0079328E" w:rsidP="0079328E">
      <w:pPr>
        <w:pStyle w:val="ListBullet2"/>
      </w:pPr>
      <w:r w:rsidRPr="0079328E">
        <w:t>recommendations for cleaning, repairing and maintaining</w:t>
      </w:r>
    </w:p>
    <w:p w:rsidR="00000000" w:rsidRPr="0079328E" w:rsidP="0079328E">
      <w:pPr>
        <w:pStyle w:val="ListBullet"/>
      </w:pPr>
      <w:r w:rsidRPr="0079328E">
        <w:t>work o</w:t>
      </w:r>
      <w:r w:rsidRPr="0079328E">
        <w:t>rder with specific details of:</w:t>
      </w:r>
    </w:p>
    <w:p w:rsidR="00000000" w:rsidRPr="0079328E" w:rsidP="0079328E">
      <w:pPr>
        <w:pStyle w:val="ListBullet2"/>
      </w:pPr>
      <w:r w:rsidRPr="0079328E">
        <w:t>material to be resawn</w:t>
      </w:r>
    </w:p>
    <w:p w:rsidR="00000000" w:rsidRPr="0079328E" w:rsidP="0079328E">
      <w:pPr>
        <w:pStyle w:val="ListBullet2"/>
      </w:pPr>
      <w:r w:rsidRPr="0079328E">
        <w:t>special client requirements</w:t>
      </w:r>
    </w:p>
    <w:p w:rsidR="00000000" w:rsidRPr="0079328E" w:rsidP="0079328E">
      <w:pPr>
        <w:pStyle w:val="ListBullet2"/>
      </w:pPr>
      <w:r w:rsidRPr="0079328E">
        <w:t>production timelines</w:t>
      </w:r>
    </w:p>
    <w:p w:rsidR="00000000" w:rsidRPr="0079328E" w:rsidP="0079328E">
      <w:pPr>
        <w:pStyle w:val="ListBullet"/>
      </w:pPr>
      <w:r w:rsidRPr="0079328E">
        <w:t>template documents for recording production outcomes and equipment faults</w:t>
      </w:r>
    </w:p>
    <w:p w:rsidR="00000000" w:rsidRPr="0079328E" w:rsidP="0079328E">
      <w:pPr>
        <w:pStyle w:val="ListBullet"/>
      </w:pPr>
      <w:r w:rsidRPr="0079328E">
        <w:t>organisational procedures for resawing boards and timber.</w:t>
      </w:r>
    </w:p>
    <w:p w:rsidR="00000000" w:rsidRPr="0079328E" w:rsidP="0034302D">
      <w:pPr>
        <w:pStyle w:val="BodyText"/>
      </w:pPr>
      <w:r w:rsidRPr="0079328E">
        <w:t xml:space="preserve">Competency is to be </w:t>
      </w:r>
      <w:r w:rsidRPr="0079328E">
        <w:t xml:space="preserve">assessed in the workplace or a simulated environment that accurately reflects performance in a real workplace setting. </w:t>
      </w:r>
    </w:p>
    <w:p w:rsidR="00000000" w:rsidRPr="0079328E" w:rsidP="0034302D">
      <w:pPr>
        <w:pStyle w:val="Heading3"/>
      </w:pPr>
      <w:r w:rsidRPr="0079328E">
        <w:rPr>
          <w:rStyle w:val="SpecialBold"/>
        </w:rPr>
        <w:t>Assessor requirements</w:t>
      </w:r>
    </w:p>
    <w:p w:rsidR="00000000" w:rsidRPr="0079328E" w:rsidP="0034302D">
      <w:pPr>
        <w:pStyle w:val="BodyText"/>
      </w:pPr>
      <w:r w:rsidRPr="0079328E">
        <w:t>Assessors must:</w:t>
      </w:r>
    </w:p>
    <w:p w:rsidR="00000000" w:rsidRPr="0079328E" w:rsidP="0079328E">
      <w:pPr>
        <w:pStyle w:val="ListBullet"/>
      </w:pPr>
      <w:r w:rsidRPr="0079328E">
        <w:t>hold the appropriate assessor competency standards as outlined in regulations; and</w:t>
      </w:r>
    </w:p>
    <w:p w:rsidR="00000000" w:rsidRPr="0079328E" w:rsidP="0079328E">
      <w:pPr>
        <w:pStyle w:val="ListBullet"/>
      </w:pPr>
      <w:r w:rsidRPr="0079328E">
        <w:t>be able to demonstrate vocational competencies at least to the level being assessed; and</w:t>
      </w:r>
    </w:p>
    <w:p w:rsidR="00000000" w:rsidRPr="0079328E" w:rsidP="0079328E">
      <w:pPr>
        <w:pStyle w:val="ListBullet"/>
      </w:pPr>
      <w:r w:rsidRPr="0079328E">
        <w:t xml:space="preserve">be able to demonstrate how they are continuing to develop their VET knowledge and skills as well as maintaining their industry currency and assessor competence. </w:t>
      </w:r>
    </w:p>
    <w:p w:rsidR="00000000" w:rsidRPr="0079328E" w:rsidP="0079328E">
      <w:pPr>
        <w:pStyle w:val="AllowPageBreak"/>
      </w:pPr>
    </w:p>
    <w:p w:rsidR="00000000" w:rsidRPr="0079328E" w:rsidP="0079328E">
      <w:pPr>
        <w:pStyle w:val="Heading1"/>
      </w:pPr>
      <w:bookmarkStart w:id="5" w:name="O_910605"/>
      <w:bookmarkEnd w:id="5"/>
      <w:r w:rsidRPr="0079328E">
        <w:t>Links</w:t>
      </w:r>
    </w:p>
    <w:p w:rsidR="00000000" w:rsidRPr="0079328E" w:rsidP="0034302D">
      <w:pPr>
        <w:pStyle w:val="BodyText"/>
      </w:pPr>
      <w:r w:rsidRPr="007932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C22E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9328E" w:rsidP="0079328E"/>
    <w:sectPr w:rsidSect="007932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8E" w:rsidRPr="0034302D" w:rsidP="003430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02D" w:rsidP="007932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02D" w:rsidP="007932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302D" w:rsidP="007932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0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328E" w:rsidRPr="0034302D" w:rsidP="003430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2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02D" w:rsidRPr="002D2AF8" w:rsidP="007932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FWPCOT2208 Resaw boards and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34302D" w:rsidP="007932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863C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929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2EA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2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2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2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2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2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2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2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2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2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2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2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28E"/>
  </w:style>
  <w:style w:type="character" w:customStyle="1" w:styleId="Heading1Char">
    <w:name w:val="Heading 1 Char"/>
    <w:basedOn w:val="DefaultParagraphFont"/>
    <w:link w:val="Heading1"/>
    <w:rsid w:val="007932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2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2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328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328E"/>
    <w:rPr>
      <w:b/>
      <w:spacing w:val="0"/>
    </w:rPr>
  </w:style>
  <w:style w:type="paragraph" w:styleId="ListBullet2">
    <w:name w:val="List Bullet 2"/>
    <w:basedOn w:val="List2"/>
    <w:rsid w:val="0079328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32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32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328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932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2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2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2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2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2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2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2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2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2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2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2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2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2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2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32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32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2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2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32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2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2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2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2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2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2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2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2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328E"/>
    <w:rPr>
      <w:i/>
    </w:rPr>
  </w:style>
  <w:style w:type="paragraph" w:styleId="Caption">
    <w:name w:val="caption"/>
    <w:basedOn w:val="BodyText"/>
    <w:next w:val="Normal"/>
    <w:qFormat/>
    <w:rsid w:val="007932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2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2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28E"/>
  </w:style>
  <w:style w:type="paragraph" w:styleId="TableofFigures">
    <w:name w:val="table of figures"/>
    <w:basedOn w:val="Normal"/>
    <w:next w:val="Normal"/>
    <w:semiHidden/>
    <w:rsid w:val="007932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28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328E"/>
    <w:rPr>
      <w:rFonts w:ascii="Wingdings" w:hAnsi="Wingdings"/>
    </w:rPr>
  </w:style>
  <w:style w:type="paragraph" w:customStyle="1" w:styleId="TableHeading">
    <w:name w:val="Table Heading"/>
    <w:basedOn w:val="HeadingBase"/>
    <w:rsid w:val="007932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28E"/>
    <w:rPr>
      <w:color w:val="0033CC"/>
      <w:u w:val="none"/>
    </w:rPr>
  </w:style>
  <w:style w:type="paragraph" w:customStyle="1" w:styleId="BodyTextRight">
    <w:name w:val="Body Text Right"/>
    <w:basedOn w:val="BodyText"/>
    <w:rsid w:val="007932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2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28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2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2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2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28E"/>
    <w:rPr>
      <w:sz w:val="32"/>
    </w:rPr>
  </w:style>
  <w:style w:type="paragraph" w:customStyle="1" w:styleId="HeadingProcedure">
    <w:name w:val="Heading Procedure"/>
    <w:basedOn w:val="HeadingBase"/>
    <w:next w:val="Normal"/>
    <w:rsid w:val="007932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28E"/>
    <w:pPr>
      <w:spacing w:before="60" w:after="60"/>
    </w:pPr>
  </w:style>
  <w:style w:type="paragraph" w:styleId="ListContinue">
    <w:name w:val="List Continue"/>
    <w:basedOn w:val="List"/>
    <w:rsid w:val="0079328E"/>
    <w:pPr>
      <w:ind w:firstLine="0"/>
    </w:pPr>
  </w:style>
  <w:style w:type="paragraph" w:customStyle="1" w:styleId="ListNote">
    <w:name w:val="List Note"/>
    <w:basedOn w:val="List"/>
    <w:rsid w:val="007932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2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2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28E"/>
    <w:rPr>
      <w:rFonts w:ascii="Courier New" w:hAnsi="Courier New"/>
    </w:rPr>
  </w:style>
  <w:style w:type="paragraph" w:customStyle="1" w:styleId="NoteBullet">
    <w:name w:val="Note Bullet"/>
    <w:basedOn w:val="Note"/>
    <w:rsid w:val="007932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2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2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2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2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32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2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28E"/>
    <w:rPr>
      <w:b/>
      <w:smallCaps/>
    </w:rPr>
  </w:style>
  <w:style w:type="paragraph" w:customStyle="1" w:styleId="TableListNumber">
    <w:name w:val="Table List Number"/>
    <w:basedOn w:val="ListNumber"/>
    <w:rsid w:val="007932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2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28E"/>
    <w:pPr>
      <w:numPr>
        <w:numId w:val="10"/>
      </w:numPr>
    </w:pPr>
  </w:style>
  <w:style w:type="paragraph" w:customStyle="1" w:styleId="ListAlpha2">
    <w:name w:val="List Alpha 2"/>
    <w:basedOn w:val="List2"/>
    <w:rsid w:val="0079328E"/>
    <w:pPr>
      <w:numPr>
        <w:numId w:val="9"/>
      </w:numPr>
    </w:pPr>
  </w:style>
  <w:style w:type="paragraph" w:styleId="List2">
    <w:name w:val="List 2"/>
    <w:basedOn w:val="BodyText"/>
    <w:rsid w:val="007932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2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2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28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328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328E"/>
    <w:pPr>
      <w:numPr>
        <w:numId w:val="5"/>
      </w:numPr>
    </w:pPr>
  </w:style>
  <w:style w:type="paragraph" w:styleId="ListContinue2">
    <w:name w:val="List Continue 2"/>
    <w:basedOn w:val="List2"/>
    <w:rsid w:val="0079328E"/>
    <w:pPr>
      <w:ind w:firstLine="0"/>
    </w:pPr>
  </w:style>
  <w:style w:type="paragraph" w:styleId="ListContinue3">
    <w:name w:val="List Continue 3"/>
    <w:basedOn w:val="List3"/>
    <w:rsid w:val="0079328E"/>
    <w:pPr>
      <w:ind w:left="1021" w:firstLine="0"/>
    </w:pPr>
  </w:style>
  <w:style w:type="paragraph" w:styleId="ListContinue4">
    <w:name w:val="List Continue 4"/>
    <w:basedOn w:val="List4"/>
    <w:rsid w:val="0079328E"/>
    <w:pPr>
      <w:ind w:firstLine="0"/>
    </w:pPr>
  </w:style>
  <w:style w:type="paragraph" w:styleId="ListContinue5">
    <w:name w:val="List Continue 5"/>
    <w:basedOn w:val="List5"/>
    <w:rsid w:val="0079328E"/>
    <w:pPr>
      <w:ind w:firstLine="0"/>
    </w:pPr>
  </w:style>
  <w:style w:type="paragraph" w:styleId="ListNumber3">
    <w:name w:val="List Number 3"/>
    <w:basedOn w:val="List3"/>
    <w:rsid w:val="0079328E"/>
    <w:pPr>
      <w:numPr>
        <w:numId w:val="6"/>
      </w:numPr>
    </w:pPr>
  </w:style>
  <w:style w:type="paragraph" w:styleId="ListNumber4">
    <w:name w:val="List Number 4"/>
    <w:basedOn w:val="List4"/>
    <w:rsid w:val="0079328E"/>
    <w:pPr>
      <w:numPr>
        <w:numId w:val="7"/>
      </w:numPr>
    </w:pPr>
  </w:style>
  <w:style w:type="paragraph" w:styleId="ListNumber5">
    <w:name w:val="List Number 5"/>
    <w:basedOn w:val="List5"/>
    <w:rsid w:val="0079328E"/>
    <w:pPr>
      <w:numPr>
        <w:numId w:val="8"/>
      </w:numPr>
    </w:pPr>
  </w:style>
  <w:style w:type="paragraph" w:styleId="BlockText">
    <w:name w:val="Block Text"/>
    <w:basedOn w:val="Normal"/>
    <w:rsid w:val="007932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2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28E"/>
    <w:rPr>
      <w:sz w:val="16"/>
      <w:vertAlign w:val="superscript"/>
    </w:rPr>
  </w:style>
  <w:style w:type="character" w:customStyle="1" w:styleId="Symbols">
    <w:name w:val="Symbols"/>
    <w:basedOn w:val="DefaultParagraphFont"/>
    <w:rsid w:val="0079328E"/>
    <w:rPr>
      <w:rFonts w:ascii="Symbol" w:hAnsi="Symbol"/>
    </w:rPr>
  </w:style>
  <w:style w:type="character" w:customStyle="1" w:styleId="MenuOptions">
    <w:name w:val="Menu Options"/>
    <w:basedOn w:val="DefaultParagraphFont"/>
    <w:rsid w:val="007932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28E"/>
    <w:rPr>
      <w:b/>
    </w:rPr>
  </w:style>
  <w:style w:type="character" w:customStyle="1" w:styleId="Underlined">
    <w:name w:val="Underlined"/>
    <w:basedOn w:val="DefaultParagraphFont"/>
    <w:rsid w:val="0079328E"/>
    <w:rPr>
      <w:u w:val="single"/>
    </w:rPr>
  </w:style>
  <w:style w:type="paragraph" w:customStyle="1" w:styleId="TableBodyTextRight">
    <w:name w:val="Table Body Text Right"/>
    <w:basedOn w:val="TableBodyText"/>
    <w:rsid w:val="007932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28E"/>
    <w:rPr>
      <w:sz w:val="18"/>
    </w:rPr>
  </w:style>
  <w:style w:type="paragraph" w:customStyle="1" w:styleId="BodySmallRight">
    <w:name w:val="Body Small Right"/>
    <w:basedOn w:val="BodyTextRight"/>
    <w:rsid w:val="0079328E"/>
    <w:rPr>
      <w:sz w:val="18"/>
      <w:szCs w:val="18"/>
    </w:rPr>
  </w:style>
  <w:style w:type="paragraph" w:customStyle="1" w:styleId="MarginEdition">
    <w:name w:val="Margin Edition"/>
    <w:basedOn w:val="MarginNote"/>
    <w:rsid w:val="007932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28E"/>
    <w:rPr>
      <w:sz w:val="2"/>
      <w:szCs w:val="2"/>
    </w:rPr>
  </w:style>
  <w:style w:type="character" w:customStyle="1" w:styleId="Small">
    <w:name w:val="Small"/>
    <w:basedOn w:val="DefaultParagraphFont"/>
    <w:rsid w:val="0079328E"/>
    <w:rPr>
      <w:sz w:val="16"/>
    </w:rPr>
  </w:style>
  <w:style w:type="paragraph" w:customStyle="1" w:styleId="WideTable">
    <w:name w:val="Wide Table"/>
    <w:basedOn w:val="Normal"/>
    <w:rsid w:val="007932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28E"/>
  </w:style>
  <w:style w:type="paragraph" w:styleId="Quote">
    <w:name w:val="Quote"/>
    <w:basedOn w:val="Heading1"/>
    <w:link w:val="QuoteChar"/>
    <w:qFormat/>
    <w:rsid w:val="007932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2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28E"/>
    <w:pPr>
      <w:pageBreakBefore/>
    </w:pPr>
  </w:style>
  <w:style w:type="paragraph" w:customStyle="1" w:styleId="Border">
    <w:name w:val="Border"/>
    <w:basedOn w:val="Normal"/>
    <w:qFormat/>
    <w:rsid w:val="007932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2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2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2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2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2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2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2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2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28E"/>
    <w:rPr>
      <w:u w:val="single"/>
    </w:rPr>
  </w:style>
  <w:style w:type="character" w:customStyle="1" w:styleId="BoldandItalics">
    <w:name w:val="Bold and Italics"/>
    <w:qFormat/>
    <w:rsid w:val="0079328E"/>
    <w:rPr>
      <w:b/>
      <w:i/>
      <w:u w:val="none"/>
    </w:rPr>
  </w:style>
  <w:style w:type="paragraph" w:styleId="BalloonText">
    <w:name w:val="Balloon Text"/>
    <w:basedOn w:val="Normal"/>
    <w:link w:val="BalloonTextChar"/>
    <w:rsid w:val="00793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2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2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2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2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2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328E"/>
    <w:pPr>
      <w:spacing w:before="0" w:after="0"/>
    </w:pPr>
  </w:style>
  <w:style w:type="paragraph" w:customStyle="1" w:styleId="BodyTextBold">
    <w:name w:val="Body Text Bold"/>
    <w:basedOn w:val="BodyText"/>
    <w:qFormat/>
    <w:rsid w:val="0079328E"/>
    <w:rPr>
      <w:b/>
    </w:rPr>
  </w:style>
  <w:style w:type="character" w:styleId="Hyperlink">
    <w:name w:val="Hyperlink"/>
    <w:basedOn w:val="DefaultParagraphFont"/>
    <w:uiPriority w:val="99"/>
    <w:unhideWhenUsed/>
    <w:rsid w:val="003430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4055</Characters>
  <Application>Microsoft Office Word</Application>
  <DocSecurity>0</DocSecurity>
  <Lines>112</Lines>
  <Paragraphs>100</Paragraphs>
  <ScaleCrop>false</ScaleCrop>
  <Company>Author-it Software Corporation Ltd.</Company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FWPCOT2208 Resaw boards and timber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2020-01-31T07:49:00Z</dcterms:created>
  <dcterms:modified xsi:type="dcterms:W3CDTF">2020-01-31T07:49:00Z</dcterms:modified>
</cp:coreProperties>
</file>