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4BC9" w:rsidP="00294B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FWPCOR2205 Follow WHS policies and procedures</w:t>
      </w:r>
      <w:r>
        <w:fldChar w:fldCharType="end"/>
      </w:r>
    </w:p>
    <w:p w:rsidR="00294BC9" w:rsidP="00294BC9">
      <w:pPr>
        <w:pStyle w:val="Version"/>
        <w:sectPr w:rsidSect="00210D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0D61" w:rsidP="00210D61">
      <w:pPr>
        <w:pStyle w:val="SuperHeading"/>
      </w:pPr>
      <w:r w:rsidRPr="00210D61">
        <w:t>FWPCOR2205 Follow WHS policies and procedures</w:t>
      </w:r>
    </w:p>
    <w:p w:rsidR="00000000" w:rsidRPr="00210D61" w:rsidP="00210D61">
      <w:pPr>
        <w:pStyle w:val="Heading1"/>
      </w:pPr>
      <w:bookmarkStart w:id="1" w:name="O_910342"/>
      <w:bookmarkEnd w:id="1"/>
      <w:r w:rsidRPr="00210D6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94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D61" w:rsidP="00210D61">
            <w:pPr>
              <w:pStyle w:val="BodyText"/>
            </w:pPr>
            <w:r w:rsidRPr="00210D6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D61">
            <w:pPr>
              <w:pStyle w:val="BodyText"/>
              <w:rPr>
                <w:lang w:val="en-NZ"/>
              </w:rPr>
            </w:pPr>
            <w:r w:rsidRPr="00210D61">
              <w:rPr>
                <w:rStyle w:val="SpecialBold"/>
              </w:rPr>
              <w:t>Comment</w:t>
            </w:r>
          </w:p>
        </w:tc>
      </w:tr>
      <w:tr w:rsidTr="00294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D61">
            <w:pPr>
              <w:pStyle w:val="BodyText"/>
              <w:rPr>
                <w:lang w:val="en-NZ"/>
              </w:rPr>
            </w:pPr>
            <w:r w:rsidRPr="00210D6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D61" w:rsidP="00210D61">
            <w:pPr>
              <w:pStyle w:val="BodyText"/>
            </w:pPr>
            <w:r w:rsidRPr="00210D61">
              <w:t>Replaces equivalent, FPICOR2205B Follow OHS policies and procedures which was first released with FPI11 Forest and Forest Products Training Package Version 1.</w:t>
            </w:r>
          </w:p>
          <w:p w:rsidR="00000000" w:rsidRPr="00210D61" w:rsidP="00210D61">
            <w:pPr>
              <w:pStyle w:val="BodyText"/>
            </w:pPr>
            <w:r w:rsidRPr="00210D61">
              <w:t>This is the first release of this unit in the new</w:t>
            </w:r>
            <w:r w:rsidRPr="00210D61">
              <w:t xml:space="preserve"> standards format.</w:t>
            </w:r>
          </w:p>
        </w:tc>
      </w:tr>
    </w:tbl>
    <w:p w:rsidR="00000000" w:rsidRPr="00210D61" w:rsidP="00210D61">
      <w:pPr>
        <w:pStyle w:val="BodyText"/>
      </w:pPr>
    </w:p>
    <w:p w:rsidR="00000000" w:rsidRPr="00210D61" w:rsidP="00210D61">
      <w:pPr>
        <w:pStyle w:val="AllowPageBreak"/>
      </w:pPr>
    </w:p>
    <w:p w:rsidR="00000000" w:rsidRPr="00210D61" w:rsidP="00210D61">
      <w:pPr>
        <w:pStyle w:val="Heading1"/>
      </w:pPr>
      <w:bookmarkStart w:id="2" w:name="O_910343"/>
      <w:bookmarkEnd w:id="2"/>
      <w:r w:rsidRPr="00210D61">
        <w:t>Application</w:t>
      </w:r>
    </w:p>
    <w:p w:rsidR="00000000" w:rsidRPr="00210D61" w:rsidP="00294BC9">
      <w:pPr>
        <w:pStyle w:val="BodyText"/>
      </w:pPr>
      <w:r w:rsidRPr="00210D61">
        <w:t xml:space="preserve">The unit of competency describes the outcomes required to follow WHS policies and procedures: it covers risk identification and emergency procedures that could reasonably be expected to occur in a forestry </w:t>
      </w:r>
      <w:r w:rsidRPr="00210D61">
        <w:t>or wood products environment.</w:t>
      </w:r>
    </w:p>
    <w:p w:rsidR="00000000" w:rsidRPr="00210D61" w:rsidP="00294BC9">
      <w:pPr>
        <w:pStyle w:val="BodyText"/>
      </w:pPr>
      <w:r w:rsidRPr="00210D61">
        <w:t>The unit applies to applies to those working in a broad range of job roles across different work settings, including a forest environment, saw mill, wood chip mill, veneer mill, board/plywood mill, timber treatment plant, fore</w:t>
      </w:r>
      <w:r w:rsidRPr="00210D61">
        <w:t>st products factory, and forest products sales and service, horticultural, domestic, local council and emergency services.</w:t>
      </w:r>
    </w:p>
    <w:p w:rsidR="00000000" w:rsidRPr="00210D61" w:rsidP="00294BC9">
      <w:pPr>
        <w:pStyle w:val="BodyText"/>
      </w:pPr>
      <w:r w:rsidRPr="00210D61">
        <w:t>Licensing, legislative, regulatory or certification requirements apply to this unit in some states and territories at the time of pub</w:t>
      </w:r>
      <w:r w:rsidRPr="00210D61">
        <w:t>lication, and may differ according to jurisdiction.  In some states, this unit is one of a group of units required to obtain a Forest Operator Licence.</w:t>
      </w:r>
    </w:p>
    <w:p w:rsidR="00000000" w:rsidRPr="00210D61" w:rsidP="00210D61">
      <w:pPr>
        <w:pStyle w:val="Heading1"/>
      </w:pPr>
      <w:bookmarkStart w:id="3" w:name="O_910344"/>
      <w:bookmarkEnd w:id="3"/>
      <w:r w:rsidRPr="00210D61">
        <w:t>Pre-requisite Unit</w:t>
      </w:r>
    </w:p>
    <w:p w:rsidR="00000000" w:rsidRPr="00210D61" w:rsidP="00294BC9">
      <w:pPr>
        <w:pStyle w:val="BodyText"/>
      </w:pPr>
      <w:r w:rsidRPr="00210D61">
        <w:t>Nil</w:t>
      </w:r>
    </w:p>
    <w:p w:rsidR="00000000" w:rsidRPr="00210D61" w:rsidP="00210D61">
      <w:pPr>
        <w:pStyle w:val="Heading1"/>
      </w:pPr>
      <w:bookmarkStart w:id="4" w:name="O_910346"/>
      <w:bookmarkEnd w:id="4"/>
      <w:r w:rsidRPr="00210D61">
        <w:t>Unit Sector</w:t>
      </w:r>
    </w:p>
    <w:p w:rsidR="00000000" w:rsidRPr="00210D61" w:rsidP="00294BC9">
      <w:pPr>
        <w:pStyle w:val="List"/>
      </w:pPr>
      <w:r w:rsidRPr="00210D61">
        <w:t>Forest Growing and Management</w:t>
      </w:r>
    </w:p>
    <w:p w:rsidR="00000000" w:rsidRPr="00210D61" w:rsidP="00294BC9">
      <w:pPr>
        <w:pStyle w:val="List"/>
      </w:pPr>
      <w:r w:rsidRPr="00210D61">
        <w:t>Harve</w:t>
      </w:r>
      <w:r w:rsidRPr="00210D61">
        <w:t>sting and Haulage</w:t>
      </w:r>
    </w:p>
    <w:p w:rsidR="00000000" w:rsidRPr="00210D61" w:rsidP="00294BC9">
      <w:pPr>
        <w:pStyle w:val="List"/>
      </w:pPr>
      <w:r w:rsidRPr="00210D61">
        <w:t>Sawmilling and Processing</w:t>
      </w:r>
    </w:p>
    <w:p w:rsidR="00000000" w:rsidRPr="00210D61" w:rsidP="00294BC9">
      <w:pPr>
        <w:pStyle w:val="List"/>
      </w:pPr>
      <w:r w:rsidRPr="00210D61">
        <w:t>Timber Manufactured Products</w:t>
      </w:r>
    </w:p>
    <w:p w:rsidR="00000000" w:rsidRPr="00210D61" w:rsidP="00294BC9">
      <w:pPr>
        <w:pStyle w:val="List"/>
      </w:pPr>
      <w:r w:rsidRPr="00210D61">
        <w:t>Timber Merchandising</w:t>
      </w:r>
    </w:p>
    <w:p w:rsidR="00000000" w:rsidRPr="00210D61" w:rsidP="00294BC9">
      <w:pPr>
        <w:pStyle w:val="List"/>
      </w:pPr>
      <w:r w:rsidRPr="00210D61">
        <w:t>Wood Panel Products</w:t>
      </w:r>
    </w:p>
    <w:p w:rsidR="00000000" w:rsidRPr="00210D61" w:rsidP="00294BC9">
      <w:pPr>
        <w:pStyle w:val="List"/>
      </w:pPr>
      <w:r w:rsidRPr="00210D61">
        <w:t>Timber Truss and Frame Design and Manufacture</w:t>
      </w:r>
    </w:p>
    <w:p w:rsidR="00000000" w:rsidRPr="00210D61" w:rsidP="00210D61">
      <w:pPr>
        <w:pStyle w:val="AllowPageBreak"/>
      </w:pPr>
    </w:p>
    <w:p w:rsidR="00000000" w:rsidRPr="00210D61" w:rsidP="00210D61">
      <w:pPr>
        <w:pStyle w:val="Heading1"/>
      </w:pPr>
      <w:bookmarkStart w:id="5" w:name="O_910347"/>
      <w:bookmarkEnd w:id="5"/>
      <w:r w:rsidRPr="00210D6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94B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D61" w:rsidP="00210D61">
            <w:pPr>
              <w:pStyle w:val="BodyText"/>
            </w:pPr>
            <w:r w:rsidRPr="00210D6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D61">
            <w:pPr>
              <w:pStyle w:val="BodyText"/>
              <w:rPr>
                <w:lang w:val="en-NZ"/>
              </w:rPr>
            </w:pPr>
            <w:r w:rsidRPr="00210D61">
              <w:rPr>
                <w:rStyle w:val="SpecialBold"/>
              </w:rPr>
              <w:t>PERFORMANCE CRITERIA</w:t>
            </w:r>
          </w:p>
        </w:tc>
      </w:tr>
      <w:tr w:rsidTr="00294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D61" w:rsidP="00210D61">
            <w:pPr>
              <w:pStyle w:val="BodyText"/>
            </w:pPr>
            <w:r w:rsidRPr="00210D61">
              <w:rPr>
                <w:rStyle w:val="Emphasis"/>
              </w:rPr>
              <w:t>Elements de</w:t>
            </w:r>
            <w:r w:rsidRPr="00210D61">
              <w:rPr>
                <w:rStyle w:val="Emphasis"/>
              </w:rPr>
              <w:t>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D61">
            <w:pPr>
              <w:pStyle w:val="BodyText"/>
              <w:rPr>
                <w:lang w:val="en-NZ"/>
              </w:rPr>
            </w:pPr>
            <w:r w:rsidRPr="00210D61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294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D61">
            <w:pPr>
              <w:pStyle w:val="BodyText"/>
              <w:rPr>
                <w:lang w:val="en-NZ"/>
              </w:rPr>
            </w:pPr>
            <w:r w:rsidRPr="00210D61">
              <w:t>1. Follow safe work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D61" w:rsidP="00210D61">
            <w:pPr>
              <w:pStyle w:val="BodyText"/>
            </w:pPr>
            <w:r w:rsidRPr="00210D61">
              <w:t>1.</w:t>
            </w:r>
            <w:r w:rsidRPr="00210D61">
              <w:t>1 Identify organisational and site WHS policies and procedures.</w:t>
            </w:r>
          </w:p>
          <w:p w:rsidR="00000000" w:rsidRPr="00210D61" w:rsidP="00210D61">
            <w:pPr>
              <w:pStyle w:val="BodyText"/>
            </w:pPr>
            <w:r w:rsidRPr="00210D61">
              <w:t>1.2 Operate and use tools, equipment and machinery appropriate to work task and according to manufacturer</w:t>
            </w:r>
            <w:r>
              <w:t>’</w:t>
            </w:r>
            <w:r w:rsidRPr="00210D61">
              <w:t>s recommendations.</w:t>
            </w:r>
          </w:p>
          <w:p w:rsidR="00000000" w:rsidRPr="00210D61" w:rsidP="00210D61">
            <w:pPr>
              <w:pStyle w:val="BodyText"/>
            </w:pPr>
            <w:r w:rsidRPr="00210D61">
              <w:t>1.3 Select, use and store personal protective equipment and clothing appropriate to work task requirements.</w:t>
            </w:r>
          </w:p>
          <w:p w:rsidR="00000000" w:rsidRPr="00210D61" w:rsidP="00210D61">
            <w:pPr>
              <w:pStyle w:val="BodyText"/>
            </w:pPr>
            <w:r w:rsidRPr="00210D61">
              <w:t>1.4 Use plant and equipment guards according to manufacturer</w:t>
            </w:r>
            <w:r>
              <w:t>’</w:t>
            </w:r>
            <w:r w:rsidRPr="00210D61">
              <w:t>s specifications.</w:t>
            </w:r>
          </w:p>
          <w:p w:rsidR="00000000" w:rsidP="00210D61">
            <w:pPr>
              <w:pStyle w:val="BodyText"/>
              <w:rPr>
                <w:lang w:val="en-NZ"/>
              </w:rPr>
            </w:pPr>
            <w:r w:rsidRPr="00210D61">
              <w:t>1.5 Identify and follow safety signs and symbols.</w:t>
            </w:r>
          </w:p>
        </w:tc>
      </w:tr>
      <w:tr w:rsidTr="00294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D61">
            <w:pPr>
              <w:pStyle w:val="BodyText"/>
              <w:rPr>
                <w:lang w:val="en-NZ"/>
              </w:rPr>
            </w:pPr>
            <w:r w:rsidRPr="00210D61">
              <w:t>2. Identify risks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D61" w:rsidP="00210D61">
            <w:pPr>
              <w:pStyle w:val="BodyText"/>
            </w:pPr>
            <w:r w:rsidRPr="00210D61">
              <w:t>2.1 Identify existing and potential hazards in the work area and report to appropriate personnel.</w:t>
            </w:r>
          </w:p>
          <w:p w:rsidR="00000000" w:rsidRPr="00210D61" w:rsidP="00210D61">
            <w:pPr>
              <w:pStyle w:val="BodyText"/>
            </w:pPr>
            <w:r w:rsidRPr="00210D61">
              <w:t>2.2 Identify WHS issues and risks in the work area and report to appropriate personnel.</w:t>
            </w:r>
          </w:p>
          <w:p w:rsidR="00000000" w:rsidRPr="00210D61" w:rsidP="00210D61">
            <w:pPr>
              <w:pStyle w:val="BodyText"/>
            </w:pPr>
            <w:r w:rsidRPr="00210D61">
              <w:t xml:space="preserve">2.3 Follow workplace procedures and work instructions for controlling </w:t>
            </w:r>
            <w:r w:rsidRPr="00210D61">
              <w:t>risks and protecting the environment.</w:t>
            </w:r>
          </w:p>
          <w:p w:rsidR="00000000" w:rsidP="00210D61">
            <w:pPr>
              <w:pStyle w:val="BodyText"/>
              <w:rPr>
                <w:lang w:val="en-NZ"/>
              </w:rPr>
            </w:pPr>
            <w:r w:rsidRPr="00210D61">
              <w:t>2.4 Complete hazard, accident or incident reports accurately and clearly and according to organisational policies and procedures.</w:t>
            </w:r>
          </w:p>
        </w:tc>
      </w:tr>
      <w:tr w:rsidTr="00294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D61">
            <w:pPr>
              <w:pStyle w:val="BodyText"/>
              <w:rPr>
                <w:lang w:val="en-NZ"/>
              </w:rPr>
            </w:pPr>
            <w:r w:rsidRPr="00210D61">
              <w:t>3. Follow emergency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D61" w:rsidP="00210D61">
            <w:pPr>
              <w:pStyle w:val="BodyText"/>
            </w:pPr>
            <w:r w:rsidRPr="00210D61">
              <w:t>3.1 Notify appropriate personnel in the event of an emer</w:t>
            </w:r>
            <w:r w:rsidRPr="00210D61">
              <w:t>gency.</w:t>
            </w:r>
          </w:p>
          <w:p w:rsidR="00000000" w:rsidRPr="00210D61" w:rsidP="00210D61">
            <w:pPr>
              <w:pStyle w:val="BodyText"/>
            </w:pPr>
            <w:r w:rsidRPr="00210D61">
              <w:t>3.2 Follow workplace procedures for dealing with accidents and emergencies.</w:t>
            </w:r>
          </w:p>
          <w:p w:rsidR="00000000" w:rsidRPr="00210D61" w:rsidP="00210D61">
            <w:pPr>
              <w:pStyle w:val="BodyText"/>
            </w:pPr>
            <w:r w:rsidRPr="00210D61">
              <w:t>3.3 Practise emergency and evacuation procedures and carry out emergency and evacuation procedures in the event of an emergency.</w:t>
            </w:r>
          </w:p>
          <w:p w:rsidR="00000000" w:rsidRPr="00210D61" w:rsidP="00210D61">
            <w:pPr>
              <w:pStyle w:val="BodyText"/>
            </w:pPr>
            <w:r w:rsidRPr="00210D61">
              <w:t>3.4 Record and accurately report emergencies</w:t>
            </w:r>
            <w:r w:rsidRPr="00210D61">
              <w:t xml:space="preserve"> and evacuation procedures.</w:t>
            </w:r>
          </w:p>
        </w:tc>
      </w:tr>
    </w:tbl>
    <w:p w:rsidR="00000000" w:rsidRPr="00210D61" w:rsidP="00210D61">
      <w:pPr>
        <w:pStyle w:val="BodyText"/>
      </w:pPr>
    </w:p>
    <w:p w:rsidR="00000000" w:rsidRPr="00210D61" w:rsidP="00210D61">
      <w:pPr>
        <w:pStyle w:val="AllowPageBreak"/>
      </w:pPr>
    </w:p>
    <w:p w:rsidR="00000000" w:rsidRPr="00210D61" w:rsidP="00210D61">
      <w:pPr>
        <w:pStyle w:val="Heading1"/>
      </w:pPr>
      <w:bookmarkStart w:id="6" w:name="O_910348"/>
      <w:bookmarkEnd w:id="6"/>
      <w:r w:rsidRPr="00210D6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94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D61">
            <w:pPr>
              <w:pStyle w:val="BodyText"/>
              <w:rPr>
                <w:lang w:val="en-NZ"/>
              </w:rPr>
            </w:pPr>
            <w:r w:rsidRPr="00210D61">
              <w:t>This section describes those core and employment skills that are essential to performance and are not explicit in the performance criteria.</w:t>
            </w:r>
          </w:p>
        </w:tc>
      </w:tr>
      <w:tr w:rsidTr="00294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D61">
            <w:pPr>
              <w:pStyle w:val="BodyText"/>
              <w:rPr>
                <w:lang w:val="en-NZ"/>
              </w:rPr>
            </w:pPr>
            <w:r w:rsidRPr="00210D61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D61" w:rsidP="00210D61">
            <w:pPr>
              <w:pStyle w:val="ListBullet"/>
            </w:pPr>
            <w:r w:rsidRPr="00210D61">
              <w:t>understand safety signs and symbols</w:t>
            </w:r>
          </w:p>
          <w:p w:rsidR="00000000" w:rsidRPr="00210D61" w:rsidP="00210D61">
            <w:pPr>
              <w:pStyle w:val="ListBullet"/>
            </w:pPr>
            <w:r w:rsidRPr="00210D61">
              <w:t>understand manufacturer’s specifications for plant and equipment guards</w:t>
            </w:r>
          </w:p>
          <w:p w:rsidR="00000000" w:rsidP="00210D61">
            <w:pPr>
              <w:pStyle w:val="ListBullet"/>
              <w:rPr>
                <w:lang w:val="en-NZ"/>
              </w:rPr>
            </w:pPr>
            <w:r w:rsidRPr="00210D61">
              <w:t>understand organisational policies and procedures.</w:t>
            </w:r>
          </w:p>
        </w:tc>
      </w:tr>
      <w:tr w:rsidTr="00294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D61">
            <w:pPr>
              <w:pStyle w:val="BodyText"/>
              <w:rPr>
                <w:lang w:val="en-NZ"/>
              </w:rPr>
            </w:pPr>
            <w:r w:rsidRPr="00210D61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D61" w:rsidP="00210D61">
            <w:pPr>
              <w:pStyle w:val="ListBullet"/>
            </w:pPr>
            <w:r w:rsidRPr="00210D61">
              <w:t>use a risk matrix and calculate risk</w:t>
            </w:r>
          </w:p>
          <w:p w:rsidR="00000000" w:rsidP="00210D61">
            <w:pPr>
              <w:pStyle w:val="ListBullet"/>
              <w:rPr>
                <w:lang w:val="en-NZ"/>
              </w:rPr>
            </w:pPr>
            <w:r w:rsidRPr="00210D61">
              <w:t>estimate weight and volume, and establ</w:t>
            </w:r>
            <w:r w:rsidRPr="00210D61">
              <w:t>ish centre of gravity.</w:t>
            </w:r>
          </w:p>
        </w:tc>
      </w:tr>
      <w:tr w:rsidTr="00294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D61">
            <w:pPr>
              <w:pStyle w:val="BodyText"/>
              <w:rPr>
                <w:lang w:val="en-NZ"/>
              </w:rPr>
            </w:pPr>
            <w:r w:rsidRPr="00210D61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D61">
            <w:pPr>
              <w:pStyle w:val="ListBullet"/>
              <w:rPr>
                <w:lang w:val="en-NZ"/>
              </w:rPr>
            </w:pPr>
            <w:r w:rsidRPr="00210D61">
              <w:t>complete a hazard report clearly and legibly</w:t>
            </w:r>
          </w:p>
        </w:tc>
      </w:tr>
      <w:tr w:rsidTr="00294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D61">
            <w:pPr>
              <w:pStyle w:val="BodyText"/>
              <w:rPr>
                <w:lang w:val="en-NZ"/>
              </w:rPr>
            </w:pPr>
            <w:r w:rsidRPr="00210D61">
              <w:t>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D61">
            <w:pPr>
              <w:pStyle w:val="ListBullet"/>
              <w:rPr>
                <w:lang w:val="en-NZ"/>
              </w:rPr>
            </w:pPr>
            <w:r w:rsidRPr="00210D61">
              <w:t>notify and report hazards to appropriate personnel.</w:t>
            </w:r>
          </w:p>
        </w:tc>
      </w:tr>
      <w:tr w:rsidTr="00294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D61">
            <w:pPr>
              <w:pStyle w:val="BodyText"/>
              <w:rPr>
                <w:lang w:val="en-NZ"/>
              </w:rPr>
            </w:pPr>
            <w:r w:rsidRPr="00210D61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D61" w:rsidP="00210D61">
            <w:pPr>
              <w:pStyle w:val="ListBullet"/>
            </w:pPr>
            <w:r w:rsidRPr="00210D61">
              <w:t>manage risks and respond to hazards.</w:t>
            </w:r>
          </w:p>
        </w:tc>
      </w:tr>
    </w:tbl>
    <w:p w:rsidR="00000000" w:rsidRPr="00210D61" w:rsidP="00210D61">
      <w:pPr>
        <w:pStyle w:val="BodyText"/>
      </w:pPr>
    </w:p>
    <w:p w:rsidR="00000000" w:rsidRPr="00210D61" w:rsidP="00210D61">
      <w:pPr>
        <w:pStyle w:val="AllowPageBreak"/>
      </w:pPr>
    </w:p>
    <w:p w:rsidR="00000000" w:rsidRPr="00210D61" w:rsidP="00210D61">
      <w:pPr>
        <w:pStyle w:val="Heading1"/>
      </w:pPr>
      <w:bookmarkStart w:id="7" w:name="O_910349"/>
      <w:bookmarkEnd w:id="7"/>
      <w:r w:rsidRPr="00210D61">
        <w:t>Range of Conditions</w:t>
      </w:r>
    </w:p>
    <w:p w:rsidR="00000000" w:rsidRPr="00210D61" w:rsidP="00294BC9">
      <w:pPr>
        <w:pStyle w:val="BodyText"/>
      </w:pPr>
      <w:r w:rsidRPr="00210D61">
        <w:t>Not Applicable</w:t>
      </w:r>
    </w:p>
    <w:p w:rsidR="00000000" w:rsidRPr="00210D61" w:rsidP="00210D61">
      <w:pPr>
        <w:pStyle w:val="Heading1"/>
      </w:pPr>
      <w:bookmarkStart w:id="8" w:name="O_910350"/>
      <w:bookmarkEnd w:id="8"/>
      <w:r w:rsidRPr="00210D61">
        <w:t>Unit Mapping Information</w:t>
      </w:r>
    </w:p>
    <w:p w:rsidR="00000000" w:rsidRPr="00210D61" w:rsidP="00210D61">
      <w:pPr>
        <w:pStyle w:val="SuperHeading"/>
      </w:pPr>
      <w:r w:rsidRPr="00210D61">
        <w:t>FPICOR2205B Follow OHS policies and procedures</w:t>
      </w:r>
    </w:p>
    <w:p w:rsidR="00000000" w:rsidRPr="00210D61" w:rsidP="00210D61">
      <w:pPr>
        <w:pStyle w:val="Heading1"/>
      </w:pPr>
      <w:bookmarkStart w:id="9" w:name="O_910357"/>
      <w:bookmarkEnd w:id="9"/>
      <w:r w:rsidRPr="00210D61">
        <w:t>Links</w:t>
      </w:r>
    </w:p>
    <w:p w:rsidR="00000000" w:rsidRPr="00210D61" w:rsidP="00294BC9">
      <w:pPr>
        <w:pStyle w:val="BodyText"/>
      </w:pPr>
      <w:r w:rsidRPr="00210D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F3DB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10D61" w:rsidP="00210D61"/>
    <w:sectPr w:rsidSect="00210D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61" w:rsidRPr="00294BC9" w:rsidP="00294B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BC9" w:rsidP="00210D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4BC9" w:rsidP="00210D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94BC9" w:rsidP="00210D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B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0D61" w:rsidRPr="00294BC9" w:rsidP="00294B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BC9" w:rsidRPr="002D2AF8" w:rsidP="00210D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FWPCOR2205 Follow WHS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294BC9" w:rsidP="00210D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AE1F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FEC3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D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0D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0D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0D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0D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0D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0D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0D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0D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0D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0D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0D61"/>
  </w:style>
  <w:style w:type="character" w:customStyle="1" w:styleId="Heading1Char">
    <w:name w:val="Heading 1 Char"/>
    <w:basedOn w:val="DefaultParagraphFont"/>
    <w:link w:val="Heading1"/>
    <w:rsid w:val="00210D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0D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0D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0D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0D61"/>
    <w:rPr>
      <w:b/>
      <w:spacing w:val="0"/>
    </w:rPr>
  </w:style>
  <w:style w:type="character" w:styleId="Emphasis">
    <w:name w:val="Emphasis"/>
    <w:basedOn w:val="DefaultParagraphFont"/>
    <w:qFormat/>
    <w:rsid w:val="00210D61"/>
    <w:rPr>
      <w:i/>
    </w:rPr>
  </w:style>
  <w:style w:type="paragraph" w:customStyle="1" w:styleId="SuperHeading">
    <w:name w:val="SuperHeading"/>
    <w:basedOn w:val="Normal"/>
    <w:rsid w:val="00210D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0D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0D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0D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0D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0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0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0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0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0D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0D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0D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0D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0D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0D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0D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0D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0D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0D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0D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0D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0D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0D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0D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0D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0D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0D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0D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0D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0D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0D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0D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0D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0D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0D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0D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0D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0D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0D61"/>
  </w:style>
  <w:style w:type="paragraph" w:styleId="TableofFigures">
    <w:name w:val="table of figures"/>
    <w:basedOn w:val="Normal"/>
    <w:next w:val="Normal"/>
    <w:semiHidden/>
    <w:rsid w:val="00210D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0D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0D61"/>
    <w:rPr>
      <w:rFonts w:ascii="Wingdings" w:hAnsi="Wingdings"/>
    </w:rPr>
  </w:style>
  <w:style w:type="paragraph" w:customStyle="1" w:styleId="TableHeading">
    <w:name w:val="Table Heading"/>
    <w:basedOn w:val="HeadingBase"/>
    <w:rsid w:val="00210D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0D61"/>
    <w:rPr>
      <w:color w:val="0033CC"/>
      <w:u w:val="none"/>
    </w:rPr>
  </w:style>
  <w:style w:type="paragraph" w:customStyle="1" w:styleId="BodyTextRight">
    <w:name w:val="Body Text Right"/>
    <w:basedOn w:val="BodyText"/>
    <w:rsid w:val="00210D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0D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0D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0D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0D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0D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0D61"/>
    <w:rPr>
      <w:sz w:val="32"/>
    </w:rPr>
  </w:style>
  <w:style w:type="paragraph" w:customStyle="1" w:styleId="HeadingProcedure">
    <w:name w:val="Heading Procedure"/>
    <w:basedOn w:val="HeadingBase"/>
    <w:next w:val="Normal"/>
    <w:rsid w:val="00210D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0D61"/>
    <w:pPr>
      <w:spacing w:before="60" w:after="60"/>
    </w:pPr>
  </w:style>
  <w:style w:type="paragraph" w:styleId="ListContinue">
    <w:name w:val="List Continue"/>
    <w:basedOn w:val="List"/>
    <w:rsid w:val="00210D61"/>
    <w:pPr>
      <w:ind w:firstLine="0"/>
    </w:pPr>
  </w:style>
  <w:style w:type="paragraph" w:customStyle="1" w:styleId="ListNote">
    <w:name w:val="List Note"/>
    <w:basedOn w:val="List"/>
    <w:rsid w:val="00210D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0D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0D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0D61"/>
    <w:rPr>
      <w:rFonts w:ascii="Courier New" w:hAnsi="Courier New"/>
    </w:rPr>
  </w:style>
  <w:style w:type="paragraph" w:customStyle="1" w:styleId="NoteBullet">
    <w:name w:val="Note Bullet"/>
    <w:basedOn w:val="Note"/>
    <w:rsid w:val="00210D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0D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0D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0D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0D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0D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0D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0D61"/>
    <w:rPr>
      <w:b/>
      <w:smallCaps/>
    </w:rPr>
  </w:style>
  <w:style w:type="paragraph" w:customStyle="1" w:styleId="TableListNumber">
    <w:name w:val="Table List Number"/>
    <w:basedOn w:val="ListNumber"/>
    <w:rsid w:val="00210D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0D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0D61"/>
    <w:pPr>
      <w:numPr>
        <w:numId w:val="8"/>
      </w:numPr>
    </w:pPr>
  </w:style>
  <w:style w:type="paragraph" w:customStyle="1" w:styleId="ListAlpha2">
    <w:name w:val="List Alpha 2"/>
    <w:basedOn w:val="List2"/>
    <w:rsid w:val="00210D61"/>
    <w:pPr>
      <w:numPr>
        <w:numId w:val="7"/>
      </w:numPr>
    </w:pPr>
  </w:style>
  <w:style w:type="paragraph" w:styleId="List2">
    <w:name w:val="List 2"/>
    <w:basedOn w:val="BodyText"/>
    <w:rsid w:val="00210D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0D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0D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0D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0D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0D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0D61"/>
    <w:pPr>
      <w:numPr>
        <w:numId w:val="3"/>
      </w:numPr>
    </w:pPr>
  </w:style>
  <w:style w:type="paragraph" w:styleId="ListContinue2">
    <w:name w:val="List Continue 2"/>
    <w:basedOn w:val="List2"/>
    <w:rsid w:val="00210D61"/>
    <w:pPr>
      <w:ind w:firstLine="0"/>
    </w:pPr>
  </w:style>
  <w:style w:type="paragraph" w:styleId="ListContinue3">
    <w:name w:val="List Continue 3"/>
    <w:basedOn w:val="List3"/>
    <w:rsid w:val="00210D61"/>
    <w:pPr>
      <w:ind w:left="1021" w:firstLine="0"/>
    </w:pPr>
  </w:style>
  <w:style w:type="paragraph" w:styleId="ListContinue4">
    <w:name w:val="List Continue 4"/>
    <w:basedOn w:val="List4"/>
    <w:rsid w:val="00210D61"/>
    <w:pPr>
      <w:ind w:firstLine="0"/>
    </w:pPr>
  </w:style>
  <w:style w:type="paragraph" w:styleId="ListContinue5">
    <w:name w:val="List Continue 5"/>
    <w:basedOn w:val="List5"/>
    <w:rsid w:val="00210D61"/>
    <w:pPr>
      <w:ind w:firstLine="0"/>
    </w:pPr>
  </w:style>
  <w:style w:type="paragraph" w:styleId="ListNumber3">
    <w:name w:val="List Number 3"/>
    <w:basedOn w:val="List3"/>
    <w:rsid w:val="00210D61"/>
    <w:pPr>
      <w:numPr>
        <w:numId w:val="4"/>
      </w:numPr>
    </w:pPr>
  </w:style>
  <w:style w:type="paragraph" w:styleId="ListNumber4">
    <w:name w:val="List Number 4"/>
    <w:basedOn w:val="List4"/>
    <w:rsid w:val="00210D61"/>
    <w:pPr>
      <w:numPr>
        <w:numId w:val="5"/>
      </w:numPr>
    </w:pPr>
  </w:style>
  <w:style w:type="paragraph" w:styleId="ListNumber5">
    <w:name w:val="List Number 5"/>
    <w:basedOn w:val="List5"/>
    <w:rsid w:val="00210D61"/>
    <w:pPr>
      <w:numPr>
        <w:numId w:val="6"/>
      </w:numPr>
    </w:pPr>
  </w:style>
  <w:style w:type="paragraph" w:styleId="BlockText">
    <w:name w:val="Block Text"/>
    <w:basedOn w:val="Normal"/>
    <w:rsid w:val="00210D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0D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0D61"/>
    <w:rPr>
      <w:sz w:val="16"/>
      <w:vertAlign w:val="superscript"/>
    </w:rPr>
  </w:style>
  <w:style w:type="character" w:customStyle="1" w:styleId="Symbols">
    <w:name w:val="Symbols"/>
    <w:basedOn w:val="DefaultParagraphFont"/>
    <w:rsid w:val="00210D61"/>
    <w:rPr>
      <w:rFonts w:ascii="Symbol" w:hAnsi="Symbol"/>
    </w:rPr>
  </w:style>
  <w:style w:type="character" w:customStyle="1" w:styleId="MenuOptions">
    <w:name w:val="Menu Options"/>
    <w:basedOn w:val="DefaultParagraphFont"/>
    <w:rsid w:val="00210D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0D61"/>
    <w:rPr>
      <w:b/>
    </w:rPr>
  </w:style>
  <w:style w:type="character" w:customStyle="1" w:styleId="Underlined">
    <w:name w:val="Underlined"/>
    <w:basedOn w:val="DefaultParagraphFont"/>
    <w:rsid w:val="00210D61"/>
    <w:rPr>
      <w:u w:val="single"/>
    </w:rPr>
  </w:style>
  <w:style w:type="paragraph" w:customStyle="1" w:styleId="TableBodyTextRight">
    <w:name w:val="Table Body Text Right"/>
    <w:basedOn w:val="TableBodyText"/>
    <w:rsid w:val="00210D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0D61"/>
    <w:rPr>
      <w:sz w:val="18"/>
    </w:rPr>
  </w:style>
  <w:style w:type="paragraph" w:customStyle="1" w:styleId="BodySmallRight">
    <w:name w:val="Body Small Right"/>
    <w:basedOn w:val="BodyTextRight"/>
    <w:rsid w:val="00210D61"/>
    <w:rPr>
      <w:sz w:val="18"/>
      <w:szCs w:val="18"/>
    </w:rPr>
  </w:style>
  <w:style w:type="paragraph" w:customStyle="1" w:styleId="MarginEdition">
    <w:name w:val="Margin Edition"/>
    <w:basedOn w:val="MarginNote"/>
    <w:rsid w:val="00210D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0D61"/>
    <w:rPr>
      <w:sz w:val="2"/>
      <w:szCs w:val="2"/>
    </w:rPr>
  </w:style>
  <w:style w:type="character" w:customStyle="1" w:styleId="Small">
    <w:name w:val="Small"/>
    <w:basedOn w:val="DefaultParagraphFont"/>
    <w:rsid w:val="00210D61"/>
    <w:rPr>
      <w:sz w:val="16"/>
    </w:rPr>
  </w:style>
  <w:style w:type="paragraph" w:customStyle="1" w:styleId="WideTable">
    <w:name w:val="Wide Table"/>
    <w:basedOn w:val="Normal"/>
    <w:rsid w:val="00210D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0D61"/>
  </w:style>
  <w:style w:type="paragraph" w:styleId="Quote">
    <w:name w:val="Quote"/>
    <w:basedOn w:val="Heading1"/>
    <w:link w:val="QuoteChar"/>
    <w:qFormat/>
    <w:rsid w:val="00210D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0D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0D61"/>
    <w:pPr>
      <w:pageBreakBefore/>
    </w:pPr>
  </w:style>
  <w:style w:type="paragraph" w:customStyle="1" w:styleId="Border">
    <w:name w:val="Border"/>
    <w:basedOn w:val="Normal"/>
    <w:qFormat/>
    <w:rsid w:val="00210D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0D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D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D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0D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0D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0D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0D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0D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0D61"/>
    <w:rPr>
      <w:u w:val="single"/>
    </w:rPr>
  </w:style>
  <w:style w:type="character" w:customStyle="1" w:styleId="BoldandItalics">
    <w:name w:val="Bold and Italics"/>
    <w:qFormat/>
    <w:rsid w:val="00210D61"/>
    <w:rPr>
      <w:b/>
      <w:i/>
      <w:u w:val="none"/>
    </w:rPr>
  </w:style>
  <w:style w:type="paragraph" w:styleId="BalloonText">
    <w:name w:val="Balloon Text"/>
    <w:basedOn w:val="Normal"/>
    <w:link w:val="BalloonTextChar"/>
    <w:rsid w:val="00210D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0D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0D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0D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0D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0D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0D61"/>
    <w:pPr>
      <w:spacing w:before="0" w:after="0"/>
    </w:pPr>
  </w:style>
  <w:style w:type="paragraph" w:customStyle="1" w:styleId="BodyTextBold">
    <w:name w:val="Body Text Bold"/>
    <w:basedOn w:val="BodyText"/>
    <w:qFormat/>
    <w:rsid w:val="00210D61"/>
    <w:rPr>
      <w:b/>
    </w:rPr>
  </w:style>
  <w:style w:type="character" w:styleId="Hyperlink">
    <w:name w:val="Hyperlink"/>
    <w:basedOn w:val="DefaultParagraphFont"/>
    <w:uiPriority w:val="99"/>
    <w:unhideWhenUsed/>
    <w:rsid w:val="00294B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3580</Characters>
  <Application>Microsoft Office Word</Application>
  <DocSecurity>0</DocSecurity>
  <Lines>111</Lines>
  <Paragraphs>78</Paragraphs>
  <ScaleCrop>false</ScaleCrop>
  <Company>Author-it Software Corporation Ltd.</Company>
  <LinksUpToDate>false</LinksUpToDate>
  <CharactersWithSpaces>4081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FWPCOR2205 Follow WHS policies and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2024-04-26T01:32:00Z</dcterms:created>
  <dcterms:modified xsi:type="dcterms:W3CDTF">2024-04-26T01:32:00Z</dcterms:modified>
</cp:coreProperties>
</file>