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409" w:rsidP="00413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FWPCOR2203 Follow environmental care procedures</w:t>
      </w:r>
      <w:r>
        <w:fldChar w:fldCharType="end"/>
      </w:r>
    </w:p>
    <w:p w:rsidR="00413409" w:rsidP="00413409">
      <w:pPr>
        <w:pStyle w:val="Version"/>
        <w:sectPr w:rsidSect="006F1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17E" w:rsidP="006F117E">
      <w:pPr>
        <w:pStyle w:val="SuperHeading"/>
      </w:pPr>
      <w:r w:rsidRPr="006F117E">
        <w:t>FWPCOR2203 Follow environmental care procedures</w:t>
      </w:r>
    </w:p>
    <w:p w:rsidR="00000000" w:rsidRPr="006F117E" w:rsidP="006F117E">
      <w:pPr>
        <w:pStyle w:val="Heading1"/>
      </w:pPr>
      <w:bookmarkStart w:id="1" w:name="O_910304"/>
      <w:bookmarkEnd w:id="1"/>
      <w:r w:rsidRPr="006F11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rPr>
                <w:rStyle w:val="SpecialBold"/>
              </w:rPr>
              <w:t>Comment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t>Replaces equivalent unit FPICOR2203B Follow environmental care procedures, which was first released with FPI11 Forest and Forest Products Training Package Version 1.</w:t>
            </w:r>
          </w:p>
          <w:p w:rsidR="00000000" w:rsidRPr="006F117E" w:rsidP="006F117E">
            <w:pPr>
              <w:pStyle w:val="BodyText"/>
            </w:pPr>
            <w:r w:rsidRPr="006F117E">
              <w:t xml:space="preserve">This is the first release of this unit in </w:t>
            </w:r>
            <w:r w:rsidRPr="006F117E">
              <w:t>the new standards format.</w:t>
            </w:r>
          </w:p>
        </w:tc>
      </w:tr>
    </w:tbl>
    <w:p w:rsidR="00000000" w:rsidRPr="006F117E" w:rsidP="006F117E">
      <w:pPr>
        <w:pStyle w:val="BodyText"/>
      </w:pPr>
    </w:p>
    <w:p w:rsidR="00000000" w:rsidRPr="006F117E" w:rsidP="006F117E">
      <w:pPr>
        <w:pStyle w:val="AllowPageBreak"/>
      </w:pPr>
    </w:p>
    <w:p w:rsidR="00000000" w:rsidRPr="006F117E" w:rsidP="006F117E">
      <w:pPr>
        <w:pStyle w:val="Heading1"/>
      </w:pPr>
      <w:bookmarkStart w:id="2" w:name="O_910305"/>
      <w:bookmarkEnd w:id="2"/>
      <w:r w:rsidRPr="006F117E">
        <w:t>Application</w:t>
      </w:r>
    </w:p>
    <w:p w:rsidR="00000000" w:rsidRPr="006F117E" w:rsidP="00413409">
      <w:pPr>
        <w:pStyle w:val="BodyText"/>
      </w:pPr>
      <w:r w:rsidRPr="006F117E">
        <w:t>This unit of competency describes the outcomes required to identify, maintain and monitor environmental work practices: including recognising basic environmental risks and hazards, and implementing e</w:t>
      </w:r>
      <w:r w:rsidRPr="006F117E">
        <w:t xml:space="preserve">nvironmental policies and workplace or industry practices, with the aim of improving environmental care practices. </w:t>
      </w:r>
    </w:p>
    <w:p w:rsidR="00000000" w:rsidRPr="006F117E" w:rsidP="00413409">
      <w:pPr>
        <w:pStyle w:val="BodyText"/>
      </w:pPr>
      <w:r w:rsidRPr="006F117E">
        <w:t>The unit applies those working in a broad range of job roles across different work settings, in a forest or harvesting environment, includin</w:t>
      </w:r>
      <w:r w:rsidRPr="006F117E">
        <w:t>g saw mill, wood chip mill, veneer mill, board/plywood mill, timber treatment plant, forest products factory, and forest products sales and service, horticultural, domestic, local council and emergency services.</w:t>
      </w:r>
    </w:p>
    <w:p w:rsidR="00000000" w:rsidRPr="006F117E" w:rsidP="00413409">
      <w:pPr>
        <w:pStyle w:val="BodyText"/>
      </w:pPr>
      <w:r w:rsidRPr="006F117E">
        <w:t>No licensing, legislative, regulatory, or ce</w:t>
      </w:r>
      <w:r w:rsidRPr="006F117E">
        <w:t>rtification requirements apply to this unit at the time of publication.</w:t>
      </w:r>
    </w:p>
    <w:p w:rsidR="00000000" w:rsidRPr="006F117E" w:rsidP="006F117E">
      <w:pPr>
        <w:pStyle w:val="Heading1"/>
      </w:pPr>
      <w:bookmarkStart w:id="3" w:name="O_910306"/>
      <w:bookmarkEnd w:id="3"/>
      <w:r w:rsidRPr="006F117E">
        <w:t>Pre-requisite Unit</w:t>
      </w:r>
    </w:p>
    <w:p w:rsidR="00000000" w:rsidRPr="006F117E" w:rsidP="00413409">
      <w:pPr>
        <w:pStyle w:val="BodyText"/>
      </w:pPr>
      <w:r w:rsidRPr="006F117E">
        <w:t>Nil</w:t>
      </w:r>
    </w:p>
    <w:p w:rsidR="00000000" w:rsidRPr="006F117E" w:rsidP="006F117E">
      <w:pPr>
        <w:pStyle w:val="Heading1"/>
      </w:pPr>
      <w:bookmarkStart w:id="4" w:name="O_910308"/>
      <w:bookmarkEnd w:id="4"/>
      <w:r w:rsidRPr="006F117E">
        <w:t>Unit Sector</w:t>
      </w:r>
    </w:p>
    <w:p w:rsidR="00000000" w:rsidRPr="006F117E" w:rsidP="00413409">
      <w:pPr>
        <w:pStyle w:val="List"/>
      </w:pPr>
      <w:r w:rsidRPr="006F117E">
        <w:t>Forest Growing and Management</w:t>
      </w:r>
    </w:p>
    <w:p w:rsidR="00000000" w:rsidRPr="006F117E" w:rsidP="00413409">
      <w:pPr>
        <w:pStyle w:val="List"/>
      </w:pPr>
      <w:r w:rsidRPr="006F117E">
        <w:t>Harvesting and Haulage</w:t>
      </w:r>
    </w:p>
    <w:p w:rsidR="00000000" w:rsidRPr="006F117E" w:rsidP="00413409">
      <w:pPr>
        <w:pStyle w:val="List"/>
      </w:pPr>
      <w:r w:rsidRPr="006F117E">
        <w:t>Sawmilling and Processing</w:t>
      </w:r>
    </w:p>
    <w:p w:rsidR="00000000" w:rsidRPr="006F117E" w:rsidP="00413409">
      <w:pPr>
        <w:pStyle w:val="List"/>
      </w:pPr>
      <w:r w:rsidRPr="006F117E">
        <w:t>Timber Manufactured Products</w:t>
      </w:r>
    </w:p>
    <w:p w:rsidR="00000000" w:rsidRPr="006F117E" w:rsidP="00413409">
      <w:pPr>
        <w:pStyle w:val="List"/>
      </w:pPr>
      <w:r w:rsidRPr="006F117E">
        <w:t>Timber Merchandising</w:t>
      </w:r>
    </w:p>
    <w:p w:rsidR="00000000" w:rsidRPr="006F117E" w:rsidP="00413409">
      <w:pPr>
        <w:pStyle w:val="List"/>
      </w:pPr>
      <w:r w:rsidRPr="006F117E">
        <w:t>Wood Panel Products</w:t>
      </w:r>
    </w:p>
    <w:p w:rsidR="00413409" w:rsidP="00413409">
      <w:pPr>
        <w:pStyle w:val="List"/>
      </w:pPr>
      <w:r w:rsidRPr="006F117E">
        <w:t>Timber Truss and Frame Design and Manufacture</w:t>
      </w:r>
    </w:p>
    <w:p w:rsidR="00413409" w:rsidP="006F117E">
      <w:pPr>
        <w:pStyle w:val="BodyText"/>
      </w:pPr>
    </w:p>
    <w:p w:rsidR="00000000" w:rsidRPr="006F117E" w:rsidP="006F117E">
      <w:pPr>
        <w:pStyle w:val="Heading1"/>
      </w:pPr>
      <w:bookmarkStart w:id="5" w:name="O_910309"/>
      <w:bookmarkEnd w:id="5"/>
      <w:r w:rsidRPr="006F11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rPr>
                <w:rStyle w:val="SpecialBold"/>
              </w:rPr>
              <w:t>PERFORMANCE CRITERIA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rPr>
                <w:rStyle w:val="Emphasis"/>
              </w:rPr>
              <w:t>Performance criteria describe the performanc</w:t>
            </w:r>
            <w:r w:rsidRPr="006F117E">
              <w:rPr>
                <w:rStyle w:val="Emphasis"/>
              </w:rPr>
              <w:t>e needed to demonstrate achievement of the element. Where bold italicised text is used, further information is detailed in the range of conditions.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1. Identify environmental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t xml:space="preserve">1.1 Check work order </w:t>
            </w:r>
            <w:r w:rsidRPr="006F117E">
              <w:t>and identify and clarify environmental care requirements with appropriate personnel.</w:t>
            </w:r>
          </w:p>
          <w:p w:rsidR="00000000" w:rsidRPr="006F117E" w:rsidP="006F117E">
            <w:pPr>
              <w:pStyle w:val="BodyText"/>
            </w:pPr>
            <w:r w:rsidRPr="006F117E">
              <w:t>1.2 Identify environmental protection zones required by legislation or industry codes of practice.</w:t>
            </w:r>
          </w:p>
          <w:p w:rsidR="00000000" w:rsidRPr="006F117E" w:rsidP="006F117E">
            <w:pPr>
              <w:pStyle w:val="BodyText"/>
            </w:pPr>
            <w:r w:rsidRPr="006F117E">
              <w:t>1.3 Identify and report existing and potential environmental risks and h</w:t>
            </w:r>
            <w:r w:rsidRPr="006F117E">
              <w:t>azards to relevant personnel.</w:t>
            </w:r>
          </w:p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1.4 Identify WHS requirements for managing environmental risks or performing environmental care.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2. Ensure work practices follow environmental care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t>2.1 Follow applicable WHS, environmental, legislative and organi</w:t>
            </w:r>
            <w:r w:rsidRPr="006F117E">
              <w:t>sational requirements when responding to environmental risks or hazards.</w:t>
            </w:r>
          </w:p>
          <w:p w:rsidR="00000000" w:rsidRPr="006F117E" w:rsidP="006F117E">
            <w:pPr>
              <w:pStyle w:val="BodyText"/>
            </w:pPr>
            <w:r w:rsidRPr="006F117E">
              <w:t>2.2 Select suitable resources to respond to environmental risk or hazard.</w:t>
            </w:r>
          </w:p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2.3 Follow site procedures for dealing with environmental incidents, accidents, and emergencies.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3. Seek opp</w:t>
            </w:r>
            <w:r w:rsidRPr="006F117E">
              <w:t>ortunities to improve environmental care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BodyText"/>
            </w:pPr>
            <w:r w:rsidRPr="006F117E">
              <w:t>3.1 Suggest specific improvements to environmental care practices and resource efficiency to relevant personnel.</w:t>
            </w:r>
          </w:p>
          <w:p w:rsidR="00000000" w:rsidRPr="006F117E" w:rsidP="006F117E">
            <w:pPr>
              <w:pStyle w:val="BodyText"/>
            </w:pPr>
            <w:r w:rsidRPr="006F117E">
              <w:t>3.2 Update knowledge of changes in environmental care.</w:t>
            </w:r>
          </w:p>
          <w:p w:rsidR="00000000" w:rsidRPr="006F117E" w:rsidP="006F117E">
            <w:pPr>
              <w:pStyle w:val="BodyText"/>
            </w:pPr>
            <w:r w:rsidRPr="006F117E">
              <w:t>3.3 Record and report breaches or pot</w:t>
            </w:r>
            <w:r w:rsidRPr="006F117E">
              <w:t>ential breaches of environmental regulations to relevant personnel in line with workplace procedures.</w:t>
            </w:r>
          </w:p>
          <w:p w:rsidR="00000000" w:rsidRPr="006F117E" w:rsidP="006F117E">
            <w:pPr>
              <w:pStyle w:val="BodyText"/>
            </w:pPr>
          </w:p>
        </w:tc>
      </w:tr>
    </w:tbl>
    <w:p w:rsidR="00000000" w:rsidRPr="006F117E" w:rsidP="006F117E">
      <w:pPr>
        <w:pStyle w:val="BodyText"/>
      </w:pPr>
    </w:p>
    <w:p w:rsidR="00000000" w:rsidRPr="006F117E" w:rsidP="006F117E">
      <w:pPr>
        <w:pStyle w:val="AllowPageBreak"/>
      </w:pPr>
    </w:p>
    <w:p w:rsidR="00000000" w:rsidRPr="006F117E" w:rsidP="006F117E">
      <w:pPr>
        <w:pStyle w:val="Heading1"/>
      </w:pPr>
      <w:bookmarkStart w:id="6" w:name="O_910310"/>
      <w:bookmarkEnd w:id="6"/>
      <w:r w:rsidRPr="006F117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This section describes those core and employment skills that are essential to performance and are not explicit in th</w:t>
            </w:r>
            <w:r w:rsidRPr="006F117E">
              <w:t>e performance criteria.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ListBullet"/>
            </w:pPr>
            <w:r w:rsidRPr="006F117E">
              <w:t>calculate the probability of risks</w:t>
            </w:r>
          </w:p>
          <w:p w:rsidR="00000000" w:rsidP="006F117E">
            <w:pPr>
              <w:pStyle w:val="ListBullet"/>
              <w:rPr>
                <w:lang w:val="en-NZ"/>
              </w:rPr>
            </w:pPr>
            <w:r w:rsidRPr="006F117E">
              <w:t>estimate distance for buffer zones.</w:t>
            </w:r>
          </w:p>
        </w:tc>
      </w:tr>
      <w:tr w:rsidTr="00413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17E">
            <w:pPr>
              <w:pStyle w:val="BodyText"/>
              <w:rPr>
                <w:lang w:val="en-NZ"/>
              </w:rPr>
            </w:pPr>
            <w:r w:rsidRPr="006F117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17E" w:rsidP="006F117E">
            <w:pPr>
              <w:pStyle w:val="ListBullet"/>
            </w:pPr>
            <w:r w:rsidRPr="006F117E">
              <w:t>interpret information about environmental care and safety procedures arising from environmental risks.</w:t>
            </w:r>
          </w:p>
        </w:tc>
      </w:tr>
    </w:tbl>
    <w:p w:rsidR="00000000" w:rsidRPr="006F117E" w:rsidP="006F117E">
      <w:pPr>
        <w:pStyle w:val="BodyText"/>
      </w:pPr>
    </w:p>
    <w:p w:rsidR="00000000" w:rsidRPr="006F117E" w:rsidP="006F117E">
      <w:pPr>
        <w:pStyle w:val="AllowPageBreak"/>
      </w:pPr>
    </w:p>
    <w:p w:rsidR="00000000" w:rsidRPr="006F117E" w:rsidP="006F117E">
      <w:pPr>
        <w:pStyle w:val="Heading1"/>
      </w:pPr>
      <w:bookmarkStart w:id="7" w:name="O_910311"/>
      <w:bookmarkEnd w:id="7"/>
      <w:r w:rsidRPr="006F117E">
        <w:t>Range of Conditions</w:t>
      </w:r>
    </w:p>
    <w:p w:rsidR="00000000" w:rsidRPr="006F117E" w:rsidP="00413409">
      <w:pPr>
        <w:pStyle w:val="BodyText"/>
      </w:pPr>
      <w:r w:rsidRPr="006F117E">
        <w:t>Not Applicable</w:t>
      </w:r>
    </w:p>
    <w:p w:rsidR="00000000" w:rsidRPr="006F117E" w:rsidP="006F117E">
      <w:pPr>
        <w:pStyle w:val="Heading1"/>
      </w:pPr>
      <w:bookmarkStart w:id="8" w:name="O_910312"/>
      <w:bookmarkEnd w:id="8"/>
      <w:r w:rsidRPr="006F117E">
        <w:t>Unit Mapping Information</w:t>
      </w:r>
    </w:p>
    <w:p w:rsidR="00000000" w:rsidRPr="006F117E" w:rsidP="00413409">
      <w:pPr>
        <w:pStyle w:val="BodyText"/>
      </w:pPr>
      <w:r w:rsidRPr="006F117E">
        <w:t>FPICOR2203B Follow environmental care procedures</w:t>
      </w:r>
    </w:p>
    <w:p w:rsidR="00000000" w:rsidRPr="006F117E" w:rsidP="006F117E">
      <w:pPr>
        <w:pStyle w:val="Heading1"/>
      </w:pPr>
      <w:bookmarkStart w:id="9" w:name="O_910319"/>
      <w:bookmarkEnd w:id="9"/>
      <w:r w:rsidRPr="006F117E">
        <w:t>Links</w:t>
      </w:r>
    </w:p>
    <w:p w:rsidR="00000000" w:rsidRPr="006F117E" w:rsidP="00413409">
      <w:pPr>
        <w:pStyle w:val="BodyText"/>
      </w:pPr>
      <w:r w:rsidRPr="006F1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1F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F117E" w:rsidP="006F117E"/>
    <w:sectPr w:rsidSect="006F1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E" w:rsidRPr="00413409" w:rsidP="00413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09" w:rsidP="006F1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409" w:rsidP="006F1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3409" w:rsidP="006F1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17E" w:rsidRPr="00413409" w:rsidP="00413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409" w:rsidRPr="002D2AF8" w:rsidP="006F1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FWPCOR2203 Follow environmental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13409" w:rsidP="006F1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A9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E4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17E"/>
  </w:style>
  <w:style w:type="character" w:customStyle="1" w:styleId="Heading1Char">
    <w:name w:val="Heading 1 Char"/>
    <w:basedOn w:val="DefaultParagraphFont"/>
    <w:link w:val="Heading1"/>
    <w:rsid w:val="006F1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17E"/>
    <w:rPr>
      <w:b/>
      <w:spacing w:val="0"/>
    </w:rPr>
  </w:style>
  <w:style w:type="character" w:styleId="Emphasis">
    <w:name w:val="Emphasis"/>
    <w:basedOn w:val="DefaultParagraphFont"/>
    <w:qFormat/>
    <w:rsid w:val="006F117E"/>
    <w:rPr>
      <w:i/>
    </w:rPr>
  </w:style>
  <w:style w:type="paragraph" w:customStyle="1" w:styleId="SuperHeading">
    <w:name w:val="SuperHeading"/>
    <w:basedOn w:val="Normal"/>
    <w:rsid w:val="006F1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17E"/>
  </w:style>
  <w:style w:type="paragraph" w:styleId="TableofFigures">
    <w:name w:val="table of figures"/>
    <w:basedOn w:val="Normal"/>
    <w:next w:val="Normal"/>
    <w:semiHidden/>
    <w:rsid w:val="006F1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17E"/>
    <w:rPr>
      <w:rFonts w:ascii="Wingdings" w:hAnsi="Wingdings"/>
    </w:rPr>
  </w:style>
  <w:style w:type="paragraph" w:customStyle="1" w:styleId="TableHeading">
    <w:name w:val="Table Heading"/>
    <w:basedOn w:val="HeadingBase"/>
    <w:rsid w:val="006F1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17E"/>
    <w:rPr>
      <w:color w:val="0033CC"/>
      <w:u w:val="none"/>
    </w:rPr>
  </w:style>
  <w:style w:type="paragraph" w:customStyle="1" w:styleId="BodyTextRight">
    <w:name w:val="Body Text Right"/>
    <w:basedOn w:val="BodyText"/>
    <w:rsid w:val="006F1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17E"/>
    <w:rPr>
      <w:sz w:val="32"/>
    </w:rPr>
  </w:style>
  <w:style w:type="paragraph" w:customStyle="1" w:styleId="HeadingProcedure">
    <w:name w:val="Heading Procedure"/>
    <w:basedOn w:val="HeadingBase"/>
    <w:next w:val="Normal"/>
    <w:rsid w:val="006F1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17E"/>
    <w:pPr>
      <w:spacing w:before="60" w:after="60"/>
    </w:pPr>
  </w:style>
  <w:style w:type="paragraph" w:styleId="ListContinue">
    <w:name w:val="List Continue"/>
    <w:basedOn w:val="List"/>
    <w:rsid w:val="006F117E"/>
    <w:pPr>
      <w:ind w:firstLine="0"/>
    </w:pPr>
  </w:style>
  <w:style w:type="paragraph" w:customStyle="1" w:styleId="ListNote">
    <w:name w:val="List Note"/>
    <w:basedOn w:val="List"/>
    <w:rsid w:val="006F1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17E"/>
    <w:rPr>
      <w:rFonts w:ascii="Courier New" w:hAnsi="Courier New"/>
    </w:rPr>
  </w:style>
  <w:style w:type="paragraph" w:customStyle="1" w:styleId="NoteBullet">
    <w:name w:val="Note Bullet"/>
    <w:basedOn w:val="Note"/>
    <w:rsid w:val="006F1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17E"/>
    <w:rPr>
      <w:b/>
      <w:smallCaps/>
    </w:rPr>
  </w:style>
  <w:style w:type="paragraph" w:customStyle="1" w:styleId="TableListNumber">
    <w:name w:val="Table List Number"/>
    <w:basedOn w:val="ListNumber"/>
    <w:rsid w:val="006F1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17E"/>
    <w:pPr>
      <w:numPr>
        <w:numId w:val="8"/>
      </w:numPr>
    </w:pPr>
  </w:style>
  <w:style w:type="paragraph" w:customStyle="1" w:styleId="ListAlpha2">
    <w:name w:val="List Alpha 2"/>
    <w:basedOn w:val="List2"/>
    <w:rsid w:val="006F117E"/>
    <w:pPr>
      <w:numPr>
        <w:numId w:val="7"/>
      </w:numPr>
    </w:pPr>
  </w:style>
  <w:style w:type="paragraph" w:styleId="List2">
    <w:name w:val="List 2"/>
    <w:basedOn w:val="BodyText"/>
    <w:rsid w:val="006F1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17E"/>
    <w:pPr>
      <w:numPr>
        <w:numId w:val="3"/>
      </w:numPr>
    </w:pPr>
  </w:style>
  <w:style w:type="paragraph" w:styleId="ListContinue2">
    <w:name w:val="List Continue 2"/>
    <w:basedOn w:val="List2"/>
    <w:rsid w:val="006F117E"/>
    <w:pPr>
      <w:ind w:firstLine="0"/>
    </w:pPr>
  </w:style>
  <w:style w:type="paragraph" w:styleId="ListContinue3">
    <w:name w:val="List Continue 3"/>
    <w:basedOn w:val="List3"/>
    <w:rsid w:val="006F117E"/>
    <w:pPr>
      <w:ind w:left="1021" w:firstLine="0"/>
    </w:pPr>
  </w:style>
  <w:style w:type="paragraph" w:styleId="ListContinue4">
    <w:name w:val="List Continue 4"/>
    <w:basedOn w:val="List4"/>
    <w:rsid w:val="006F117E"/>
    <w:pPr>
      <w:ind w:firstLine="0"/>
    </w:pPr>
  </w:style>
  <w:style w:type="paragraph" w:styleId="ListContinue5">
    <w:name w:val="List Continue 5"/>
    <w:basedOn w:val="List5"/>
    <w:rsid w:val="006F117E"/>
    <w:pPr>
      <w:ind w:firstLine="0"/>
    </w:pPr>
  </w:style>
  <w:style w:type="paragraph" w:styleId="ListNumber3">
    <w:name w:val="List Number 3"/>
    <w:basedOn w:val="List3"/>
    <w:rsid w:val="006F117E"/>
    <w:pPr>
      <w:numPr>
        <w:numId w:val="4"/>
      </w:numPr>
    </w:pPr>
  </w:style>
  <w:style w:type="paragraph" w:styleId="ListNumber4">
    <w:name w:val="List Number 4"/>
    <w:basedOn w:val="List4"/>
    <w:rsid w:val="006F117E"/>
    <w:pPr>
      <w:numPr>
        <w:numId w:val="5"/>
      </w:numPr>
    </w:pPr>
  </w:style>
  <w:style w:type="paragraph" w:styleId="ListNumber5">
    <w:name w:val="List Number 5"/>
    <w:basedOn w:val="List5"/>
    <w:rsid w:val="006F117E"/>
    <w:pPr>
      <w:numPr>
        <w:numId w:val="6"/>
      </w:numPr>
    </w:pPr>
  </w:style>
  <w:style w:type="paragraph" w:styleId="BlockText">
    <w:name w:val="Block Text"/>
    <w:basedOn w:val="Normal"/>
    <w:rsid w:val="006F1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17E"/>
    <w:rPr>
      <w:sz w:val="16"/>
      <w:vertAlign w:val="superscript"/>
    </w:rPr>
  </w:style>
  <w:style w:type="character" w:customStyle="1" w:styleId="Symbols">
    <w:name w:val="Symbols"/>
    <w:basedOn w:val="DefaultParagraphFont"/>
    <w:rsid w:val="006F117E"/>
    <w:rPr>
      <w:rFonts w:ascii="Symbol" w:hAnsi="Symbol"/>
    </w:rPr>
  </w:style>
  <w:style w:type="character" w:customStyle="1" w:styleId="MenuOptions">
    <w:name w:val="Menu Options"/>
    <w:basedOn w:val="DefaultParagraphFont"/>
    <w:rsid w:val="006F1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17E"/>
    <w:rPr>
      <w:b/>
    </w:rPr>
  </w:style>
  <w:style w:type="character" w:customStyle="1" w:styleId="Underlined">
    <w:name w:val="Underlined"/>
    <w:basedOn w:val="DefaultParagraphFont"/>
    <w:rsid w:val="006F117E"/>
    <w:rPr>
      <w:u w:val="single"/>
    </w:rPr>
  </w:style>
  <w:style w:type="paragraph" w:customStyle="1" w:styleId="TableBodyTextRight">
    <w:name w:val="Table Body Text Right"/>
    <w:basedOn w:val="TableBodyText"/>
    <w:rsid w:val="006F1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17E"/>
    <w:rPr>
      <w:sz w:val="18"/>
    </w:rPr>
  </w:style>
  <w:style w:type="paragraph" w:customStyle="1" w:styleId="BodySmallRight">
    <w:name w:val="Body Small Right"/>
    <w:basedOn w:val="BodyTextRight"/>
    <w:rsid w:val="006F117E"/>
    <w:rPr>
      <w:sz w:val="18"/>
      <w:szCs w:val="18"/>
    </w:rPr>
  </w:style>
  <w:style w:type="paragraph" w:customStyle="1" w:styleId="MarginEdition">
    <w:name w:val="Margin Edition"/>
    <w:basedOn w:val="MarginNote"/>
    <w:rsid w:val="006F1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17E"/>
    <w:rPr>
      <w:sz w:val="2"/>
      <w:szCs w:val="2"/>
    </w:rPr>
  </w:style>
  <w:style w:type="character" w:customStyle="1" w:styleId="Small">
    <w:name w:val="Small"/>
    <w:basedOn w:val="DefaultParagraphFont"/>
    <w:rsid w:val="006F117E"/>
    <w:rPr>
      <w:sz w:val="16"/>
    </w:rPr>
  </w:style>
  <w:style w:type="paragraph" w:customStyle="1" w:styleId="WideTable">
    <w:name w:val="Wide Table"/>
    <w:basedOn w:val="Normal"/>
    <w:rsid w:val="006F1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17E"/>
  </w:style>
  <w:style w:type="paragraph" w:styleId="Quote">
    <w:name w:val="Quote"/>
    <w:basedOn w:val="Heading1"/>
    <w:link w:val="QuoteChar"/>
    <w:qFormat/>
    <w:rsid w:val="006F1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17E"/>
    <w:pPr>
      <w:pageBreakBefore/>
    </w:pPr>
  </w:style>
  <w:style w:type="paragraph" w:customStyle="1" w:styleId="Border">
    <w:name w:val="Border"/>
    <w:basedOn w:val="Normal"/>
    <w:qFormat/>
    <w:rsid w:val="006F1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17E"/>
    <w:rPr>
      <w:u w:val="single"/>
    </w:rPr>
  </w:style>
  <w:style w:type="character" w:customStyle="1" w:styleId="BoldandItalics">
    <w:name w:val="Bold and Italics"/>
    <w:qFormat/>
    <w:rsid w:val="006F117E"/>
    <w:rPr>
      <w:b/>
      <w:i/>
      <w:u w:val="none"/>
    </w:rPr>
  </w:style>
  <w:style w:type="paragraph" w:styleId="BalloonText">
    <w:name w:val="Balloon Text"/>
    <w:basedOn w:val="Normal"/>
    <w:link w:val="BalloonTextChar"/>
    <w:rsid w:val="006F1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17E"/>
    <w:pPr>
      <w:spacing w:before="0" w:after="0"/>
    </w:pPr>
  </w:style>
  <w:style w:type="paragraph" w:customStyle="1" w:styleId="BodyTextBold">
    <w:name w:val="Body Text Bold"/>
    <w:basedOn w:val="BodyText"/>
    <w:qFormat/>
    <w:rsid w:val="006F117E"/>
    <w:rPr>
      <w:b/>
    </w:rPr>
  </w:style>
  <w:style w:type="character" w:styleId="Hyperlink">
    <w:name w:val="Hyperlink"/>
    <w:basedOn w:val="DefaultParagraphFont"/>
    <w:uiPriority w:val="99"/>
    <w:unhideWhenUsed/>
    <w:rsid w:val="00413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3231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FWPCOR2203 Follow environmental care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