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AA1" w:rsidP="00DC7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FSKRDG009 Read and respond to routine standard operating procedures</w:t>
      </w:r>
      <w:r>
        <w:fldChar w:fldCharType="end"/>
      </w:r>
    </w:p>
    <w:p w:rsidR="00DC7AA1" w:rsidP="00DC7AA1">
      <w:pPr>
        <w:pStyle w:val="Version"/>
        <w:sectPr w:rsidSect="00A81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162" w:rsidP="00A81162">
      <w:pPr>
        <w:pStyle w:val="SuperHeading"/>
      </w:pPr>
      <w:r w:rsidRPr="00A81162">
        <w:t>FSKRDG009 Read and respond to routine standard operating procedures</w:t>
      </w:r>
    </w:p>
    <w:p w:rsidR="00000000" w:rsidRPr="00A81162" w:rsidP="00A81162">
      <w:pPr>
        <w:pStyle w:val="Heading1"/>
      </w:pPr>
      <w:bookmarkStart w:id="1" w:name="O_1063633"/>
      <w:bookmarkEnd w:id="1"/>
      <w:r w:rsidRPr="00A8116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8116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rPr>
                <w:rStyle w:val="SpecialBold"/>
              </w:rPr>
              <w:t>Comments</w:t>
            </w:r>
          </w:p>
        </w:tc>
      </w:tr>
      <w:tr w:rsidTr="00A8116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t>This version first released with FSK Foundation Skills Training Package Version 2.0.</w:t>
            </w:r>
          </w:p>
        </w:tc>
      </w:tr>
    </w:tbl>
    <w:p w:rsidR="00000000" w:rsidRPr="00A81162" w:rsidP="00A81162">
      <w:pPr>
        <w:pStyle w:val="BodyText"/>
      </w:pPr>
    </w:p>
    <w:p w:rsidR="00000000" w:rsidRPr="00A81162" w:rsidP="00A81162">
      <w:pPr>
        <w:pStyle w:val="AllowPageBreak"/>
      </w:pPr>
    </w:p>
    <w:p w:rsidR="00000000" w:rsidRPr="00A81162" w:rsidP="00A81162">
      <w:pPr>
        <w:pStyle w:val="Heading1"/>
      </w:pPr>
      <w:bookmarkStart w:id="2" w:name="O_1063637"/>
      <w:bookmarkEnd w:id="2"/>
      <w:r w:rsidRPr="00A81162">
        <w:t>Application</w:t>
      </w:r>
    </w:p>
    <w:p w:rsidR="00000000" w:rsidRPr="00A81162" w:rsidP="00DC7AA1">
      <w:pPr>
        <w:pStyle w:val="BodyText"/>
      </w:pPr>
      <w:r w:rsidRPr="00A81162">
        <w:t>This unit describes the skills and knowledge required to interpret and respond to routine standard operating procedures in printed or digital formats, such as pre-operational safety checklists, lists of protective and emergency equipment, or steps to under</w:t>
      </w:r>
      <w:r w:rsidRPr="00A81162">
        <w:t>take when using equipment.</w:t>
      </w:r>
    </w:p>
    <w:p w:rsidR="00000000" w:rsidRPr="00A81162" w:rsidP="00DC7AA1">
      <w:pPr>
        <w:pStyle w:val="BodyText"/>
      </w:pPr>
      <w:r w:rsidRPr="00A81162">
        <w:t>An individual performing these tasks works independently and uses familiar support resources as needed.</w:t>
      </w:r>
    </w:p>
    <w:p w:rsidR="00000000" w:rsidRPr="00A81162" w:rsidP="00DC7AA1">
      <w:pPr>
        <w:pStyle w:val="BodyText"/>
      </w:pPr>
      <w:r w:rsidRPr="00A81162">
        <w:t>This unit applies to individuals who use, or are preparing to use, reading skills to complete workplace activities. This incl</w:t>
      </w:r>
      <w:r w:rsidRPr="00A81162">
        <w:t>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A81162" w:rsidP="00DC7AA1">
      <w:pPr>
        <w:pStyle w:val="BodyText"/>
      </w:pPr>
      <w:r w:rsidRPr="00A81162">
        <w:t>This unit is aligned to, b</w:t>
      </w:r>
      <w:r w:rsidRPr="00A81162">
        <w:t>ut does not fully address, the Australian Core Skills Framework (ACSF) reading core skill indicators .03 and .04 at level 3 in the workplace and employment domain of communication.</w:t>
      </w:r>
    </w:p>
    <w:p w:rsidR="00DC7AA1" w:rsidP="00DC7AA1">
      <w:pPr>
        <w:pStyle w:val="BodyText"/>
      </w:pPr>
      <w:r w:rsidRPr="00A81162">
        <w:t xml:space="preserve">No licensing, legislative or certification requirements apply to this unit </w:t>
      </w:r>
      <w:r w:rsidRPr="00A81162">
        <w:t>at the time of publication.</w:t>
      </w:r>
    </w:p>
    <w:p w:rsidR="00000000" w:rsidRPr="00A81162" w:rsidP="00A81162">
      <w:pPr>
        <w:pStyle w:val="Heading1"/>
      </w:pPr>
      <w:bookmarkStart w:id="3" w:name="O_1063636"/>
      <w:bookmarkEnd w:id="3"/>
      <w:r w:rsidRPr="00A81162">
        <w:t>Unit Sector</w:t>
      </w:r>
    </w:p>
    <w:p w:rsidR="00000000" w:rsidRPr="00A81162" w:rsidP="00DC7AA1">
      <w:pPr>
        <w:pStyle w:val="BodyText"/>
      </w:pPr>
      <w:r w:rsidRPr="00A81162">
        <w:t>Reading</w:t>
      </w:r>
    </w:p>
    <w:p w:rsidR="00000000" w:rsidRPr="00A81162" w:rsidP="00A81162">
      <w:pPr>
        <w:pStyle w:val="Heading1"/>
      </w:pPr>
      <w:bookmarkStart w:id="4" w:name="O_1063635"/>
      <w:bookmarkEnd w:id="4"/>
      <w:r w:rsidRPr="00A81162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A81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rPr>
                <w:rStyle w:val="SpecialBold"/>
              </w:rPr>
              <w:t>Performance Criteria</w:t>
            </w:r>
          </w:p>
        </w:tc>
      </w:tr>
      <w:tr w:rsidTr="00A81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 xml:space="preserve">1. Prepare to read routine </w:t>
            </w:r>
            <w:r w:rsidRPr="00A81162">
              <w:t>standard operating procedure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t xml:space="preserve">1.1 Identify reason for reading procedure and explicit questions to be </w:t>
            </w:r>
            <w:r w:rsidRPr="00A81162">
              <w:t xml:space="preserve">answered </w:t>
            </w:r>
          </w:p>
          <w:p w:rsidR="00000000" w:rsidRPr="00A81162" w:rsidP="00A81162">
            <w:pPr>
              <w:pStyle w:val="BodyText"/>
            </w:pPr>
            <w:r w:rsidRPr="00A81162">
              <w:t>1.2 Identify purpose o</w:t>
            </w:r>
            <w:r w:rsidRPr="00A81162">
              <w:t>f routine standard operating procedure and intended audience</w:t>
            </w:r>
          </w:p>
          <w:p w:rsidR="00000000" w:rsidRPr="00A81162" w:rsidP="00A81162">
            <w:pPr>
              <w:pStyle w:val="BodyText"/>
            </w:pPr>
            <w:r w:rsidRPr="00A81162">
              <w:t>1.3 Identify text features, including structure and presence of any visuals in the text</w:t>
            </w:r>
          </w:p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>1.4 Identify distinguishing language features</w:t>
            </w:r>
          </w:p>
        </w:tc>
      </w:tr>
      <w:tr w:rsidTr="00A81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>2. Interpret operating procedure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t>2.1 Use structure and features of operating procedure to navigate text and locate relevant information</w:t>
            </w:r>
          </w:p>
          <w:p w:rsidR="00000000" w:rsidRPr="00A81162" w:rsidP="00A81162">
            <w:pPr>
              <w:pStyle w:val="BodyText"/>
            </w:pPr>
            <w:r w:rsidRPr="00A81162">
              <w:t>2.2 Identify and interpret workplace terminology in text</w:t>
            </w:r>
          </w:p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>2.3 Use reading strategies to interpret relevant information and construct meaning</w:t>
            </w:r>
          </w:p>
        </w:tc>
      </w:tr>
      <w:tr w:rsidTr="00A8116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>3. Check und</w:t>
            </w:r>
            <w:r w:rsidRPr="00A81162">
              <w:t>erstanding and identify response to procedure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t>3.1 Check that information in standard operating procedure has been correctly understood</w:t>
            </w:r>
          </w:p>
          <w:p w:rsidR="00000000" w:rsidRPr="00A81162" w:rsidP="00A81162">
            <w:pPr>
              <w:pStyle w:val="BodyText"/>
            </w:pPr>
            <w:r w:rsidRPr="00A81162">
              <w:t>3.2 Use information to identify appropriate response</w:t>
            </w:r>
          </w:p>
        </w:tc>
      </w:tr>
    </w:tbl>
    <w:p w:rsidR="00DC7AA1" w:rsidP="00A81162">
      <w:pPr>
        <w:pStyle w:val="BodyText"/>
      </w:pPr>
    </w:p>
    <w:p w:rsidR="00DC7AA1" w:rsidP="00A81162">
      <w:pPr>
        <w:pStyle w:val="BodyText"/>
      </w:pPr>
    </w:p>
    <w:p w:rsidR="00000000" w:rsidRPr="00A81162" w:rsidP="00A81162">
      <w:pPr>
        <w:pStyle w:val="Heading1"/>
      </w:pPr>
      <w:bookmarkStart w:id="5" w:name="O_1063634"/>
      <w:bookmarkEnd w:id="5"/>
      <w:r w:rsidRPr="00A81162">
        <w:t>Foundation Skills</w:t>
      </w:r>
    </w:p>
    <w:p w:rsidR="00000000" w:rsidRPr="00DC7AA1" w:rsidP="00DC7AA1">
      <w:pPr>
        <w:pStyle w:val="BodyText"/>
        <w:rPr>
          <w:i/>
        </w:rPr>
      </w:pPr>
      <w:r w:rsidRPr="00DC7AA1">
        <w:rPr>
          <w:rStyle w:val="Emphasis"/>
        </w:rPr>
        <w:t>This section describes langu</w:t>
      </w:r>
      <w:r w:rsidRPr="00DC7AA1">
        <w:rPr>
          <w:rStyle w:val="Emphasis"/>
        </w:rPr>
        <w:t>age, literacy, numeracy and employment skills that are essential to performance but not explicit in the performance criteria.</w:t>
      </w:r>
    </w:p>
    <w:p w:rsidR="00DC7AA1" w:rsidP="00DC7AA1">
      <w:pPr>
        <w:pStyle w:val="BodyText"/>
      </w:pPr>
      <w:r w:rsidRPr="00A81162">
        <w:t>Foundation skills essential to performance are explicit in the performance criteria of this unit of competency.</w:t>
      </w:r>
    </w:p>
    <w:p w:rsidR="00000000" w:rsidRPr="00A81162" w:rsidP="00A81162">
      <w:pPr>
        <w:pStyle w:val="Heading1"/>
      </w:pPr>
      <w:bookmarkStart w:id="6" w:name="O_1065536"/>
      <w:bookmarkEnd w:id="6"/>
      <w:r w:rsidRPr="00A81162">
        <w:t>Unit Mapping Information</w:t>
      </w:r>
    </w:p>
    <w:p w:rsidR="00000000" w:rsidRPr="00A81162" w:rsidP="00DC7AA1">
      <w:pPr>
        <w:pStyle w:val="BodyText"/>
      </w:pPr>
      <w:r w:rsidRPr="00A81162">
        <w:t>Supersedes and is equivalent to FSKRDG09 Read and respond to routine standard operating procedures.</w:t>
      </w:r>
    </w:p>
    <w:p w:rsidR="00000000" w:rsidRPr="00A81162" w:rsidP="00A81162">
      <w:pPr>
        <w:pStyle w:val="Heading1"/>
      </w:pPr>
      <w:bookmarkStart w:id="7" w:name="O_1063627"/>
      <w:bookmarkEnd w:id="7"/>
      <w:r w:rsidRPr="00A81162">
        <w:t>Links</w:t>
      </w:r>
    </w:p>
    <w:p w:rsidR="00000000" w:rsidRPr="00A81162" w:rsidP="00DC7AA1">
      <w:pPr>
        <w:pStyle w:val="BodyText"/>
      </w:pPr>
      <w:r w:rsidRPr="00A811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514E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81162" w:rsidP="00DC7AA1">
      <w:pPr>
        <w:pStyle w:val="BodyText"/>
        <w:sectPr w:rsidSect="00A811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162" w:rsidP="00A81162">
      <w:pPr>
        <w:pStyle w:val="SuperHeading"/>
      </w:pPr>
      <w:r w:rsidRPr="00A81162">
        <w:t>Assessment Requirements for FSKRDG009 Read and respond to routine</w:t>
      </w:r>
      <w:r w:rsidRPr="00A81162">
        <w:t xml:space="preserve"> standard operating procedures</w:t>
      </w:r>
    </w:p>
    <w:p w:rsidR="00000000" w:rsidRPr="00A81162" w:rsidP="00A81162">
      <w:pPr>
        <w:pStyle w:val="Heading1"/>
      </w:pPr>
      <w:bookmarkStart w:id="8" w:name="O_1063629"/>
      <w:bookmarkEnd w:id="8"/>
      <w:r w:rsidRPr="00A8116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8116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rPr>
                <w:rStyle w:val="SpecialBold"/>
              </w:rPr>
              <w:t>Comments</w:t>
            </w:r>
          </w:p>
        </w:tc>
      </w:tr>
      <w:tr w:rsidTr="00A8116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62">
            <w:pPr>
              <w:pStyle w:val="BodyText"/>
              <w:rPr>
                <w:lang w:val="en-NZ"/>
              </w:rPr>
            </w:pPr>
            <w:r w:rsidRPr="00A8116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62" w:rsidP="00A81162">
            <w:pPr>
              <w:pStyle w:val="BodyText"/>
            </w:pPr>
            <w:r w:rsidRPr="00A81162">
              <w:t>This version first released with FSK Foundation Skills Training Package Version 2.0.</w:t>
            </w:r>
          </w:p>
        </w:tc>
      </w:tr>
    </w:tbl>
    <w:p w:rsidR="00000000" w:rsidRPr="00A81162" w:rsidP="00A81162">
      <w:pPr>
        <w:pStyle w:val="BodyText"/>
      </w:pPr>
    </w:p>
    <w:p w:rsidR="00000000" w:rsidRPr="00A81162" w:rsidP="00A81162">
      <w:pPr>
        <w:pStyle w:val="AllowPageBreak"/>
      </w:pPr>
    </w:p>
    <w:p w:rsidR="00000000" w:rsidRPr="00A81162" w:rsidP="00A81162">
      <w:pPr>
        <w:pStyle w:val="Heading1"/>
      </w:pPr>
      <w:bookmarkStart w:id="9" w:name="O_1063632"/>
      <w:bookmarkEnd w:id="9"/>
      <w:r w:rsidRPr="00A81162">
        <w:t>Performance Evidence</w:t>
      </w:r>
    </w:p>
    <w:p w:rsidR="00000000" w:rsidRPr="00A81162" w:rsidP="00DC7AA1">
      <w:pPr>
        <w:pStyle w:val="BodyText"/>
      </w:pPr>
      <w:r w:rsidRPr="00A81162">
        <w:t xml:space="preserve">The candidate must demonstrate </w:t>
      </w:r>
      <w:r w:rsidRPr="00A81162">
        <w:t>the ability to complete the tasks outlined in the elements, performance criteria and foundation skills of this unit, including evidence of the ability to:</w:t>
      </w:r>
    </w:p>
    <w:p w:rsidR="00DC7AA1" w:rsidP="00A81162">
      <w:pPr>
        <w:pStyle w:val="ListBullet"/>
      </w:pPr>
      <w:r w:rsidRPr="00A81162">
        <w:t>interpret and identify appropriate response to at least two different routine standard operating pro</w:t>
      </w:r>
      <w:r w:rsidRPr="00A81162">
        <w:t>cedures.</w:t>
      </w:r>
    </w:p>
    <w:p w:rsidR="00DC7AA1" w:rsidP="00A81162">
      <w:pPr>
        <w:pStyle w:val="ListBullet"/>
      </w:pPr>
    </w:p>
    <w:p w:rsidR="00000000" w:rsidRPr="00A81162" w:rsidP="00A81162">
      <w:pPr>
        <w:pStyle w:val="Heading1"/>
      </w:pPr>
      <w:bookmarkStart w:id="10" w:name="O_1063631"/>
      <w:bookmarkEnd w:id="10"/>
      <w:r w:rsidRPr="00A81162">
        <w:t>Knowledge Evidence</w:t>
      </w:r>
    </w:p>
    <w:p w:rsidR="00000000" w:rsidRPr="00A81162" w:rsidP="00DC7AA1">
      <w:pPr>
        <w:pStyle w:val="BodyText"/>
      </w:pPr>
      <w:r w:rsidRPr="00A81162">
        <w:t>The candidate must be able to demonstrate knowledge to complete the tasks outlined in the elements, performance criteria and foundation skills of this unit, including knowledge of:</w:t>
      </w:r>
    </w:p>
    <w:p w:rsidR="00000000" w:rsidRPr="00A81162" w:rsidP="00A81162">
      <w:pPr>
        <w:pStyle w:val="ListBullet"/>
      </w:pPr>
      <w:r w:rsidRPr="00A81162">
        <w:t>reasons for reading routine standard operating procedures and explicit questions to be answered through reading</w:t>
      </w:r>
    </w:p>
    <w:p w:rsidR="00000000" w:rsidRPr="00A81162" w:rsidP="00A81162">
      <w:pPr>
        <w:pStyle w:val="ListBullet"/>
      </w:pPr>
      <w:r w:rsidRPr="00A81162">
        <w:t xml:space="preserve">typical audiences of standard workplace operating procedures </w:t>
      </w:r>
    </w:p>
    <w:p w:rsidR="00000000" w:rsidRPr="00A81162" w:rsidP="00A81162">
      <w:pPr>
        <w:pStyle w:val="ListBullet"/>
      </w:pPr>
      <w:r w:rsidRPr="00A81162">
        <w:t xml:space="preserve">distinguishing text features of routine standard operating procedures </w:t>
      </w:r>
    </w:p>
    <w:p w:rsidR="00000000" w:rsidRPr="00A81162" w:rsidP="00A81162">
      <w:pPr>
        <w:pStyle w:val="ListBullet"/>
      </w:pPr>
      <w:r w:rsidRPr="00A81162">
        <w:t>language fe</w:t>
      </w:r>
      <w:r w:rsidRPr="00A81162">
        <w:t>atures employed as signalling devices in operating procedures</w:t>
      </w:r>
    </w:p>
    <w:p w:rsidR="00000000" w:rsidRPr="00A81162" w:rsidP="00A81162">
      <w:pPr>
        <w:pStyle w:val="ListBullet"/>
      </w:pPr>
      <w:r w:rsidRPr="00A81162">
        <w:t xml:space="preserve">techniques to navigate routine standard operating procedures to locate information </w:t>
      </w:r>
    </w:p>
    <w:p w:rsidR="00000000" w:rsidRPr="00A81162" w:rsidP="00A81162">
      <w:pPr>
        <w:pStyle w:val="ListBullet"/>
      </w:pPr>
      <w:r w:rsidRPr="00A81162">
        <w:t>techniques to self-monitor reading for sense and accuracy</w:t>
      </w:r>
    </w:p>
    <w:p w:rsidR="00000000" w:rsidRPr="00A81162" w:rsidP="00A81162">
      <w:pPr>
        <w:pStyle w:val="ListBullet"/>
      </w:pPr>
      <w:r w:rsidRPr="00A81162">
        <w:t xml:space="preserve">techniques to integrate information from visual and </w:t>
      </w:r>
      <w:r w:rsidRPr="00A81162">
        <w:t xml:space="preserve">written texts </w:t>
      </w:r>
    </w:p>
    <w:p w:rsidR="00000000" w:rsidRPr="00A81162" w:rsidP="00A81162">
      <w:pPr>
        <w:pStyle w:val="ListBullet"/>
      </w:pPr>
      <w:r w:rsidRPr="00A81162">
        <w:t xml:space="preserve">reading strategies to support the interpretation of routine standard operating procedures </w:t>
      </w:r>
    </w:p>
    <w:p w:rsidR="00DC7AA1" w:rsidP="00A81162">
      <w:pPr>
        <w:pStyle w:val="ListBullet"/>
      </w:pPr>
      <w:r w:rsidRPr="00A81162">
        <w:t>suitable responses to routine standard operating procedures.</w:t>
      </w:r>
    </w:p>
    <w:p w:rsidR="00DC7AA1" w:rsidP="00A81162">
      <w:pPr>
        <w:pStyle w:val="ListBullet"/>
      </w:pPr>
    </w:p>
    <w:p w:rsidR="00000000" w:rsidRPr="00A81162" w:rsidP="00A81162">
      <w:pPr>
        <w:pStyle w:val="Heading1"/>
      </w:pPr>
      <w:bookmarkStart w:id="11" w:name="O_1063630"/>
      <w:bookmarkEnd w:id="11"/>
      <w:r w:rsidRPr="00A81162">
        <w:t>Assessment Conditions</w:t>
      </w:r>
    </w:p>
    <w:p w:rsidR="00000000" w:rsidRPr="00A81162" w:rsidP="00DC7AA1">
      <w:pPr>
        <w:pStyle w:val="BodyText"/>
      </w:pPr>
      <w:r w:rsidRPr="00A81162">
        <w:t xml:space="preserve">Competency is to be assessed in the workplace, </w:t>
      </w:r>
      <w:r w:rsidRPr="00A81162">
        <w:t>a workplace simulated environment or a vocational training context.</w:t>
      </w:r>
    </w:p>
    <w:p w:rsidR="00000000" w:rsidRPr="00A81162" w:rsidP="00DC7AA1">
      <w:pPr>
        <w:pStyle w:val="BodyText"/>
      </w:pPr>
      <w:r w:rsidRPr="00A81162">
        <w:t xml:space="preserve">Skills must be demonstrated using routine standard operating procedures that reflect those typically found in a workplace. </w:t>
      </w:r>
    </w:p>
    <w:p w:rsidR="00000000" w:rsidRPr="00A81162" w:rsidP="00DC7AA1">
      <w:pPr>
        <w:pStyle w:val="BodyText"/>
      </w:pPr>
      <w:r w:rsidRPr="00A81162">
        <w:t>The following resources are to be made available:</w:t>
      </w:r>
    </w:p>
    <w:p w:rsidR="00000000" w:rsidRPr="00A81162" w:rsidP="00A81162">
      <w:pPr>
        <w:pStyle w:val="ListBullet"/>
      </w:pPr>
      <w:r w:rsidRPr="00A81162">
        <w:t xml:space="preserve">own familiar </w:t>
      </w:r>
      <w:r w:rsidRPr="00A81162">
        <w:t xml:space="preserve">support resources </w:t>
      </w:r>
    </w:p>
    <w:p w:rsidR="00000000" w:rsidRPr="00A81162" w:rsidP="00A81162">
      <w:pPr>
        <w:pStyle w:val="ListBullet"/>
      </w:pPr>
      <w:r w:rsidRPr="00A81162">
        <w:t>dictionary or other references to determine the meaning of unknown words</w:t>
      </w:r>
    </w:p>
    <w:p w:rsidR="00000000" w:rsidRPr="00A81162" w:rsidP="00A81162">
      <w:pPr>
        <w:pStyle w:val="ListBullet"/>
      </w:pPr>
      <w:r w:rsidRPr="00A81162">
        <w:t>routine standard operating procedures.</w:t>
      </w:r>
    </w:p>
    <w:p w:rsidR="00000000" w:rsidRPr="00A81162" w:rsidP="00DC7AA1">
      <w:pPr>
        <w:pStyle w:val="BodyText"/>
      </w:pPr>
      <w:r w:rsidRPr="00A81162">
        <w:t>Assessors must:</w:t>
      </w:r>
    </w:p>
    <w:p w:rsidR="00000000" w:rsidRPr="00A81162" w:rsidP="00A81162">
      <w:pPr>
        <w:pStyle w:val="ListBullet"/>
      </w:pPr>
      <w:r w:rsidRPr="00A81162">
        <w:t>satisfy the requirements for assessors in applicable vocational education and training le</w:t>
      </w:r>
      <w:r w:rsidRPr="00A81162">
        <w:t>gislation, frameworks and/or standards, and</w:t>
      </w:r>
    </w:p>
    <w:p w:rsidR="00000000" w:rsidRPr="00A81162" w:rsidP="00A81162">
      <w:pPr>
        <w:pStyle w:val="ListBullet"/>
      </w:pPr>
      <w:r w:rsidRPr="00A81162">
        <w:t>have sound knowledge of the ACSF and performance features of the ACSF level being assessed, and</w:t>
      </w:r>
    </w:p>
    <w:p w:rsidR="00000000" w:rsidRPr="00A81162" w:rsidP="00A81162">
      <w:pPr>
        <w:pStyle w:val="ListBullet"/>
      </w:pPr>
      <w:r w:rsidRPr="00A81162">
        <w:t>have demonstrable expertise, knowledge and skills in the vocational contextualisation and assessment of the core ski</w:t>
      </w:r>
      <w:r w:rsidRPr="00A81162">
        <w:t>ll, reading, and</w:t>
      </w:r>
    </w:p>
    <w:p w:rsidR="00000000" w:rsidRPr="00A81162" w:rsidP="00A81162">
      <w:pPr>
        <w:pStyle w:val="ListBullet"/>
      </w:pPr>
      <w:r w:rsidRPr="00A81162">
        <w:t>have completed the following or equivalent: </w:t>
      </w:r>
    </w:p>
    <w:p w:rsidR="00000000" w:rsidRPr="00A81162" w:rsidP="00A81162">
      <w:pPr>
        <w:pStyle w:val="ListBullet2"/>
      </w:pPr>
      <w:r w:rsidRPr="00A81162">
        <w:t>TAESS00009 Address Foundation Skills in Vocational Practice Skill Set; or </w:t>
      </w:r>
    </w:p>
    <w:p w:rsidR="00000000" w:rsidRPr="00A81162" w:rsidP="00A81162">
      <w:pPr>
        <w:pStyle w:val="ListBullet2"/>
      </w:pPr>
      <w:r w:rsidRPr="00A81162">
        <w:t>a higher level education qualification, such as:</w:t>
      </w:r>
    </w:p>
    <w:p w:rsidR="00000000" w:rsidRPr="00A81162" w:rsidP="00A81162">
      <w:pPr>
        <w:pStyle w:val="ListBullet3"/>
      </w:pPr>
      <w:r w:rsidRPr="00A81162">
        <w:t>TAE80113 Graduate Diploma of Adult Language, Literacy and Numeracy P</w:t>
      </w:r>
      <w:r w:rsidRPr="00A81162">
        <w:t>ractice (and its equivalent TAE70111); or</w:t>
      </w:r>
    </w:p>
    <w:p w:rsidR="00DC7AA1" w:rsidP="00A81162">
      <w:pPr>
        <w:pStyle w:val="ListBullet3"/>
      </w:pPr>
      <w:r w:rsidRPr="00A81162">
        <w:t>Bachelor of Education, Graduate Certificate or Graduate Diploma of Education, or higher. This may include qualifications relating to TESOL, adult education or vocational education. </w:t>
      </w:r>
    </w:p>
    <w:p w:rsidR="00DC7AA1" w:rsidP="00A81162">
      <w:pPr>
        <w:pStyle w:val="ListBullet3"/>
      </w:pPr>
    </w:p>
    <w:p w:rsidR="00000000" w:rsidRPr="00A81162" w:rsidP="00A81162">
      <w:pPr>
        <w:pStyle w:val="Heading1"/>
      </w:pPr>
      <w:bookmarkStart w:id="12" w:name="O_1063628"/>
      <w:bookmarkEnd w:id="12"/>
      <w:r w:rsidRPr="00A81162">
        <w:t>Links</w:t>
      </w:r>
    </w:p>
    <w:p w:rsidR="00000000" w:rsidRPr="00A81162" w:rsidP="00DC7AA1">
      <w:pPr>
        <w:pStyle w:val="BodyText"/>
      </w:pPr>
      <w:r w:rsidRPr="00A811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514E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81162" w:rsidP="00A81162"/>
    <w:sectPr w:rsidSect="00A811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 w:rsidRPr="00DC7AA1" w:rsidP="00DC7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1" w:rsidP="00A81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AA1" w:rsidP="00A81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C7AA1" w:rsidP="00A811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 w:rsidP="00A81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7AA1">
      <w:t>Approved</w:t>
    </w:r>
    <w:r w:rsidR="00DC7A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7A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7AA1">
      <w:rPr>
        <w:noProof/>
      </w:rPr>
      <w:t>4</w:t>
    </w:r>
    <w:r>
      <w:rPr>
        <w:noProof/>
      </w:rPr>
      <w:fldChar w:fldCharType="end"/>
    </w:r>
  </w:p>
  <w:p w:rsidR="00A81162" w:rsidP="00A81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7A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7AA1">
      <w:t>DEWR</w:t>
    </w:r>
    <w:r w:rsidR="00DC7AA1">
      <w:fldChar w:fldCharType="end"/>
    </w:r>
  </w:p>
  <w:p w:rsidR="00A81162" w:rsidP="00A81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162" w:rsidRPr="00DC7AA1" w:rsidP="00DC7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A1" w:rsidRPr="002D2AF8" w:rsidP="00A81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FSKRDG009 Read and respond to routine standard operating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7AA1" w:rsidP="00A811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62" w:rsidRPr="002D2AF8" w:rsidP="00A81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7AA1">
      <w:t>FSKRDG009 Read and respond to routine standard operating procedures</w:t>
    </w:r>
    <w:r w:rsidR="00DC7A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7AA1">
      <w:rPr>
        <w:noProof/>
      </w:rPr>
      <w:t>1 March 2025</w:t>
    </w:r>
    <w:r>
      <w:fldChar w:fldCharType="end"/>
    </w:r>
  </w:p>
  <w:p w:rsidR="00A81162" w:rsidP="00A81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88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A1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44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162"/>
  </w:style>
  <w:style w:type="character" w:customStyle="1" w:styleId="Heading1Char">
    <w:name w:val="Heading 1 Char"/>
    <w:basedOn w:val="DefaultParagraphFont"/>
    <w:link w:val="Heading1"/>
    <w:rsid w:val="00A81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1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162"/>
    <w:rPr>
      <w:b/>
      <w:spacing w:val="0"/>
    </w:rPr>
  </w:style>
  <w:style w:type="paragraph" w:styleId="ListBullet2">
    <w:name w:val="List Bullet 2"/>
    <w:basedOn w:val="List2"/>
    <w:rsid w:val="00A8116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1162"/>
    <w:rPr>
      <w:i/>
    </w:rPr>
  </w:style>
  <w:style w:type="paragraph" w:customStyle="1" w:styleId="SuperHeading">
    <w:name w:val="SuperHeading"/>
    <w:basedOn w:val="Normal"/>
    <w:rsid w:val="00A81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11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1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1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162"/>
  </w:style>
  <w:style w:type="paragraph" w:styleId="TableofFigures">
    <w:name w:val="table of figures"/>
    <w:basedOn w:val="Normal"/>
    <w:next w:val="Normal"/>
    <w:semiHidden/>
    <w:rsid w:val="00A81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1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1162"/>
    <w:rPr>
      <w:rFonts w:ascii="Wingdings" w:hAnsi="Wingdings"/>
    </w:rPr>
  </w:style>
  <w:style w:type="paragraph" w:customStyle="1" w:styleId="TableHeading">
    <w:name w:val="Table Heading"/>
    <w:basedOn w:val="HeadingBase"/>
    <w:rsid w:val="00A81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162"/>
    <w:rPr>
      <w:color w:val="0033CC"/>
      <w:u w:val="none"/>
    </w:rPr>
  </w:style>
  <w:style w:type="paragraph" w:customStyle="1" w:styleId="BodyTextRight">
    <w:name w:val="Body Text Right"/>
    <w:basedOn w:val="BodyText"/>
    <w:rsid w:val="00A81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1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162"/>
    <w:rPr>
      <w:sz w:val="32"/>
    </w:rPr>
  </w:style>
  <w:style w:type="paragraph" w:customStyle="1" w:styleId="HeadingProcedure">
    <w:name w:val="Heading Procedure"/>
    <w:basedOn w:val="HeadingBase"/>
    <w:next w:val="Normal"/>
    <w:rsid w:val="00A81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162"/>
    <w:pPr>
      <w:spacing w:before="60" w:after="60"/>
    </w:pPr>
  </w:style>
  <w:style w:type="paragraph" w:styleId="ListContinue">
    <w:name w:val="List Continue"/>
    <w:basedOn w:val="List"/>
    <w:rsid w:val="00A81162"/>
    <w:pPr>
      <w:ind w:firstLine="0"/>
    </w:pPr>
  </w:style>
  <w:style w:type="paragraph" w:customStyle="1" w:styleId="ListNote">
    <w:name w:val="List Note"/>
    <w:basedOn w:val="List"/>
    <w:rsid w:val="00A81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162"/>
    <w:rPr>
      <w:rFonts w:ascii="Courier New" w:hAnsi="Courier New"/>
    </w:rPr>
  </w:style>
  <w:style w:type="paragraph" w:customStyle="1" w:styleId="NoteBullet">
    <w:name w:val="Note Bullet"/>
    <w:basedOn w:val="Note"/>
    <w:rsid w:val="00A81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1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1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162"/>
    <w:rPr>
      <w:b/>
      <w:smallCaps/>
    </w:rPr>
  </w:style>
  <w:style w:type="paragraph" w:customStyle="1" w:styleId="TableListNumber">
    <w:name w:val="Table List Number"/>
    <w:basedOn w:val="ListNumber"/>
    <w:rsid w:val="00A81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162"/>
    <w:pPr>
      <w:numPr>
        <w:numId w:val="10"/>
      </w:numPr>
    </w:pPr>
  </w:style>
  <w:style w:type="paragraph" w:customStyle="1" w:styleId="ListAlpha2">
    <w:name w:val="List Alpha 2"/>
    <w:basedOn w:val="List2"/>
    <w:rsid w:val="00A81162"/>
    <w:pPr>
      <w:numPr>
        <w:numId w:val="9"/>
      </w:numPr>
    </w:pPr>
  </w:style>
  <w:style w:type="paragraph" w:styleId="List2">
    <w:name w:val="List 2"/>
    <w:basedOn w:val="BodyText"/>
    <w:rsid w:val="00A81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1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11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1162"/>
    <w:pPr>
      <w:numPr>
        <w:numId w:val="5"/>
      </w:numPr>
    </w:pPr>
  </w:style>
  <w:style w:type="paragraph" w:styleId="ListContinue2">
    <w:name w:val="List Continue 2"/>
    <w:basedOn w:val="List2"/>
    <w:rsid w:val="00A81162"/>
    <w:pPr>
      <w:ind w:firstLine="0"/>
    </w:pPr>
  </w:style>
  <w:style w:type="paragraph" w:styleId="ListContinue3">
    <w:name w:val="List Continue 3"/>
    <w:basedOn w:val="List3"/>
    <w:rsid w:val="00A81162"/>
    <w:pPr>
      <w:ind w:left="1021" w:firstLine="0"/>
    </w:pPr>
  </w:style>
  <w:style w:type="paragraph" w:styleId="ListContinue4">
    <w:name w:val="List Continue 4"/>
    <w:basedOn w:val="List4"/>
    <w:rsid w:val="00A81162"/>
    <w:pPr>
      <w:ind w:firstLine="0"/>
    </w:pPr>
  </w:style>
  <w:style w:type="paragraph" w:styleId="ListContinue5">
    <w:name w:val="List Continue 5"/>
    <w:basedOn w:val="List5"/>
    <w:rsid w:val="00A81162"/>
    <w:pPr>
      <w:ind w:firstLine="0"/>
    </w:pPr>
  </w:style>
  <w:style w:type="paragraph" w:styleId="ListNumber3">
    <w:name w:val="List Number 3"/>
    <w:basedOn w:val="List3"/>
    <w:rsid w:val="00A81162"/>
    <w:pPr>
      <w:numPr>
        <w:numId w:val="6"/>
      </w:numPr>
    </w:pPr>
  </w:style>
  <w:style w:type="paragraph" w:styleId="ListNumber4">
    <w:name w:val="List Number 4"/>
    <w:basedOn w:val="List4"/>
    <w:rsid w:val="00A81162"/>
    <w:pPr>
      <w:numPr>
        <w:numId w:val="7"/>
      </w:numPr>
    </w:pPr>
  </w:style>
  <w:style w:type="paragraph" w:styleId="ListNumber5">
    <w:name w:val="List Number 5"/>
    <w:basedOn w:val="List5"/>
    <w:rsid w:val="00A81162"/>
    <w:pPr>
      <w:numPr>
        <w:numId w:val="8"/>
      </w:numPr>
    </w:pPr>
  </w:style>
  <w:style w:type="paragraph" w:styleId="BlockText">
    <w:name w:val="Block Text"/>
    <w:basedOn w:val="Normal"/>
    <w:rsid w:val="00A81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162"/>
    <w:rPr>
      <w:sz w:val="16"/>
      <w:vertAlign w:val="superscript"/>
    </w:rPr>
  </w:style>
  <w:style w:type="character" w:customStyle="1" w:styleId="Symbols">
    <w:name w:val="Symbols"/>
    <w:basedOn w:val="DefaultParagraphFont"/>
    <w:rsid w:val="00A81162"/>
    <w:rPr>
      <w:rFonts w:ascii="Symbol" w:hAnsi="Symbol"/>
    </w:rPr>
  </w:style>
  <w:style w:type="character" w:customStyle="1" w:styleId="MenuOptions">
    <w:name w:val="Menu Options"/>
    <w:basedOn w:val="DefaultParagraphFont"/>
    <w:rsid w:val="00A81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162"/>
    <w:rPr>
      <w:b/>
    </w:rPr>
  </w:style>
  <w:style w:type="character" w:customStyle="1" w:styleId="Underlined">
    <w:name w:val="Underlined"/>
    <w:basedOn w:val="DefaultParagraphFont"/>
    <w:rsid w:val="00A81162"/>
    <w:rPr>
      <w:u w:val="single"/>
    </w:rPr>
  </w:style>
  <w:style w:type="paragraph" w:customStyle="1" w:styleId="TableBodyTextRight">
    <w:name w:val="Table Body Text Right"/>
    <w:basedOn w:val="TableBodyText"/>
    <w:rsid w:val="00A81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162"/>
    <w:rPr>
      <w:sz w:val="18"/>
    </w:rPr>
  </w:style>
  <w:style w:type="paragraph" w:customStyle="1" w:styleId="BodySmallRight">
    <w:name w:val="Body Small Right"/>
    <w:basedOn w:val="BodyTextRight"/>
    <w:rsid w:val="00A81162"/>
    <w:rPr>
      <w:sz w:val="18"/>
      <w:szCs w:val="18"/>
    </w:rPr>
  </w:style>
  <w:style w:type="paragraph" w:customStyle="1" w:styleId="MarginEdition">
    <w:name w:val="Margin Edition"/>
    <w:basedOn w:val="MarginNote"/>
    <w:rsid w:val="00A81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162"/>
    <w:rPr>
      <w:sz w:val="2"/>
      <w:szCs w:val="2"/>
    </w:rPr>
  </w:style>
  <w:style w:type="character" w:customStyle="1" w:styleId="Small">
    <w:name w:val="Small"/>
    <w:basedOn w:val="DefaultParagraphFont"/>
    <w:rsid w:val="00A81162"/>
    <w:rPr>
      <w:sz w:val="16"/>
    </w:rPr>
  </w:style>
  <w:style w:type="paragraph" w:customStyle="1" w:styleId="WideTable">
    <w:name w:val="Wide Table"/>
    <w:basedOn w:val="Normal"/>
    <w:rsid w:val="00A81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162"/>
  </w:style>
  <w:style w:type="paragraph" w:styleId="Quote">
    <w:name w:val="Quote"/>
    <w:basedOn w:val="Heading1"/>
    <w:link w:val="QuoteChar"/>
    <w:qFormat/>
    <w:rsid w:val="00A81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162"/>
    <w:pPr>
      <w:pageBreakBefore/>
    </w:pPr>
  </w:style>
  <w:style w:type="paragraph" w:customStyle="1" w:styleId="Border">
    <w:name w:val="Border"/>
    <w:basedOn w:val="Normal"/>
    <w:qFormat/>
    <w:rsid w:val="00A81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162"/>
    <w:rPr>
      <w:u w:val="single"/>
    </w:rPr>
  </w:style>
  <w:style w:type="character" w:customStyle="1" w:styleId="BoldandItalics">
    <w:name w:val="Bold and Italics"/>
    <w:qFormat/>
    <w:rsid w:val="00A81162"/>
    <w:rPr>
      <w:b/>
      <w:i/>
      <w:u w:val="none"/>
    </w:rPr>
  </w:style>
  <w:style w:type="paragraph" w:styleId="BalloonText">
    <w:name w:val="Balloon Text"/>
    <w:basedOn w:val="Normal"/>
    <w:link w:val="BalloonTextChar"/>
    <w:rsid w:val="00A81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162"/>
    <w:pPr>
      <w:spacing w:before="0" w:after="0"/>
    </w:pPr>
  </w:style>
  <w:style w:type="paragraph" w:customStyle="1" w:styleId="BodyTextBold">
    <w:name w:val="Body Text Bold"/>
    <w:basedOn w:val="BodyText"/>
    <w:qFormat/>
    <w:rsid w:val="00A81162"/>
    <w:rPr>
      <w:b/>
    </w:rPr>
  </w:style>
  <w:style w:type="character" w:styleId="Hyperlink">
    <w:name w:val="Hyperlink"/>
    <w:basedOn w:val="DefaultParagraphFont"/>
    <w:uiPriority w:val="99"/>
    <w:unhideWhenUsed/>
    <w:rsid w:val="00DC7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5302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FSKRDG009 Read and respond to routine standard operating procedures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