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6631" w:rsidP="009D66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FSKNUM34 Use and apply concepts of probability for work</w:t>
      </w:r>
      <w:r>
        <w:fldChar w:fldCharType="end"/>
      </w:r>
    </w:p>
    <w:p w:rsidR="009D6631" w:rsidP="009D6631">
      <w:pPr>
        <w:pStyle w:val="Version"/>
        <w:sectPr w:rsidSect="00264B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4B70" w:rsidP="00264B70">
      <w:pPr>
        <w:pStyle w:val="SuperHeading"/>
      </w:pPr>
      <w:r w:rsidRPr="00264B70">
        <w:t>FSKNUM34 Use and apply concepts of probability for work</w:t>
      </w:r>
    </w:p>
    <w:p w:rsidR="00000000" w:rsidRPr="00264B70" w:rsidP="00264B70">
      <w:pPr>
        <w:pStyle w:val="Heading1"/>
      </w:pPr>
      <w:bookmarkStart w:id="1" w:name="O_528634"/>
      <w:bookmarkEnd w:id="1"/>
      <w:r w:rsidRPr="00264B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64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B70" w:rsidP="00264B70">
            <w:pPr>
              <w:pStyle w:val="BodyText"/>
            </w:pPr>
            <w:r w:rsidRPr="00264B7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B70">
            <w:pPr>
              <w:pStyle w:val="BodyText"/>
              <w:rPr>
                <w:lang w:val="en-NZ"/>
              </w:rPr>
            </w:pPr>
            <w:r w:rsidRPr="00264B70">
              <w:rPr>
                <w:rStyle w:val="SpecialBold"/>
              </w:rPr>
              <w:t>Comments</w:t>
            </w:r>
          </w:p>
        </w:tc>
      </w:tr>
      <w:tr w:rsidTr="00264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B70">
            <w:pPr>
              <w:pStyle w:val="BodyText"/>
              <w:rPr>
                <w:lang w:val="en-NZ"/>
              </w:rPr>
            </w:pPr>
            <w:r w:rsidRPr="00264B7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B70" w:rsidP="00264B70">
            <w:pPr>
              <w:pStyle w:val="BodyText"/>
            </w:pPr>
            <w:r w:rsidRPr="00264B70">
              <w:t xml:space="preserve">This streamlined version first released with </w:t>
            </w:r>
            <w:r w:rsidRPr="00264B70">
              <w:rPr>
                <w:rStyle w:val="Emphasis"/>
              </w:rPr>
              <w:t>FSK Foundation Skills Training Package version 1.0</w:t>
            </w:r>
            <w:r w:rsidRPr="00264B70">
              <w:t>.</w:t>
            </w:r>
          </w:p>
        </w:tc>
      </w:tr>
    </w:tbl>
    <w:p w:rsidR="00000000" w:rsidRPr="00264B70" w:rsidP="00264B70">
      <w:pPr>
        <w:pStyle w:val="BodyText"/>
      </w:pPr>
    </w:p>
    <w:p w:rsidR="00000000" w:rsidRPr="00264B70" w:rsidP="00264B70">
      <w:pPr>
        <w:pStyle w:val="AllowPageBreak"/>
      </w:pPr>
    </w:p>
    <w:p w:rsidR="00000000" w:rsidRPr="00264B70" w:rsidP="00264B70">
      <w:pPr>
        <w:pStyle w:val="Heading1"/>
      </w:pPr>
      <w:bookmarkStart w:id="2" w:name="O_528635"/>
      <w:bookmarkEnd w:id="2"/>
      <w:r w:rsidRPr="00264B70">
        <w:t>Application</w:t>
      </w:r>
    </w:p>
    <w:p w:rsidR="00000000" w:rsidRPr="00264B70" w:rsidP="00264B70">
      <w:pPr>
        <w:pStyle w:val="BodyText"/>
      </w:pPr>
      <w:r w:rsidRPr="00264B70">
        <w:t>This unit describes the skills and knowledge to calculate and i</w:t>
      </w:r>
      <w:r w:rsidRPr="00264B70">
        <w:t>nterpret probability events and the outcomes associated with numerical and qualitative data.</w:t>
      </w:r>
    </w:p>
    <w:p w:rsidR="00000000" w:rsidRPr="00264B70" w:rsidP="00264B70">
      <w:pPr>
        <w:pStyle w:val="BodyText"/>
      </w:pPr>
    </w:p>
    <w:p w:rsidR="00000000" w:rsidRPr="00264B70" w:rsidP="00264B70">
      <w:pPr>
        <w:pStyle w:val="BodyText"/>
      </w:pPr>
      <w:r w:rsidRPr="00264B70">
        <w:t>This unit applies to individuals who need numeracy skills at Australian Core Skills Framework (ACSF) level 5 to undertake a vocational training pathway or workpla</w:t>
      </w:r>
      <w:r w:rsidRPr="00264B70">
        <w:t>ce tasks.</w:t>
      </w:r>
    </w:p>
    <w:p w:rsidR="00000000" w:rsidRPr="00264B70" w:rsidP="00264B70">
      <w:pPr>
        <w:pStyle w:val="BodyText"/>
      </w:pPr>
    </w:p>
    <w:p w:rsidR="00000000" w:rsidRPr="00264B70" w:rsidP="00264B70">
      <w:pPr>
        <w:pStyle w:val="BodyText"/>
      </w:pPr>
      <w:r w:rsidRPr="00264B70">
        <w:t>This unit is designed for integration and contextualisation with vocational units to support achievement of vocational competency.</w:t>
      </w:r>
    </w:p>
    <w:p w:rsidR="00000000" w:rsidRPr="00264B70" w:rsidP="00264B70">
      <w:pPr>
        <w:pStyle w:val="BodyText"/>
      </w:pPr>
    </w:p>
    <w:p w:rsidR="00000000" w:rsidRPr="00264B70" w:rsidP="00264B70">
      <w:pPr>
        <w:pStyle w:val="BodyText"/>
      </w:pPr>
      <w:r w:rsidRPr="00264B70">
        <w:t>No licensing, legislative or certification requirements apply to this unit at the time of publication.</w:t>
      </w:r>
    </w:p>
    <w:p w:rsidR="00000000" w:rsidRPr="00264B70" w:rsidP="00264B70">
      <w:pPr>
        <w:pStyle w:val="AllowPageBreak"/>
      </w:pPr>
    </w:p>
    <w:p w:rsidR="00000000" w:rsidRPr="00264B70" w:rsidP="00264B70">
      <w:pPr>
        <w:pStyle w:val="Heading1"/>
      </w:pPr>
      <w:bookmarkStart w:id="3" w:name="O_528638"/>
      <w:bookmarkEnd w:id="3"/>
      <w:r w:rsidRPr="00264B70">
        <w:t>Unit Sector</w:t>
      </w:r>
    </w:p>
    <w:p w:rsidR="00000000" w:rsidRPr="00264B70" w:rsidP="00264B70">
      <w:pPr>
        <w:pStyle w:val="BodyText"/>
      </w:pPr>
      <w:r w:rsidRPr="00264B70">
        <w:t>Numeracy</w:t>
      </w:r>
    </w:p>
    <w:p w:rsidR="00000000" w:rsidRPr="00264B70" w:rsidP="00264B70">
      <w:pPr>
        <w:pStyle w:val="AllowPageBreak"/>
      </w:pPr>
    </w:p>
    <w:p w:rsidR="00000000" w:rsidRPr="00264B70" w:rsidP="00264B70">
      <w:pPr>
        <w:pStyle w:val="Heading1"/>
      </w:pPr>
      <w:bookmarkStart w:id="4" w:name="O_528639"/>
      <w:bookmarkEnd w:id="4"/>
      <w:r w:rsidRPr="00264B7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64B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B70" w:rsidP="00264B70">
            <w:pPr>
              <w:pStyle w:val="BodyText"/>
            </w:pPr>
            <w:r w:rsidRPr="00264B7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B70">
            <w:pPr>
              <w:pStyle w:val="BodyText"/>
              <w:rPr>
                <w:lang w:val="en-NZ"/>
              </w:rPr>
            </w:pPr>
            <w:r w:rsidRPr="00264B70">
              <w:rPr>
                <w:rStyle w:val="SpecialBold"/>
              </w:rPr>
              <w:t>Performance Criteria</w:t>
            </w:r>
          </w:p>
        </w:tc>
      </w:tr>
      <w:tr w:rsidTr="00264B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B70" w:rsidP="00264B70">
            <w:pPr>
              <w:pStyle w:val="BodyText"/>
            </w:pPr>
            <w:r w:rsidRPr="00264B7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B70">
            <w:pPr>
              <w:pStyle w:val="BodyText"/>
              <w:rPr>
                <w:lang w:val="en-NZ"/>
              </w:rPr>
            </w:pPr>
            <w:r w:rsidRPr="00264B70">
              <w:rPr>
                <w:rStyle w:val="Emphasis"/>
              </w:rPr>
              <w:t>Performance criteria descri</w:t>
            </w:r>
            <w:r w:rsidRPr="00264B70">
              <w:rPr>
                <w:rStyle w:val="Emphasis"/>
              </w:rPr>
              <w:t>be the performance needed to demonstrate achievement of the element. Where bold italicised text is used, further information is detailed in the Range of Conditions section.</w:t>
            </w:r>
          </w:p>
        </w:tc>
      </w:tr>
      <w:tr w:rsidTr="00264B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B70">
            <w:pPr>
              <w:pStyle w:val="BodyText"/>
              <w:rPr>
                <w:lang w:val="en-NZ"/>
              </w:rPr>
            </w:pPr>
            <w:r w:rsidRPr="00264B70">
              <w:t>1. Demonstrate understanding of the concepts of chance and probability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B70" w:rsidP="00264B70">
            <w:pPr>
              <w:pStyle w:val="BodyText"/>
            </w:pPr>
            <w:r w:rsidRPr="00264B70">
              <w:t>1.1 Demonst</w:t>
            </w:r>
            <w:r w:rsidRPr="00264B70">
              <w:t>rate understanding of the concepts and terminology of probability and chance</w:t>
            </w:r>
          </w:p>
          <w:p w:rsidR="00000000" w:rsidP="00264B70">
            <w:pPr>
              <w:pStyle w:val="BodyText"/>
              <w:rPr>
                <w:lang w:val="en-NZ"/>
              </w:rPr>
            </w:pPr>
            <w:r w:rsidRPr="00264B70">
              <w:t>1.2 Estimate and interpret the outcomes of chance events in both numerical and qualitative terms</w:t>
            </w:r>
          </w:p>
        </w:tc>
      </w:tr>
      <w:tr w:rsidTr="00264B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B70">
            <w:pPr>
              <w:pStyle w:val="BodyText"/>
              <w:rPr>
                <w:lang w:val="en-NZ"/>
              </w:rPr>
            </w:pPr>
            <w:r w:rsidRPr="00264B70">
              <w:t>2. Calculate simple probabilities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B70" w:rsidP="00264B70">
            <w:pPr>
              <w:pStyle w:val="BodyText"/>
            </w:pPr>
            <w:r w:rsidRPr="00264B70">
              <w:t>2.1 Conduct experiments and display results</w:t>
            </w:r>
          </w:p>
          <w:p w:rsidR="00000000" w:rsidRPr="00264B70" w:rsidP="00264B70">
            <w:pPr>
              <w:pStyle w:val="BodyText"/>
            </w:pPr>
            <w:r w:rsidRPr="00264B70">
              <w:t>2.2 Calculate experimental probabilities of single events and simple multiple events</w:t>
            </w:r>
          </w:p>
          <w:p w:rsidR="00000000" w:rsidRPr="00264B70" w:rsidP="00264B70">
            <w:pPr>
              <w:pStyle w:val="BodyText"/>
            </w:pPr>
            <w:r w:rsidRPr="00264B70">
              <w:t>2.3 Calculate theoretical probabilities of single events and simple multiple events</w:t>
            </w:r>
          </w:p>
          <w:p w:rsidR="00000000" w:rsidRPr="00264B70" w:rsidP="00264B70">
            <w:pPr>
              <w:pStyle w:val="BodyText"/>
            </w:pPr>
            <w:r w:rsidRPr="00264B70">
              <w:t>2.4 Explain and record results using everyday and mathematical language and symbols</w:t>
            </w:r>
          </w:p>
        </w:tc>
      </w:tr>
    </w:tbl>
    <w:p w:rsidR="00000000" w:rsidRPr="00264B70" w:rsidP="00264B70">
      <w:pPr>
        <w:pStyle w:val="BodyText"/>
      </w:pPr>
    </w:p>
    <w:p w:rsidR="00000000" w:rsidRPr="00264B70" w:rsidP="00264B70">
      <w:pPr>
        <w:pStyle w:val="AllowPageBreak"/>
      </w:pPr>
    </w:p>
    <w:p w:rsidR="00000000" w:rsidRPr="00264B70" w:rsidP="00264B70">
      <w:pPr>
        <w:pStyle w:val="Heading1"/>
      </w:pPr>
      <w:bookmarkStart w:id="5" w:name="O_528640"/>
      <w:bookmarkEnd w:id="5"/>
      <w:r w:rsidRPr="00264B70">
        <w:t>Foundation Skills</w:t>
      </w:r>
    </w:p>
    <w:p w:rsidR="00000000" w:rsidRPr="00264B70" w:rsidP="00264B70">
      <w:pPr>
        <w:pStyle w:val="BodyText"/>
      </w:pPr>
      <w:r w:rsidRPr="00264B7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p w:rsidR="00000000" w:rsidRPr="00264B70" w:rsidP="00264B70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264B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B70" w:rsidP="00264B70">
            <w:pPr>
              <w:pStyle w:val="BodyText"/>
            </w:pPr>
            <w:r w:rsidRPr="00264B70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B70" w:rsidP="00264B70">
            <w:pPr>
              <w:pStyle w:val="BodyText"/>
            </w:pPr>
            <w:r w:rsidRPr="00264B70">
              <w:rPr>
                <w:rStyle w:val="SpecialBold"/>
              </w:rPr>
              <w:t>Performance</w:t>
            </w:r>
            <w:r w:rsidRPr="00264B70">
              <w:br/>
            </w:r>
            <w:r w:rsidRPr="00264B70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B70">
            <w:pPr>
              <w:pStyle w:val="BodyText"/>
              <w:rPr>
                <w:lang w:val="en-NZ"/>
              </w:rPr>
            </w:pPr>
            <w:r w:rsidRPr="00264B70">
              <w:rPr>
                <w:rStyle w:val="SpecialBold"/>
              </w:rPr>
              <w:t>Description</w:t>
            </w:r>
          </w:p>
        </w:tc>
      </w:tr>
      <w:tr w:rsidTr="00264B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B70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B70" w:rsidP="00264B70">
            <w:pPr>
              <w:pStyle w:val="ListBullet"/>
            </w:pPr>
            <w:r w:rsidRPr="00264B70">
              <w:t>Foundation skills essential to performance are explicit in the performance criteria of this unit of competency.</w:t>
            </w:r>
          </w:p>
        </w:tc>
      </w:tr>
    </w:tbl>
    <w:p w:rsidR="00000000" w:rsidRPr="00264B70" w:rsidP="00264B70">
      <w:pPr>
        <w:pStyle w:val="BodyText"/>
      </w:pPr>
    </w:p>
    <w:p w:rsidR="00000000" w:rsidRPr="00264B70" w:rsidP="00264B70">
      <w:pPr>
        <w:pStyle w:val="AllowPageBreak"/>
      </w:pPr>
    </w:p>
    <w:p w:rsidR="00000000" w:rsidRPr="00264B70" w:rsidP="00264B70">
      <w:pPr>
        <w:pStyle w:val="Heading1"/>
      </w:pPr>
      <w:bookmarkStart w:id="6" w:name="O_528649"/>
      <w:bookmarkEnd w:id="6"/>
      <w:r w:rsidRPr="00264B70">
        <w:t>Mapping Information</w:t>
      </w:r>
    </w:p>
    <w:p w:rsidR="00000000" w:rsidRPr="00264B70" w:rsidP="00264B70">
      <w:pPr>
        <w:pStyle w:val="BodyText"/>
      </w:pPr>
      <w:r w:rsidRPr="00264B70">
        <w:t>Not applicable</w:t>
      </w:r>
    </w:p>
    <w:p w:rsidR="00000000" w:rsidRPr="00264B70" w:rsidP="00264B70">
      <w:pPr>
        <w:pStyle w:val="AllowPageBreak"/>
      </w:pPr>
    </w:p>
    <w:p w:rsidR="00000000" w:rsidRPr="00264B70" w:rsidP="00264B70">
      <w:pPr>
        <w:pStyle w:val="Heading1"/>
      </w:pPr>
      <w:bookmarkStart w:id="7" w:name="O_528648"/>
      <w:bookmarkEnd w:id="7"/>
      <w:r w:rsidRPr="00264B70">
        <w:t>Links</w:t>
      </w:r>
    </w:p>
    <w:p w:rsidR="00000000" w:rsidRPr="00264B70" w:rsidP="00264B70">
      <w:pPr>
        <w:pStyle w:val="BodyText"/>
      </w:pPr>
      <w:r w:rsidRPr="00264B70">
        <w:t>Companion volumes from the IBSA website - http://www.ibsa.org.au</w:t>
      </w:r>
    </w:p>
    <w:p w:rsidR="00000000" w:rsidRPr="00264B70" w:rsidP="00264B70"/>
    <w:sectPr w:rsidSect="00264B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B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B70" w:rsidRPr="009D6631" w:rsidP="009D66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B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631" w:rsidP="00264B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6631" w:rsidP="00264B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D6631" w:rsidP="00264B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B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B70" w:rsidRPr="009D6631" w:rsidP="009D663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B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631" w:rsidRPr="002D2AF8" w:rsidP="00264B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FSKNUM34 Use and apply concepts of probability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9D6631" w:rsidP="00264B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F038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706A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B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B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B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B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B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B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B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B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B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B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B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B70"/>
  </w:style>
  <w:style w:type="character" w:customStyle="1" w:styleId="Heading1Char">
    <w:name w:val="Heading 1 Char"/>
    <w:basedOn w:val="DefaultParagraphFont"/>
    <w:link w:val="Heading1"/>
    <w:rsid w:val="00264B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B7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B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4B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4B70"/>
    <w:rPr>
      <w:b/>
      <w:spacing w:val="0"/>
    </w:rPr>
  </w:style>
  <w:style w:type="character" w:styleId="Emphasis">
    <w:name w:val="Emphasis"/>
    <w:basedOn w:val="DefaultParagraphFont"/>
    <w:qFormat/>
    <w:rsid w:val="00264B70"/>
    <w:rPr>
      <w:i/>
    </w:rPr>
  </w:style>
  <w:style w:type="paragraph" w:customStyle="1" w:styleId="SuperHeading">
    <w:name w:val="SuperHeading"/>
    <w:basedOn w:val="Normal"/>
    <w:rsid w:val="00264B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B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4B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B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B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B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B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B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B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B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B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B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B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B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B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B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B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B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4B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4B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4B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B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B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4B7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4B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B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B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B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B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B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B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B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B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4B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B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B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B70"/>
  </w:style>
  <w:style w:type="paragraph" w:styleId="TableofFigures">
    <w:name w:val="table of figures"/>
    <w:basedOn w:val="Normal"/>
    <w:next w:val="Normal"/>
    <w:semiHidden/>
    <w:rsid w:val="00264B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B70"/>
    <w:pPr>
      <w:numPr>
        <w:numId w:val="10"/>
      </w:numPr>
    </w:pPr>
  </w:style>
  <w:style w:type="character" w:customStyle="1" w:styleId="WingdingSymbols">
    <w:name w:val="Wingding Symbols"/>
    <w:rsid w:val="00264B70"/>
    <w:rPr>
      <w:rFonts w:ascii="Wingdings" w:hAnsi="Wingdings"/>
    </w:rPr>
  </w:style>
  <w:style w:type="paragraph" w:customStyle="1" w:styleId="TableHeading">
    <w:name w:val="Table Heading"/>
    <w:basedOn w:val="HeadingBase"/>
    <w:rsid w:val="00264B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B70"/>
    <w:rPr>
      <w:color w:val="0033CC"/>
      <w:u w:val="none"/>
    </w:rPr>
  </w:style>
  <w:style w:type="paragraph" w:customStyle="1" w:styleId="BodyTextRight">
    <w:name w:val="Body Text Right"/>
    <w:basedOn w:val="BodyText"/>
    <w:rsid w:val="00264B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B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B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B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B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B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B70"/>
    <w:rPr>
      <w:sz w:val="32"/>
    </w:rPr>
  </w:style>
  <w:style w:type="paragraph" w:customStyle="1" w:styleId="HeadingProcedure">
    <w:name w:val="Heading Procedure"/>
    <w:basedOn w:val="HeadingBase"/>
    <w:next w:val="Normal"/>
    <w:rsid w:val="00264B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B70"/>
    <w:pPr>
      <w:spacing w:before="60" w:after="60"/>
    </w:pPr>
  </w:style>
  <w:style w:type="paragraph" w:styleId="ListContinue">
    <w:name w:val="List Continue"/>
    <w:basedOn w:val="List"/>
    <w:rsid w:val="00264B70"/>
    <w:pPr>
      <w:ind w:firstLine="0"/>
    </w:pPr>
  </w:style>
  <w:style w:type="paragraph" w:customStyle="1" w:styleId="ListNote">
    <w:name w:val="List Note"/>
    <w:basedOn w:val="List"/>
    <w:rsid w:val="00264B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B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B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B70"/>
    <w:rPr>
      <w:rFonts w:ascii="Courier New" w:hAnsi="Courier New"/>
    </w:rPr>
  </w:style>
  <w:style w:type="paragraph" w:customStyle="1" w:styleId="NoteBullet">
    <w:name w:val="Note Bullet"/>
    <w:basedOn w:val="Note"/>
    <w:rsid w:val="00264B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B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B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B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B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4B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B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B70"/>
    <w:rPr>
      <w:b/>
      <w:smallCaps/>
    </w:rPr>
  </w:style>
  <w:style w:type="paragraph" w:customStyle="1" w:styleId="TableListNumber">
    <w:name w:val="Table List Number"/>
    <w:basedOn w:val="ListNumber"/>
    <w:rsid w:val="00264B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B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B70"/>
    <w:pPr>
      <w:numPr>
        <w:numId w:val="8"/>
      </w:numPr>
    </w:pPr>
  </w:style>
  <w:style w:type="paragraph" w:customStyle="1" w:styleId="ListAlpha2">
    <w:name w:val="List Alpha 2"/>
    <w:basedOn w:val="List2"/>
    <w:rsid w:val="00264B70"/>
    <w:pPr>
      <w:numPr>
        <w:numId w:val="7"/>
      </w:numPr>
    </w:pPr>
  </w:style>
  <w:style w:type="paragraph" w:styleId="List2">
    <w:name w:val="List 2"/>
    <w:basedOn w:val="BodyText"/>
    <w:rsid w:val="00264B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B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B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B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B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B70"/>
    <w:pPr>
      <w:numPr>
        <w:numId w:val="2"/>
      </w:numPr>
    </w:pPr>
  </w:style>
  <w:style w:type="paragraph" w:styleId="ListBullet5">
    <w:name w:val="List Bullet 5"/>
    <w:basedOn w:val="List5"/>
    <w:rsid w:val="00264B70"/>
    <w:pPr>
      <w:numPr>
        <w:numId w:val="3"/>
      </w:numPr>
    </w:pPr>
  </w:style>
  <w:style w:type="paragraph" w:styleId="ListContinue2">
    <w:name w:val="List Continue 2"/>
    <w:basedOn w:val="List2"/>
    <w:rsid w:val="00264B70"/>
    <w:pPr>
      <w:ind w:firstLine="0"/>
    </w:pPr>
  </w:style>
  <w:style w:type="paragraph" w:styleId="ListContinue3">
    <w:name w:val="List Continue 3"/>
    <w:basedOn w:val="List3"/>
    <w:rsid w:val="00264B70"/>
    <w:pPr>
      <w:ind w:left="1021" w:firstLine="0"/>
    </w:pPr>
  </w:style>
  <w:style w:type="paragraph" w:styleId="ListContinue4">
    <w:name w:val="List Continue 4"/>
    <w:basedOn w:val="List4"/>
    <w:rsid w:val="00264B70"/>
    <w:pPr>
      <w:ind w:firstLine="0"/>
    </w:pPr>
  </w:style>
  <w:style w:type="paragraph" w:styleId="ListContinue5">
    <w:name w:val="List Continue 5"/>
    <w:basedOn w:val="List5"/>
    <w:rsid w:val="00264B70"/>
    <w:pPr>
      <w:ind w:firstLine="0"/>
    </w:pPr>
  </w:style>
  <w:style w:type="paragraph" w:styleId="ListNumber3">
    <w:name w:val="List Number 3"/>
    <w:basedOn w:val="List3"/>
    <w:rsid w:val="00264B70"/>
    <w:pPr>
      <w:numPr>
        <w:numId w:val="4"/>
      </w:numPr>
    </w:pPr>
  </w:style>
  <w:style w:type="paragraph" w:styleId="ListNumber4">
    <w:name w:val="List Number 4"/>
    <w:basedOn w:val="List4"/>
    <w:rsid w:val="00264B70"/>
    <w:pPr>
      <w:numPr>
        <w:numId w:val="5"/>
      </w:numPr>
    </w:pPr>
  </w:style>
  <w:style w:type="paragraph" w:styleId="ListNumber5">
    <w:name w:val="List Number 5"/>
    <w:basedOn w:val="List5"/>
    <w:rsid w:val="00264B70"/>
    <w:pPr>
      <w:numPr>
        <w:numId w:val="6"/>
      </w:numPr>
    </w:pPr>
  </w:style>
  <w:style w:type="paragraph" w:styleId="BlockText">
    <w:name w:val="Block Text"/>
    <w:basedOn w:val="Normal"/>
    <w:rsid w:val="00264B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B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B70"/>
    <w:rPr>
      <w:sz w:val="16"/>
      <w:vertAlign w:val="superscript"/>
    </w:rPr>
  </w:style>
  <w:style w:type="character" w:customStyle="1" w:styleId="Symbols">
    <w:name w:val="Symbols"/>
    <w:basedOn w:val="DefaultParagraphFont"/>
    <w:rsid w:val="00264B70"/>
    <w:rPr>
      <w:rFonts w:ascii="Symbol" w:hAnsi="Symbol"/>
    </w:rPr>
  </w:style>
  <w:style w:type="character" w:customStyle="1" w:styleId="MenuOptions">
    <w:name w:val="Menu Options"/>
    <w:basedOn w:val="DefaultParagraphFont"/>
    <w:rsid w:val="00264B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B70"/>
    <w:rPr>
      <w:b/>
    </w:rPr>
  </w:style>
  <w:style w:type="character" w:customStyle="1" w:styleId="Underlined">
    <w:name w:val="Underlined"/>
    <w:basedOn w:val="DefaultParagraphFont"/>
    <w:rsid w:val="00264B70"/>
    <w:rPr>
      <w:u w:val="single"/>
    </w:rPr>
  </w:style>
  <w:style w:type="paragraph" w:customStyle="1" w:styleId="TableBodyTextRight">
    <w:name w:val="Table Body Text Right"/>
    <w:basedOn w:val="TableBodyText"/>
    <w:rsid w:val="00264B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B70"/>
    <w:rPr>
      <w:sz w:val="18"/>
    </w:rPr>
  </w:style>
  <w:style w:type="paragraph" w:customStyle="1" w:styleId="BodySmallRight">
    <w:name w:val="Body Small Right"/>
    <w:basedOn w:val="BodyTextRight"/>
    <w:rsid w:val="00264B70"/>
    <w:rPr>
      <w:sz w:val="18"/>
      <w:szCs w:val="18"/>
    </w:rPr>
  </w:style>
  <w:style w:type="paragraph" w:customStyle="1" w:styleId="MarginEdition">
    <w:name w:val="Margin Edition"/>
    <w:basedOn w:val="MarginNote"/>
    <w:rsid w:val="00264B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B70"/>
    <w:rPr>
      <w:sz w:val="2"/>
      <w:szCs w:val="2"/>
    </w:rPr>
  </w:style>
  <w:style w:type="character" w:customStyle="1" w:styleId="Small">
    <w:name w:val="Small"/>
    <w:basedOn w:val="DefaultParagraphFont"/>
    <w:rsid w:val="00264B70"/>
    <w:rPr>
      <w:sz w:val="16"/>
    </w:rPr>
  </w:style>
  <w:style w:type="paragraph" w:customStyle="1" w:styleId="WideTable">
    <w:name w:val="Wide Table"/>
    <w:basedOn w:val="Normal"/>
    <w:rsid w:val="00264B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B70"/>
  </w:style>
  <w:style w:type="paragraph" w:styleId="Quote">
    <w:name w:val="Quote"/>
    <w:basedOn w:val="Heading1"/>
    <w:link w:val="QuoteChar"/>
    <w:qFormat/>
    <w:rsid w:val="00264B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B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B70"/>
    <w:pPr>
      <w:pageBreakBefore/>
    </w:pPr>
  </w:style>
  <w:style w:type="paragraph" w:customStyle="1" w:styleId="Border">
    <w:name w:val="Border"/>
    <w:basedOn w:val="Normal"/>
    <w:qFormat/>
    <w:rsid w:val="00264B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B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B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B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B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B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B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B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B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B70"/>
    <w:rPr>
      <w:u w:val="single"/>
    </w:rPr>
  </w:style>
  <w:style w:type="character" w:customStyle="1" w:styleId="BoldandItalics">
    <w:name w:val="Bold and Italics"/>
    <w:qFormat/>
    <w:rsid w:val="00264B70"/>
    <w:rPr>
      <w:b/>
      <w:i/>
      <w:u w:val="none"/>
    </w:rPr>
  </w:style>
  <w:style w:type="paragraph" w:styleId="BalloonText">
    <w:name w:val="Balloon Text"/>
    <w:basedOn w:val="Normal"/>
    <w:link w:val="BalloonTextChar"/>
    <w:rsid w:val="00264B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B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B7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B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B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B7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299</Words>
  <Characters>1892</Characters>
  <Application>Microsoft Office Word</Application>
  <DocSecurity>0</DocSecurity>
  <Lines>76</Lines>
  <Paragraphs>38</Paragraphs>
  <ScaleCrop>false</ScaleCrop>
  <Company>Author-it Software Corporation Ltd.</Company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FSKNUM34 Use and apply concepts of probability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2013-05-16T00:31:00Z</dcterms:created>
  <dcterms:modified xsi:type="dcterms:W3CDTF">2013-05-16T00:31:00Z</dcterms:modified>
</cp:coreProperties>
</file>