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C18" w:rsidP="00DB6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FSKNUM23 Estimate, measure and calculate measurements for work</w:t>
      </w:r>
      <w:r>
        <w:fldChar w:fldCharType="end"/>
      </w:r>
    </w:p>
    <w:p w:rsidR="00DB6C18" w:rsidP="00DB6C18">
      <w:pPr>
        <w:pStyle w:val="Version"/>
        <w:sectPr w:rsidSect="00DE6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66C" w:rsidP="00DE666C">
      <w:pPr>
        <w:pStyle w:val="SuperHeading"/>
      </w:pPr>
      <w:r w:rsidRPr="00DE666C">
        <w:t>FSKNUM23 Estimate, measure and calculate measurements for work</w:t>
      </w:r>
    </w:p>
    <w:p w:rsidR="00000000" w:rsidRPr="00DE666C" w:rsidP="00DE666C">
      <w:pPr>
        <w:pStyle w:val="Heading1"/>
      </w:pPr>
      <w:bookmarkStart w:id="1" w:name="O_528312"/>
      <w:bookmarkEnd w:id="1"/>
      <w:r w:rsidRPr="00DE6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E6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rPr>
                <w:rStyle w:val="SpecialBold"/>
              </w:rPr>
              <w:t>Comments</w:t>
            </w:r>
          </w:p>
        </w:tc>
      </w:tr>
      <w:tr w:rsidTr="00DE6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t xml:space="preserve">This streamlined version first released with </w:t>
            </w:r>
            <w:r w:rsidRPr="00DE666C">
              <w:rPr>
                <w:rStyle w:val="Emphasis"/>
              </w:rPr>
              <w:t>FSK Foundation Skills Training Package version 1.0</w:t>
            </w:r>
            <w:r w:rsidRPr="00DE666C">
              <w:t>.</w:t>
            </w:r>
          </w:p>
        </w:tc>
      </w:tr>
    </w:tbl>
    <w:p w:rsidR="00000000" w:rsidRPr="00DE666C" w:rsidP="00DE666C">
      <w:pPr>
        <w:pStyle w:val="BodyText"/>
      </w:pPr>
    </w:p>
    <w:p w:rsidR="00000000" w:rsidRPr="00DE666C" w:rsidP="00DE666C">
      <w:pPr>
        <w:pStyle w:val="AllowPageBreak"/>
      </w:pPr>
    </w:p>
    <w:p w:rsidR="00000000" w:rsidRPr="00DE666C" w:rsidP="00DE666C">
      <w:pPr>
        <w:pStyle w:val="Heading1"/>
      </w:pPr>
      <w:bookmarkStart w:id="2" w:name="O_528313"/>
      <w:bookmarkEnd w:id="2"/>
      <w:r w:rsidRPr="00DE666C">
        <w:t>Application</w:t>
      </w:r>
    </w:p>
    <w:p w:rsidR="00000000" w:rsidRPr="00DE666C" w:rsidP="00DB6C18">
      <w:pPr>
        <w:pStyle w:val="BodyText"/>
      </w:pPr>
      <w:r w:rsidRPr="00DE666C">
        <w:t>This unit describes the skills and knowledge to estimate and measure quantities, to convert units within the metric system and between metric and non-metric units, to calculate area and volume including compound shapes and to use Pythagoras’ theorem.</w:t>
      </w:r>
    </w:p>
    <w:p w:rsidR="00000000" w:rsidRPr="00DE666C" w:rsidP="00DB6C18">
      <w:pPr>
        <w:pStyle w:val="BodyText"/>
      </w:pPr>
      <w:r w:rsidRPr="00DE666C">
        <w:t>Thi</w:t>
      </w:r>
      <w:r w:rsidRPr="00DE666C">
        <w:t>s unit applies to individuals who need numeracy skills at Australian Core Skills Framework (ACSF) level 4 to undertake a vocational training pathway or workplace tasks.</w:t>
      </w:r>
    </w:p>
    <w:p w:rsidR="00000000" w:rsidRPr="00DE666C" w:rsidP="00DB6C18">
      <w:pPr>
        <w:pStyle w:val="BodyText"/>
      </w:pPr>
      <w:r w:rsidRPr="00DE666C">
        <w:t>This unit is designed for integration and contextualisation with vocational units to s</w:t>
      </w:r>
      <w:r w:rsidRPr="00DE666C">
        <w:t>upport achievement of vocational competency.</w:t>
      </w:r>
    </w:p>
    <w:p w:rsidR="00000000" w:rsidRPr="00DE666C" w:rsidP="00DB6C18">
      <w:pPr>
        <w:pStyle w:val="BodyText"/>
      </w:pPr>
      <w:r w:rsidRPr="00DE666C">
        <w:t>No licensing, legislative or certification requirements apply to this unit at the time of publication.</w:t>
      </w:r>
    </w:p>
    <w:p w:rsidR="00000000" w:rsidRPr="00DE666C" w:rsidP="00DE666C">
      <w:pPr>
        <w:pStyle w:val="Heading1"/>
      </w:pPr>
      <w:bookmarkStart w:id="3" w:name="O_528316"/>
      <w:bookmarkEnd w:id="3"/>
      <w:r w:rsidRPr="00DE666C">
        <w:t>Unit Sector</w:t>
      </w:r>
    </w:p>
    <w:p w:rsidR="00000000" w:rsidRPr="00DE666C" w:rsidP="00DB6C18">
      <w:pPr>
        <w:pStyle w:val="BodyText"/>
      </w:pPr>
      <w:r w:rsidRPr="00DE666C">
        <w:t>Numeracy</w:t>
      </w:r>
    </w:p>
    <w:p w:rsidR="00000000" w:rsidRPr="00DE666C" w:rsidP="00DE666C">
      <w:pPr>
        <w:pStyle w:val="Heading1"/>
      </w:pPr>
      <w:bookmarkStart w:id="4" w:name="O_528317"/>
      <w:bookmarkEnd w:id="4"/>
      <w:r w:rsidRPr="00DE666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E66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rPr>
                <w:rStyle w:val="SpecialBold"/>
              </w:rPr>
              <w:t>Performance Criteria</w:t>
            </w:r>
          </w:p>
        </w:tc>
      </w:tr>
      <w:tr w:rsidTr="00DE66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66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1. Estimate and make measurements for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t>1.1 Extract and interpret measurement information em</w:t>
            </w:r>
            <w:r w:rsidRPr="00DE666C">
              <w:t>bedded in workplace texts and tasks</w:t>
            </w:r>
          </w:p>
          <w:p w:rsidR="00000000" w:rsidRPr="00DE666C" w:rsidP="00DE666C">
            <w:pPr>
              <w:pStyle w:val="BodyText"/>
            </w:pPr>
            <w:r w:rsidRPr="00DE666C">
              <w:t>1.2 Identify and select appropriate workplace measuring equipment</w:t>
            </w:r>
          </w:p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1.3 Estimate and make accurate measurements</w:t>
            </w:r>
          </w:p>
        </w:tc>
      </w:tr>
      <w:tr w:rsidTr="00DE66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2. Undertake mathematical calculations involving measurement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t>2.1 Calculate the area of 2D shapes including compound shapes</w:t>
            </w:r>
          </w:p>
          <w:p w:rsidR="00000000" w:rsidRPr="00DE666C" w:rsidP="00DE666C">
            <w:pPr>
              <w:pStyle w:val="BodyText"/>
            </w:pPr>
            <w:r w:rsidRPr="00DE666C">
              <w:t>2.2 Calculate the volume of 3D shapes using relevant formulas</w:t>
            </w:r>
          </w:p>
          <w:p w:rsidR="00000000" w:rsidRPr="00DE666C" w:rsidP="00DE666C">
            <w:pPr>
              <w:pStyle w:val="BodyText"/>
            </w:pPr>
            <w:r w:rsidRPr="00DE666C">
              <w:t>2.3 Calculate sides of right angled triangles using Pythagoras’ theorem</w:t>
            </w:r>
          </w:p>
          <w:p w:rsidR="00000000" w:rsidRPr="00DE666C" w:rsidP="00DE666C">
            <w:pPr>
              <w:pStyle w:val="BodyText"/>
            </w:pPr>
            <w:r w:rsidRPr="00DE666C">
              <w:t>2.4 Perform conversions between units of measurement</w:t>
            </w:r>
          </w:p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2.5 Use</w:t>
            </w:r>
            <w:r w:rsidRPr="00DE666C">
              <w:t xml:space="preserve"> problem solving processes to undertake the task</w:t>
            </w:r>
          </w:p>
        </w:tc>
      </w:tr>
      <w:tr w:rsidTr="00DE66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t>3.1 Review and check the measurement outcomes</w:t>
            </w:r>
          </w:p>
          <w:p w:rsidR="00000000" w:rsidRPr="00DE666C" w:rsidP="00DE666C">
            <w:pPr>
              <w:pStyle w:val="BodyText"/>
            </w:pPr>
            <w:r w:rsidRPr="00DE666C">
              <w:t>3.2 Record the information using mathematical language and symbols appropriate for the task</w:t>
            </w:r>
          </w:p>
        </w:tc>
      </w:tr>
    </w:tbl>
    <w:p w:rsidR="00000000" w:rsidRPr="00DE666C" w:rsidP="00DE666C">
      <w:pPr>
        <w:pStyle w:val="BodyText"/>
      </w:pPr>
    </w:p>
    <w:p w:rsidR="00000000" w:rsidRPr="00DE666C" w:rsidP="00DE666C">
      <w:pPr>
        <w:pStyle w:val="AllowPageBreak"/>
      </w:pPr>
    </w:p>
    <w:p w:rsidR="00000000" w:rsidRPr="00DE666C" w:rsidP="00DE666C">
      <w:pPr>
        <w:pStyle w:val="Heading1"/>
      </w:pPr>
      <w:bookmarkStart w:id="5" w:name="O_528318"/>
      <w:bookmarkEnd w:id="5"/>
      <w:r w:rsidRPr="00DE666C">
        <w:t>Foundation Skill</w:t>
      </w:r>
      <w:r w:rsidRPr="00DE666C">
        <w:t>s</w:t>
      </w:r>
    </w:p>
    <w:p w:rsidR="00000000" w:rsidRPr="00DB6C18" w:rsidP="00DB6C18">
      <w:pPr>
        <w:pStyle w:val="BodyText"/>
        <w:rPr>
          <w:i/>
        </w:rPr>
      </w:pPr>
      <w:r w:rsidRPr="00DB6C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E66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rPr>
                <w:rStyle w:val="SpecialBold"/>
              </w:rPr>
              <w:t>Performance</w:t>
            </w:r>
            <w:r w:rsidRPr="00DE666C">
              <w:br/>
            </w:r>
            <w:r w:rsidRPr="00DE666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rPr>
                <w:rStyle w:val="SpecialBold"/>
              </w:rPr>
              <w:t>Description</w:t>
            </w:r>
          </w:p>
        </w:tc>
      </w:tr>
      <w:tr w:rsidTr="00DE66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ListBullet"/>
              <w:rPr>
                <w:lang w:val="en-NZ"/>
              </w:rPr>
            </w:pPr>
            <w:r w:rsidRPr="00DE666C">
              <w:t>Sequencing multi-step calculations</w:t>
            </w:r>
          </w:p>
        </w:tc>
      </w:tr>
      <w:tr w:rsidTr="00DE66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ListBullet"/>
            </w:pPr>
            <w:r w:rsidRPr="00DE666C">
              <w:t>Using a scientific calculator</w:t>
            </w:r>
          </w:p>
        </w:tc>
      </w:tr>
    </w:tbl>
    <w:p w:rsidR="00000000" w:rsidRPr="00DE666C" w:rsidP="00DE666C">
      <w:pPr>
        <w:pStyle w:val="BodyText"/>
      </w:pPr>
    </w:p>
    <w:p w:rsidR="00000000" w:rsidRPr="00DE666C" w:rsidP="00DE666C">
      <w:pPr>
        <w:pStyle w:val="AllowPageBreak"/>
      </w:pPr>
    </w:p>
    <w:p w:rsidR="00000000" w:rsidRPr="00DE666C" w:rsidP="00DE666C">
      <w:pPr>
        <w:pStyle w:val="Heading1"/>
      </w:pPr>
      <w:bookmarkStart w:id="6" w:name="O_528327"/>
      <w:bookmarkEnd w:id="6"/>
      <w:r w:rsidRPr="00DE666C">
        <w:t>Mapping Information</w:t>
      </w:r>
    </w:p>
    <w:p w:rsidR="00000000" w:rsidRPr="00DE666C" w:rsidP="00DB6C18">
      <w:pPr>
        <w:pStyle w:val="BodyText"/>
      </w:pPr>
      <w:r w:rsidRPr="00DE666C">
        <w:t>Not applicable</w:t>
      </w:r>
    </w:p>
    <w:p w:rsidR="00000000" w:rsidRPr="00DE666C" w:rsidP="00DE666C">
      <w:pPr>
        <w:pStyle w:val="Heading1"/>
      </w:pPr>
      <w:bookmarkStart w:id="7" w:name="O_528326"/>
      <w:bookmarkEnd w:id="7"/>
      <w:r w:rsidRPr="00DE666C">
        <w:t>Links</w:t>
      </w:r>
    </w:p>
    <w:p w:rsidR="00000000" w:rsidRPr="00DE666C" w:rsidP="00DB6C18">
      <w:pPr>
        <w:pStyle w:val="BodyText"/>
      </w:pPr>
      <w:r w:rsidRPr="00DE66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61ED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666C" w:rsidP="00DB6C18">
      <w:pPr>
        <w:pStyle w:val="BodyText"/>
        <w:sectPr w:rsidSect="00DE66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66C" w:rsidP="00DE666C">
      <w:pPr>
        <w:pStyle w:val="SuperHeading"/>
      </w:pPr>
      <w:r w:rsidRPr="00DE666C">
        <w:t>Assessment Requirements for FSKNUM23 Estimate, measure and calc</w:t>
      </w:r>
      <w:r w:rsidRPr="00DE666C">
        <w:t>ulate measurements for work</w:t>
      </w:r>
    </w:p>
    <w:p w:rsidR="00000000" w:rsidRPr="00DE666C" w:rsidP="00DE666C">
      <w:pPr>
        <w:pStyle w:val="Heading1"/>
      </w:pPr>
      <w:bookmarkStart w:id="8" w:name="O_528321"/>
      <w:bookmarkEnd w:id="8"/>
      <w:r w:rsidRPr="00DE6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E6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rPr>
                <w:rStyle w:val="SpecialBold"/>
              </w:rPr>
              <w:t>Comments</w:t>
            </w:r>
          </w:p>
        </w:tc>
      </w:tr>
      <w:tr w:rsidTr="00DE6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6C">
            <w:pPr>
              <w:pStyle w:val="BodyText"/>
              <w:rPr>
                <w:lang w:val="en-NZ"/>
              </w:rPr>
            </w:pPr>
            <w:r w:rsidRPr="00DE66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6C" w:rsidP="00DE666C">
            <w:pPr>
              <w:pStyle w:val="BodyText"/>
            </w:pPr>
            <w:r w:rsidRPr="00DE666C">
              <w:t xml:space="preserve">This streamlined version first released with </w:t>
            </w:r>
            <w:r w:rsidRPr="00DE666C">
              <w:rPr>
                <w:rStyle w:val="Emphasis"/>
              </w:rPr>
              <w:t>FSK Foundation Skills Training Package version 1.0</w:t>
            </w:r>
            <w:r w:rsidRPr="00DE666C">
              <w:t>.</w:t>
            </w:r>
          </w:p>
        </w:tc>
      </w:tr>
    </w:tbl>
    <w:p w:rsidR="00000000" w:rsidRPr="00DE666C" w:rsidP="00DE666C">
      <w:pPr>
        <w:pStyle w:val="BodyText"/>
      </w:pPr>
    </w:p>
    <w:p w:rsidR="00000000" w:rsidRPr="00DE666C" w:rsidP="00DE666C">
      <w:pPr>
        <w:pStyle w:val="AllowPageBreak"/>
      </w:pPr>
    </w:p>
    <w:p w:rsidR="00000000" w:rsidRPr="00DE666C" w:rsidP="00DE666C">
      <w:pPr>
        <w:pStyle w:val="Heading1"/>
      </w:pPr>
      <w:bookmarkStart w:id="9" w:name="O_528322"/>
      <w:bookmarkEnd w:id="9"/>
      <w:r w:rsidRPr="00DE666C">
        <w:t>Performance Evidence</w:t>
      </w:r>
    </w:p>
    <w:p w:rsidR="00000000" w:rsidRPr="00DE666C" w:rsidP="00DB6C18">
      <w:pPr>
        <w:pStyle w:val="BodyText"/>
      </w:pPr>
      <w:r w:rsidRPr="00DE666C">
        <w:t>Evidence of the ability to:</w:t>
      </w:r>
    </w:p>
    <w:p w:rsidR="00000000" w:rsidRPr="00DE666C" w:rsidP="00DE666C">
      <w:pPr>
        <w:pStyle w:val="ListBullet"/>
      </w:pPr>
      <w:r w:rsidRPr="00DE666C">
        <w:t>make accurate measurements</w:t>
      </w:r>
    </w:p>
    <w:p w:rsidR="00000000" w:rsidRPr="00DE666C" w:rsidP="00DE666C">
      <w:pPr>
        <w:pStyle w:val="ListBullet"/>
      </w:pPr>
      <w:r w:rsidRPr="00DE666C">
        <w:t>calculate area and volume of shapes including compound shapes</w:t>
      </w:r>
    </w:p>
    <w:p w:rsidR="00000000" w:rsidRPr="00DE666C" w:rsidP="00DE666C">
      <w:pPr>
        <w:pStyle w:val="ListBullet"/>
      </w:pPr>
      <w:r w:rsidRPr="00DE666C">
        <w:t>calculate sides of triangles using Pythagoras’ theorem</w:t>
      </w:r>
    </w:p>
    <w:p w:rsidR="00000000" w:rsidRPr="00DE666C" w:rsidP="00DE666C">
      <w:pPr>
        <w:pStyle w:val="ListBullet"/>
      </w:pPr>
      <w:r w:rsidRPr="00DE666C">
        <w:t>make conversions between units.</w:t>
      </w:r>
    </w:p>
    <w:p w:rsidR="00000000" w:rsidRPr="00DE666C" w:rsidP="00DE666C">
      <w:pPr>
        <w:pStyle w:val="BodyText"/>
      </w:pPr>
    </w:p>
    <w:p w:rsidR="00000000" w:rsidRPr="00DE666C" w:rsidP="00DB6C18">
      <w:pPr>
        <w:pStyle w:val="BodyText"/>
      </w:pPr>
      <w:r w:rsidRPr="00DE666C">
        <w:t>Note: Where a specific volume and/or frequency is not specified, evidence must be provided at least once.</w:t>
      </w:r>
    </w:p>
    <w:p w:rsidR="00000000" w:rsidRPr="00DE666C" w:rsidP="00DE666C">
      <w:pPr>
        <w:pStyle w:val="Heading1"/>
      </w:pPr>
      <w:bookmarkStart w:id="10" w:name="O_528323"/>
      <w:bookmarkEnd w:id="10"/>
      <w:r w:rsidRPr="00DE666C">
        <w:t>Knowledge Evidence</w:t>
      </w:r>
    </w:p>
    <w:p w:rsidR="00000000" w:rsidRPr="00DE666C" w:rsidP="00DB6C18">
      <w:pPr>
        <w:pStyle w:val="BodyText"/>
      </w:pPr>
      <w:r w:rsidRPr="00DE666C">
        <w:t>Evidence of the following knowledge must be demonstrated:</w:t>
      </w:r>
    </w:p>
    <w:p w:rsidR="00000000" w:rsidRPr="00DE666C" w:rsidP="00DE666C">
      <w:pPr>
        <w:pStyle w:val="ListBullet"/>
      </w:pPr>
      <w:r w:rsidRPr="00DE666C">
        <w:t>units of measurement for specific workplace tasks</w:t>
      </w:r>
    </w:p>
    <w:p w:rsidR="00000000" w:rsidRPr="00DE666C" w:rsidP="00DE666C">
      <w:pPr>
        <w:pStyle w:val="ListBullet"/>
      </w:pPr>
      <w:r w:rsidRPr="00DE666C">
        <w:t>name</w:t>
      </w:r>
      <w:r w:rsidRPr="00DE666C">
        <w:t>s and basic properties of a range of 2D and 3D shapes</w:t>
      </w:r>
    </w:p>
    <w:p w:rsidR="00000000" w:rsidRPr="00DE666C" w:rsidP="00DE666C">
      <w:pPr>
        <w:pStyle w:val="ListBullet"/>
      </w:pPr>
      <w:r w:rsidRPr="00DE666C">
        <w:t>Pythagoras’ theorem.</w:t>
      </w:r>
    </w:p>
    <w:p w:rsidR="00000000" w:rsidRPr="00DE666C" w:rsidP="00DE666C">
      <w:pPr>
        <w:pStyle w:val="AllowPageBreak"/>
      </w:pPr>
    </w:p>
    <w:p w:rsidR="00000000" w:rsidRPr="00DE666C" w:rsidP="00DE666C">
      <w:pPr>
        <w:pStyle w:val="Heading1"/>
      </w:pPr>
      <w:bookmarkStart w:id="11" w:name="O_528324"/>
      <w:bookmarkEnd w:id="11"/>
      <w:r w:rsidRPr="00DE666C">
        <w:t>Assessment Conditions</w:t>
      </w:r>
    </w:p>
    <w:p w:rsidR="00000000" w:rsidRPr="00DE666C" w:rsidP="00DB6C18">
      <w:pPr>
        <w:pStyle w:val="BodyText"/>
      </w:pPr>
      <w:r w:rsidRPr="00DE666C">
        <w:t>Assessment texts and tasks reflect those typically found in the workplace.</w:t>
      </w:r>
    </w:p>
    <w:p w:rsidR="00000000" w:rsidRPr="00DE666C" w:rsidP="00DB6C18">
      <w:pPr>
        <w:pStyle w:val="BodyText"/>
      </w:pPr>
      <w:r w:rsidRPr="00DE666C">
        <w:t>Individuals can access a range of established support resources.</w:t>
      </w:r>
    </w:p>
    <w:p w:rsidR="00000000" w:rsidRPr="00DE666C" w:rsidP="00DB6C18">
      <w:pPr>
        <w:pStyle w:val="BodyText"/>
      </w:pPr>
      <w:r w:rsidRPr="00DE666C">
        <w:t>Culturally appropriate processes and techniques suited to the language, literacy and numeracy capacity of individuals and the work being performed must be used.</w:t>
      </w:r>
    </w:p>
    <w:p w:rsidR="00000000" w:rsidRPr="00DE666C" w:rsidP="00DB6C18">
      <w:pPr>
        <w:pStyle w:val="BodyText"/>
      </w:pPr>
      <w:r w:rsidRPr="00DE666C">
        <w:t>Reasonable adjustmen</w:t>
      </w:r>
      <w:r w:rsidRPr="00DE666C">
        <w:t>ts can be made to ensure equity in assessment for people with disabilities.</w:t>
      </w:r>
    </w:p>
    <w:p w:rsidR="00000000" w:rsidRPr="00DE666C" w:rsidP="00DB6C18">
      <w:pPr>
        <w:pStyle w:val="BodyText"/>
      </w:pPr>
      <w:r w:rsidRPr="00DE666C">
        <w:t>Assessors must satisfy NVR/AQTF assessor requirements, have a sound knowledge of the ACSF and have demonstrable expertise in the vocational contextualisation and assessment of the</w:t>
      </w:r>
      <w:r w:rsidRPr="00DE666C">
        <w:t xml:space="preserve"> core skill - numeracy.</w:t>
      </w:r>
    </w:p>
    <w:p w:rsidR="00000000" w:rsidRPr="00DE666C" w:rsidP="00DE666C">
      <w:pPr>
        <w:pStyle w:val="Heading1"/>
      </w:pPr>
      <w:bookmarkStart w:id="12" w:name="O_528328"/>
      <w:bookmarkEnd w:id="12"/>
      <w:r w:rsidRPr="00DE666C">
        <w:t>Links</w:t>
      </w:r>
    </w:p>
    <w:p w:rsidR="00000000" w:rsidRPr="00DE666C" w:rsidP="00DB6C18">
      <w:pPr>
        <w:pStyle w:val="BodyText"/>
      </w:pPr>
      <w:r w:rsidRPr="00DE66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61ED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666C" w:rsidP="00DE666C"/>
    <w:sectPr w:rsidSect="00DE66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 w:rsidRPr="00DB6C18" w:rsidP="00DB6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18" w:rsidP="00DE6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C18" w:rsidP="00DE6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B6C18" w:rsidP="00DE66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 w:rsidP="00DE6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C18">
      <w:t>Approved</w:t>
    </w:r>
    <w:r w:rsidR="00DB6C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C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C18">
      <w:rPr>
        <w:noProof/>
      </w:rPr>
      <w:t>4</w:t>
    </w:r>
    <w:r>
      <w:rPr>
        <w:noProof/>
      </w:rPr>
      <w:fldChar w:fldCharType="end"/>
    </w:r>
  </w:p>
  <w:p w:rsidR="00DE666C" w:rsidP="00DE6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C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C18">
      <w:t>DEWR</w:t>
    </w:r>
    <w:r w:rsidR="00DB6C18">
      <w:fldChar w:fldCharType="end"/>
    </w:r>
  </w:p>
  <w:p w:rsidR="00DE666C" w:rsidP="00DE6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66C" w:rsidRPr="00DB6C18" w:rsidP="00DB6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18" w:rsidRPr="002D2AF8" w:rsidP="00DE6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FSKNUM23 Estimate, measure and calculate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6C18" w:rsidP="00DE66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6C" w:rsidRPr="002D2AF8" w:rsidP="00DE6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C18">
      <w:t>FSKNUM23 Estimate, measure and calculate measurements for work</w:t>
    </w:r>
    <w:r w:rsidR="00DB6C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C18">
      <w:rPr>
        <w:noProof/>
      </w:rPr>
      <w:t>1 March 2025</w:t>
    </w:r>
    <w:r>
      <w:fldChar w:fldCharType="end"/>
    </w:r>
  </w:p>
  <w:p w:rsidR="00DE666C" w:rsidP="00DE6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A3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CC3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66C"/>
  </w:style>
  <w:style w:type="character" w:customStyle="1" w:styleId="Heading1Char">
    <w:name w:val="Heading 1 Char"/>
    <w:basedOn w:val="DefaultParagraphFont"/>
    <w:link w:val="Heading1"/>
    <w:rsid w:val="00DE6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6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66C"/>
    <w:rPr>
      <w:b/>
      <w:spacing w:val="0"/>
    </w:rPr>
  </w:style>
  <w:style w:type="character" w:styleId="Emphasis">
    <w:name w:val="Emphasis"/>
    <w:basedOn w:val="DefaultParagraphFont"/>
    <w:qFormat/>
    <w:rsid w:val="00DE666C"/>
    <w:rPr>
      <w:i/>
    </w:rPr>
  </w:style>
  <w:style w:type="paragraph" w:customStyle="1" w:styleId="SuperHeading">
    <w:name w:val="SuperHeading"/>
    <w:basedOn w:val="Normal"/>
    <w:rsid w:val="00DE6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6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6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66C"/>
  </w:style>
  <w:style w:type="paragraph" w:styleId="TableofFigures">
    <w:name w:val="table of figures"/>
    <w:basedOn w:val="Normal"/>
    <w:next w:val="Normal"/>
    <w:semiHidden/>
    <w:rsid w:val="00DE6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6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666C"/>
    <w:rPr>
      <w:rFonts w:ascii="Wingdings" w:hAnsi="Wingdings"/>
    </w:rPr>
  </w:style>
  <w:style w:type="paragraph" w:customStyle="1" w:styleId="TableHeading">
    <w:name w:val="Table Heading"/>
    <w:basedOn w:val="HeadingBase"/>
    <w:rsid w:val="00DE6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66C"/>
    <w:rPr>
      <w:color w:val="0033CC"/>
      <w:u w:val="none"/>
    </w:rPr>
  </w:style>
  <w:style w:type="paragraph" w:customStyle="1" w:styleId="BodyTextRight">
    <w:name w:val="Body Text Right"/>
    <w:basedOn w:val="BodyText"/>
    <w:rsid w:val="00DE6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6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66C"/>
    <w:rPr>
      <w:sz w:val="32"/>
    </w:rPr>
  </w:style>
  <w:style w:type="paragraph" w:customStyle="1" w:styleId="HeadingProcedure">
    <w:name w:val="Heading Procedure"/>
    <w:basedOn w:val="HeadingBase"/>
    <w:next w:val="Normal"/>
    <w:rsid w:val="00DE6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66C"/>
    <w:pPr>
      <w:spacing w:before="60" w:after="60"/>
    </w:pPr>
  </w:style>
  <w:style w:type="paragraph" w:styleId="ListContinue">
    <w:name w:val="List Continue"/>
    <w:basedOn w:val="List"/>
    <w:rsid w:val="00DE666C"/>
    <w:pPr>
      <w:ind w:firstLine="0"/>
    </w:pPr>
  </w:style>
  <w:style w:type="paragraph" w:customStyle="1" w:styleId="ListNote">
    <w:name w:val="List Note"/>
    <w:basedOn w:val="List"/>
    <w:rsid w:val="00DE6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66C"/>
    <w:rPr>
      <w:rFonts w:ascii="Courier New" w:hAnsi="Courier New"/>
    </w:rPr>
  </w:style>
  <w:style w:type="paragraph" w:customStyle="1" w:styleId="NoteBullet">
    <w:name w:val="Note Bullet"/>
    <w:basedOn w:val="Note"/>
    <w:rsid w:val="00DE6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6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66C"/>
    <w:rPr>
      <w:b/>
      <w:smallCaps/>
    </w:rPr>
  </w:style>
  <w:style w:type="paragraph" w:customStyle="1" w:styleId="TableListNumber">
    <w:name w:val="Table List Number"/>
    <w:basedOn w:val="ListNumber"/>
    <w:rsid w:val="00DE6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66C"/>
    <w:pPr>
      <w:numPr>
        <w:numId w:val="8"/>
      </w:numPr>
    </w:pPr>
  </w:style>
  <w:style w:type="paragraph" w:customStyle="1" w:styleId="ListAlpha2">
    <w:name w:val="List Alpha 2"/>
    <w:basedOn w:val="List2"/>
    <w:rsid w:val="00DE666C"/>
    <w:pPr>
      <w:numPr>
        <w:numId w:val="7"/>
      </w:numPr>
    </w:pPr>
  </w:style>
  <w:style w:type="paragraph" w:styleId="List2">
    <w:name w:val="List 2"/>
    <w:basedOn w:val="BodyText"/>
    <w:rsid w:val="00DE6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6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6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66C"/>
    <w:pPr>
      <w:numPr>
        <w:numId w:val="3"/>
      </w:numPr>
    </w:pPr>
  </w:style>
  <w:style w:type="paragraph" w:styleId="ListContinue2">
    <w:name w:val="List Continue 2"/>
    <w:basedOn w:val="List2"/>
    <w:rsid w:val="00DE666C"/>
    <w:pPr>
      <w:ind w:firstLine="0"/>
    </w:pPr>
  </w:style>
  <w:style w:type="paragraph" w:styleId="ListContinue3">
    <w:name w:val="List Continue 3"/>
    <w:basedOn w:val="List3"/>
    <w:rsid w:val="00DE666C"/>
    <w:pPr>
      <w:ind w:left="1021" w:firstLine="0"/>
    </w:pPr>
  </w:style>
  <w:style w:type="paragraph" w:styleId="ListContinue4">
    <w:name w:val="List Continue 4"/>
    <w:basedOn w:val="List4"/>
    <w:rsid w:val="00DE666C"/>
    <w:pPr>
      <w:ind w:firstLine="0"/>
    </w:pPr>
  </w:style>
  <w:style w:type="paragraph" w:styleId="ListContinue5">
    <w:name w:val="List Continue 5"/>
    <w:basedOn w:val="List5"/>
    <w:rsid w:val="00DE666C"/>
    <w:pPr>
      <w:ind w:firstLine="0"/>
    </w:pPr>
  </w:style>
  <w:style w:type="paragraph" w:styleId="ListNumber3">
    <w:name w:val="List Number 3"/>
    <w:basedOn w:val="List3"/>
    <w:rsid w:val="00DE666C"/>
    <w:pPr>
      <w:numPr>
        <w:numId w:val="4"/>
      </w:numPr>
    </w:pPr>
  </w:style>
  <w:style w:type="paragraph" w:styleId="ListNumber4">
    <w:name w:val="List Number 4"/>
    <w:basedOn w:val="List4"/>
    <w:rsid w:val="00DE666C"/>
    <w:pPr>
      <w:numPr>
        <w:numId w:val="5"/>
      </w:numPr>
    </w:pPr>
  </w:style>
  <w:style w:type="paragraph" w:styleId="ListNumber5">
    <w:name w:val="List Number 5"/>
    <w:basedOn w:val="List5"/>
    <w:rsid w:val="00DE666C"/>
    <w:pPr>
      <w:numPr>
        <w:numId w:val="6"/>
      </w:numPr>
    </w:pPr>
  </w:style>
  <w:style w:type="paragraph" w:styleId="BlockText">
    <w:name w:val="Block Text"/>
    <w:basedOn w:val="Normal"/>
    <w:rsid w:val="00DE6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66C"/>
    <w:rPr>
      <w:sz w:val="16"/>
      <w:vertAlign w:val="superscript"/>
    </w:rPr>
  </w:style>
  <w:style w:type="character" w:customStyle="1" w:styleId="Symbols">
    <w:name w:val="Symbols"/>
    <w:basedOn w:val="DefaultParagraphFont"/>
    <w:rsid w:val="00DE666C"/>
    <w:rPr>
      <w:rFonts w:ascii="Symbol" w:hAnsi="Symbol"/>
    </w:rPr>
  </w:style>
  <w:style w:type="character" w:customStyle="1" w:styleId="MenuOptions">
    <w:name w:val="Menu Options"/>
    <w:basedOn w:val="DefaultParagraphFont"/>
    <w:rsid w:val="00DE6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66C"/>
    <w:rPr>
      <w:b/>
    </w:rPr>
  </w:style>
  <w:style w:type="character" w:customStyle="1" w:styleId="Underlined">
    <w:name w:val="Underlined"/>
    <w:basedOn w:val="DefaultParagraphFont"/>
    <w:rsid w:val="00DE666C"/>
    <w:rPr>
      <w:u w:val="single"/>
    </w:rPr>
  </w:style>
  <w:style w:type="paragraph" w:customStyle="1" w:styleId="TableBodyTextRight">
    <w:name w:val="Table Body Text Right"/>
    <w:basedOn w:val="TableBodyText"/>
    <w:rsid w:val="00DE6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66C"/>
    <w:rPr>
      <w:sz w:val="18"/>
    </w:rPr>
  </w:style>
  <w:style w:type="paragraph" w:customStyle="1" w:styleId="BodySmallRight">
    <w:name w:val="Body Small Right"/>
    <w:basedOn w:val="BodyTextRight"/>
    <w:rsid w:val="00DE666C"/>
    <w:rPr>
      <w:sz w:val="18"/>
      <w:szCs w:val="18"/>
    </w:rPr>
  </w:style>
  <w:style w:type="paragraph" w:customStyle="1" w:styleId="MarginEdition">
    <w:name w:val="Margin Edition"/>
    <w:basedOn w:val="MarginNote"/>
    <w:rsid w:val="00DE6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66C"/>
    <w:rPr>
      <w:sz w:val="2"/>
      <w:szCs w:val="2"/>
    </w:rPr>
  </w:style>
  <w:style w:type="character" w:customStyle="1" w:styleId="Small">
    <w:name w:val="Small"/>
    <w:basedOn w:val="DefaultParagraphFont"/>
    <w:rsid w:val="00DE666C"/>
    <w:rPr>
      <w:sz w:val="16"/>
    </w:rPr>
  </w:style>
  <w:style w:type="paragraph" w:customStyle="1" w:styleId="WideTable">
    <w:name w:val="Wide Table"/>
    <w:basedOn w:val="Normal"/>
    <w:rsid w:val="00DE6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66C"/>
  </w:style>
  <w:style w:type="paragraph" w:styleId="Quote">
    <w:name w:val="Quote"/>
    <w:basedOn w:val="Heading1"/>
    <w:link w:val="QuoteChar"/>
    <w:qFormat/>
    <w:rsid w:val="00DE6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66C"/>
    <w:pPr>
      <w:pageBreakBefore/>
    </w:pPr>
  </w:style>
  <w:style w:type="paragraph" w:customStyle="1" w:styleId="Border">
    <w:name w:val="Border"/>
    <w:basedOn w:val="Normal"/>
    <w:qFormat/>
    <w:rsid w:val="00DE6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66C"/>
    <w:rPr>
      <w:u w:val="single"/>
    </w:rPr>
  </w:style>
  <w:style w:type="character" w:customStyle="1" w:styleId="BoldandItalics">
    <w:name w:val="Bold and Italics"/>
    <w:qFormat/>
    <w:rsid w:val="00DE666C"/>
    <w:rPr>
      <w:b/>
      <w:i/>
      <w:u w:val="none"/>
    </w:rPr>
  </w:style>
  <w:style w:type="paragraph" w:styleId="BalloonText">
    <w:name w:val="Balloon Text"/>
    <w:basedOn w:val="Normal"/>
    <w:link w:val="BalloonTextChar"/>
    <w:rsid w:val="00DE6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66C"/>
    <w:pPr>
      <w:spacing w:before="0" w:after="0"/>
    </w:pPr>
  </w:style>
  <w:style w:type="paragraph" w:customStyle="1" w:styleId="BodyTextBold">
    <w:name w:val="Body Text Bold"/>
    <w:basedOn w:val="BodyText"/>
    <w:qFormat/>
    <w:rsid w:val="00DE666C"/>
    <w:rPr>
      <w:b/>
    </w:rPr>
  </w:style>
  <w:style w:type="character" w:styleId="Hyperlink">
    <w:name w:val="Hyperlink"/>
    <w:basedOn w:val="DefaultParagraphFont"/>
    <w:uiPriority w:val="99"/>
    <w:unhideWhenUsed/>
    <w:rsid w:val="00DB6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3718</Characters>
  <Application>Microsoft Office Word</Application>
  <DocSecurity>0</DocSecurity>
  <Lines>143</Lines>
  <Paragraphs>87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FSKNUM23 Estimate, measure and calculate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