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36E" w:rsidP="00D3036E">
      <w:pPr>
        <w:pStyle w:val="Title"/>
      </w:pPr>
      <w:r>
        <w:fldChar w:fldCharType="begin"/>
      </w:r>
      <w:r>
        <w:instrText xml:space="preserve"> TITLE   \* MERGEFORMAT </w:instrText>
      </w:r>
      <w:r>
        <w:fldChar w:fldCharType="separate"/>
      </w:r>
      <w:r>
        <w:t>FPPOHS210A Participate in OHS processes</w:t>
      </w:r>
      <w:r>
        <w:fldChar w:fldCharType="end"/>
      </w:r>
    </w:p>
    <w:p w:rsidR="00D3036E" w:rsidP="00D3036E">
      <w:pPr>
        <w:pStyle w:val="Version"/>
        <w:sectPr w:rsidSect="001C7D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7D17" w:rsidP="001C7D17">
      <w:pPr>
        <w:pStyle w:val="SuperHeading"/>
      </w:pPr>
      <w:r w:rsidRPr="001C7D17">
        <w:t>FPPOHS210A Participate in OHS processes</w:t>
      </w:r>
    </w:p>
    <w:p w:rsidR="00000000" w:rsidRPr="001C7D17" w:rsidP="001C7D17">
      <w:pPr>
        <w:pStyle w:val="Heading1"/>
      </w:pPr>
      <w:bookmarkStart w:id="1" w:name="O_270825"/>
      <w:bookmarkEnd w:id="1"/>
      <w:r w:rsidRPr="001C7D17">
        <w:t>Modification History</w:t>
      </w:r>
    </w:p>
    <w:p w:rsidR="00000000" w:rsidRPr="001C7D17" w:rsidP="001C7D17">
      <w:pPr>
        <w:pStyle w:val="BodyText"/>
      </w:pPr>
      <w:r w:rsidRPr="001C7D17">
        <w:t>Not Applicable</w:t>
      </w:r>
    </w:p>
    <w:p w:rsidR="00000000" w:rsidRPr="001C7D17" w:rsidP="001C7D17">
      <w:pPr>
        <w:pStyle w:val="AllowPageBreak"/>
      </w:pPr>
    </w:p>
    <w:p w:rsidR="00000000" w:rsidRPr="001C7D17" w:rsidP="001C7D17">
      <w:pPr>
        <w:pStyle w:val="Heading1"/>
      </w:pPr>
      <w:bookmarkStart w:id="2" w:name="O_204723"/>
      <w:bookmarkEnd w:id="2"/>
      <w:r w:rsidRPr="001C7D17">
        <w:t>Unit Descriptor</w:t>
      </w:r>
    </w:p>
    <w:tbl>
      <w:tblPr>
        <w:tblW w:w="0" w:type="auto"/>
        <w:tblLayout w:type="fixed"/>
        <w:tblCellMar>
          <w:left w:w="62" w:type="dxa"/>
          <w:right w:w="62" w:type="dxa"/>
        </w:tblCellMar>
        <w:tblLook w:val="0000"/>
      </w:tblPr>
      <w:tblGrid>
        <w:gridCol w:w="2649"/>
        <w:gridCol w:w="5873"/>
      </w:tblGrid>
      <w:tr w:rsidTr="00D3036E">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rPr>
                <w:rStyle w:val="SpecialBold"/>
              </w:rPr>
              <w:t>Unit descriptor</w:t>
            </w:r>
          </w:p>
        </w:tc>
        <w:tc>
          <w:tcPr>
            <w:tcW w:w="5873" w:type="dxa"/>
            <w:tcBorders>
              <w:top w:val="nil"/>
              <w:left w:val="nil"/>
              <w:bottom w:val="nil"/>
              <w:right w:val="nil"/>
            </w:tcBorders>
            <w:tcMar>
              <w:top w:w="0" w:type="dxa"/>
              <w:left w:w="62" w:type="dxa"/>
              <w:bottom w:w="0" w:type="dxa"/>
              <w:right w:w="62" w:type="dxa"/>
            </w:tcMar>
          </w:tcPr>
          <w:p w:rsidR="00000000" w:rsidRPr="001C7D17" w:rsidP="001C7D17">
            <w:pPr>
              <w:pStyle w:val="BodyText"/>
            </w:pPr>
            <w:r w:rsidRPr="001C7D17">
              <w:t>This unit specifies the workplace performance required for an entry level employee to participate i</w:t>
            </w:r>
            <w:r w:rsidRPr="001C7D17">
              <w:t>n OHS processes in the workplace, in order to ensure their own health and safety at work, and that of others in the workplace who may be affected by their actions</w:t>
            </w:r>
          </w:p>
        </w:tc>
      </w:tr>
    </w:tbl>
    <w:p w:rsidR="00D3036E" w:rsidP="001C7D17">
      <w:pPr>
        <w:pStyle w:val="BodyText"/>
      </w:pPr>
    </w:p>
    <w:p w:rsidR="00D3036E" w:rsidP="001C7D17">
      <w:pPr>
        <w:pStyle w:val="BodyText"/>
      </w:pPr>
    </w:p>
    <w:p w:rsidR="00000000" w:rsidRPr="001C7D17" w:rsidP="001C7D17">
      <w:pPr>
        <w:pStyle w:val="Heading1"/>
      </w:pPr>
      <w:bookmarkStart w:id="3" w:name="O_204725"/>
      <w:bookmarkEnd w:id="3"/>
      <w:r w:rsidRPr="001C7D17">
        <w:t>Application of the Unit</w:t>
      </w:r>
    </w:p>
    <w:tbl>
      <w:tblPr>
        <w:tblW w:w="0" w:type="auto"/>
        <w:tblLayout w:type="fixed"/>
        <w:tblCellMar>
          <w:left w:w="62" w:type="dxa"/>
          <w:right w:w="62" w:type="dxa"/>
        </w:tblCellMar>
        <w:tblLook w:val="0000"/>
      </w:tblPr>
      <w:tblGrid>
        <w:gridCol w:w="2984"/>
        <w:gridCol w:w="5538"/>
      </w:tblGrid>
      <w:tr w:rsidTr="00D3036E">
        <w:tblPrEx>
          <w:tblW w:w="0" w:type="auto"/>
          <w:tblLayout w:type="fixed"/>
          <w:tblCellMar>
            <w:left w:w="62" w:type="dxa"/>
            <w:right w:w="62" w:type="dxa"/>
          </w:tblCellMar>
          <w:tblLook w:val="0000"/>
        </w:tblPrEx>
        <w:tc>
          <w:tcPr>
            <w:tcW w:w="2984"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rPr>
                <w:rStyle w:val="SpecialBold"/>
              </w:rPr>
              <w:t>Application of the unit</w:t>
            </w:r>
          </w:p>
        </w:tc>
        <w:tc>
          <w:tcPr>
            <w:tcW w:w="5538" w:type="dxa"/>
            <w:tcBorders>
              <w:top w:val="nil"/>
              <w:left w:val="nil"/>
              <w:bottom w:val="nil"/>
              <w:right w:val="nil"/>
            </w:tcBorders>
            <w:tcMar>
              <w:top w:w="0" w:type="dxa"/>
              <w:left w:w="62" w:type="dxa"/>
              <w:bottom w:w="0" w:type="dxa"/>
              <w:right w:w="62" w:type="dxa"/>
            </w:tcMar>
          </w:tcPr>
          <w:p w:rsidR="00000000" w:rsidRPr="001C7D17" w:rsidP="001C7D17">
            <w:pPr>
              <w:pStyle w:val="BodyText"/>
            </w:pPr>
            <w:r w:rsidRPr="001C7D17">
              <w:t>This unit is intended for application during induction of new entrants to the workplace and where a worker has basic operational knowledge and skills for a limited range of tasks and problems. This includes apprentices, trainees and casual workers</w:t>
            </w:r>
          </w:p>
          <w:p w:rsidR="00000000" w:rsidP="001C7D17">
            <w:pPr>
              <w:pStyle w:val="BodyText"/>
              <w:rPr>
                <w:lang w:val="en-NZ"/>
              </w:rPr>
            </w:pPr>
            <w:r w:rsidRPr="001C7D17">
              <w:t>Applicat</w:t>
            </w:r>
            <w:r w:rsidRPr="001C7D17">
              <w:t xml:space="preserve">ion of this unit should be contextualised to reflect any specific workplace risks, hazards and associated safety practices </w:t>
            </w:r>
          </w:p>
        </w:tc>
      </w:tr>
      <w:tr w:rsidTr="00D3036E">
        <w:tblPrEx>
          <w:tblW w:w="0" w:type="auto"/>
          <w:tblLayout w:type="fixed"/>
          <w:tblCellMar>
            <w:left w:w="62" w:type="dxa"/>
            <w:right w:w="62" w:type="dxa"/>
          </w:tblCellMar>
          <w:tblLook w:val="0000"/>
        </w:tblPrEx>
        <w:tc>
          <w:tcPr>
            <w:tcW w:w="2984"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rPr>
                <w:rStyle w:val="SpecialBold"/>
              </w:rPr>
              <w:t>Contextualisation statement</w:t>
            </w:r>
          </w:p>
        </w:tc>
        <w:tc>
          <w:tcPr>
            <w:tcW w:w="5538" w:type="dxa"/>
            <w:tcBorders>
              <w:top w:val="nil"/>
              <w:left w:val="nil"/>
              <w:bottom w:val="nil"/>
              <w:right w:val="nil"/>
            </w:tcBorders>
            <w:tcMar>
              <w:top w:w="0" w:type="dxa"/>
              <w:left w:w="62" w:type="dxa"/>
              <w:bottom w:w="0" w:type="dxa"/>
              <w:right w:w="62" w:type="dxa"/>
            </w:tcMar>
          </w:tcPr>
          <w:p w:rsidR="00000000" w:rsidRPr="001C7D17" w:rsidP="001C7D17">
            <w:pPr>
              <w:pStyle w:val="BodyText"/>
            </w:pPr>
            <w:r w:rsidRPr="001C7D17">
              <w:t>This unit has been contextualised from the generic Australian Safety and Compensation Council (ASCC) un</w:t>
            </w:r>
            <w:r w:rsidRPr="001C7D17">
              <w:t>it OHS200 Participate in OHS processes</w:t>
            </w:r>
          </w:p>
          <w:p w:rsidR="00000000" w:rsidRPr="001C7D17" w:rsidP="001C7D17">
            <w:pPr>
              <w:pStyle w:val="BodyText"/>
            </w:pPr>
            <w:r w:rsidRPr="001C7D17">
              <w:t>The following contextualisation statement is provided as an aid to training and related personnel and others who wish to use pulp and paper industry OHS standards in our industry or other industry contexts</w:t>
            </w:r>
          </w:p>
          <w:p w:rsidR="00000000" w:rsidRPr="001C7D17" w:rsidP="001C7D17">
            <w:pPr>
              <w:pStyle w:val="BodyText"/>
            </w:pPr>
            <w:r w:rsidRPr="001C7D17">
              <w:t>It provides</w:t>
            </w:r>
            <w:r w:rsidRPr="001C7D17">
              <w:t xml:space="preserve"> additional information to be read in conjunction with the range statement </w:t>
            </w:r>
          </w:p>
          <w:p w:rsidR="00000000" w:rsidRPr="001C7D17" w:rsidP="001C7D17">
            <w:pPr>
              <w:pStyle w:val="BodyText"/>
            </w:pPr>
            <w:r w:rsidRPr="001C7D17">
              <w:rPr>
                <w:rStyle w:val="SpecialBold"/>
              </w:rPr>
              <w:t>General description of the Pulp and Paper Industry context</w:t>
            </w:r>
            <w:r w:rsidRPr="001C7D17">
              <w:t>:</w:t>
            </w:r>
          </w:p>
          <w:p w:rsidR="00000000" w:rsidRPr="001C7D17" w:rsidP="001C7D17">
            <w:pPr>
              <w:pStyle w:val="BodyText"/>
            </w:pPr>
            <w:r w:rsidRPr="001C7D17">
              <w:t>Pulping and/or paper manufacturing facilities are generally characterised by:</w:t>
            </w:r>
          </w:p>
          <w:p w:rsidR="00000000" w:rsidRPr="001C7D17" w:rsidP="001C7D17">
            <w:pPr>
              <w:pStyle w:val="ListBullet"/>
            </w:pPr>
            <w:r w:rsidRPr="001C7D17">
              <w:t>State-of-the-art/cutting edge technologie</w:t>
            </w:r>
            <w:r w:rsidRPr="001C7D17">
              <w:t>s including nano-technology</w:t>
            </w:r>
          </w:p>
          <w:p w:rsidR="00000000" w:rsidRPr="001C7D17" w:rsidP="001C7D17">
            <w:pPr>
              <w:pStyle w:val="ListBullet"/>
            </w:pPr>
            <w:r w:rsidRPr="001C7D17">
              <w:t>Large high-speed equipment (current world-class machinery can produce up to 2 kilometres of paper per minute, depending on paper grade)</w:t>
            </w:r>
          </w:p>
          <w:p w:rsidR="00000000" w:rsidRPr="001C7D17" w:rsidP="001C7D17">
            <w:pPr>
              <w:pStyle w:val="ListBullet"/>
            </w:pPr>
            <w:r w:rsidRPr="001C7D17">
              <w:t>Continuous 24 hour/7 day week/365 day operations</w:t>
            </w:r>
          </w:p>
          <w:p w:rsidR="00000000" w:rsidRPr="001C7D17" w:rsidP="001C7D17">
            <w:pPr>
              <w:pStyle w:val="ListBullet"/>
            </w:pPr>
            <w:r w:rsidRPr="001C7D17">
              <w:t>Fully integrated processes interlinking complex manufacturing operations with related on-site services; supply and distribution operations; and other supporting plant, equipment and functions</w:t>
            </w:r>
          </w:p>
          <w:p w:rsidR="00000000" w:rsidRPr="001C7D17" w:rsidP="001C7D17">
            <w:pPr>
              <w:pStyle w:val="ListBullet"/>
            </w:pPr>
            <w:r w:rsidRPr="001C7D17">
              <w:t>Thousands of different integrated mechanical and electrical comp</w:t>
            </w:r>
            <w:r w:rsidRPr="001C7D17">
              <w:t>onentry that can span four stories in height and take up the space of a street-block in size, with mills occupying up to 3.4 sq km of land (not including filtration wetlands)</w:t>
            </w:r>
          </w:p>
          <w:p w:rsidR="00000000" w:rsidRPr="001C7D17" w:rsidP="001C7D17">
            <w:pPr>
              <w:pStyle w:val="ListBullet"/>
            </w:pPr>
            <w:r w:rsidRPr="001C7D17">
              <w:t>Chemical use comprising chemical recovery operations and may include chemical rec</w:t>
            </w:r>
            <w:r w:rsidRPr="001C7D17">
              <w:t>overy boiler operations</w:t>
            </w:r>
          </w:p>
          <w:p w:rsidR="00000000" w:rsidRPr="001C7D17" w:rsidP="001C7D17">
            <w:pPr>
              <w:pStyle w:val="BodyText"/>
            </w:pPr>
            <w:r w:rsidRPr="001C7D17">
              <w:t xml:space="preserve">The nature of the pulp and/or paper manufacturing process </w:t>
            </w:r>
            <w:r w:rsidRPr="001C7D17">
              <w:rPr>
                <w:rStyle w:val="Emphasis"/>
              </w:rPr>
              <w:t>requires</w:t>
            </w:r>
            <w:r w:rsidRPr="001C7D17">
              <w:t xml:space="preserve"> that occupational health and safety be embedded in knowledge and skills development associated with industry specialisations. This unit </w:t>
            </w:r>
            <w:r w:rsidRPr="001C7D17">
              <w:rPr>
                <w:rStyle w:val="Emphasis"/>
              </w:rPr>
              <w:t>must</w:t>
            </w:r>
            <w:r w:rsidRPr="001C7D17">
              <w:t xml:space="preserve"> be holistically assessed with the relevant industry specific (functional) units. This ensures that learners are competent in performing all aspects of their work safely </w:t>
            </w:r>
          </w:p>
        </w:tc>
      </w:tr>
    </w:tbl>
    <w:p w:rsidR="00D3036E" w:rsidP="001C7D17">
      <w:pPr>
        <w:pStyle w:val="BodyText"/>
      </w:pPr>
    </w:p>
    <w:p w:rsidR="00D3036E" w:rsidP="001C7D17">
      <w:pPr>
        <w:pStyle w:val="BodyText"/>
      </w:pPr>
    </w:p>
    <w:p w:rsidR="00000000" w:rsidRPr="001C7D17" w:rsidP="001C7D17">
      <w:pPr>
        <w:pStyle w:val="Heading1"/>
      </w:pPr>
      <w:bookmarkStart w:id="4" w:name="O_279085"/>
      <w:bookmarkEnd w:id="4"/>
      <w:r w:rsidRPr="001C7D17">
        <w:t>Licensing/Regulatory Information</w:t>
      </w:r>
    </w:p>
    <w:p w:rsidR="00000000" w:rsidRPr="001C7D17" w:rsidP="001C7D17">
      <w:pPr>
        <w:pStyle w:val="BodyText"/>
      </w:pPr>
      <w:r w:rsidRPr="001C7D17">
        <w:t>Not Applicable</w:t>
      </w:r>
    </w:p>
    <w:p w:rsidR="00000000" w:rsidRPr="001C7D17" w:rsidP="001C7D17">
      <w:pPr>
        <w:pStyle w:val="AllowPageBreak"/>
      </w:pPr>
    </w:p>
    <w:p w:rsidR="00000000" w:rsidRPr="001C7D17" w:rsidP="001C7D17">
      <w:pPr>
        <w:pStyle w:val="Heading1"/>
      </w:pPr>
      <w:bookmarkStart w:id="5" w:name="O_283883"/>
      <w:bookmarkEnd w:id="5"/>
      <w:r w:rsidRPr="001C7D17">
        <w:t>Pre-Requisites</w:t>
      </w:r>
    </w:p>
    <w:p w:rsidR="00000000" w:rsidRPr="001C7D17" w:rsidP="001C7D17">
      <w:pPr>
        <w:pStyle w:val="BodyText"/>
      </w:pPr>
      <w:r w:rsidRPr="001C7D17">
        <w:t>Not Applicable</w:t>
      </w:r>
    </w:p>
    <w:p w:rsidR="00000000" w:rsidRPr="001C7D17" w:rsidP="001C7D17">
      <w:pPr>
        <w:pStyle w:val="AllowPageBreak"/>
      </w:pPr>
    </w:p>
    <w:p w:rsidR="00000000" w:rsidRPr="001C7D17" w:rsidP="001C7D17">
      <w:pPr>
        <w:pStyle w:val="Heading1"/>
      </w:pPr>
      <w:bookmarkStart w:id="6" w:name="O_204724"/>
      <w:bookmarkEnd w:id="6"/>
      <w:r w:rsidRPr="001C7D17">
        <w:t>Employability Skills Information</w:t>
      </w:r>
    </w:p>
    <w:tbl>
      <w:tblPr>
        <w:tblW w:w="0" w:type="auto"/>
        <w:tblLayout w:type="fixed"/>
        <w:tblCellMar>
          <w:left w:w="62" w:type="dxa"/>
          <w:right w:w="62" w:type="dxa"/>
        </w:tblCellMar>
        <w:tblLook w:val="0000"/>
      </w:tblPr>
      <w:tblGrid>
        <w:gridCol w:w="2743"/>
        <w:gridCol w:w="5779"/>
      </w:tblGrid>
      <w:tr w:rsidTr="00D3036E">
        <w:tblPrEx>
          <w:tblW w:w="0" w:type="auto"/>
          <w:tblLayout w:type="fixed"/>
          <w:tblCellMar>
            <w:left w:w="62" w:type="dxa"/>
            <w:right w:w="62" w:type="dxa"/>
          </w:tblCellMar>
          <w:tblLook w:val="0000"/>
        </w:tblPrEx>
        <w:trPr>
          <w:tblHeader/>
        </w:trPr>
        <w:tc>
          <w:tcPr>
            <w:tcW w:w="2743"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rPr>
                <w:rStyle w:val="SpecialBold"/>
              </w:rPr>
              <w:t>Employability skills</w:t>
            </w:r>
          </w:p>
        </w:tc>
        <w:tc>
          <w:tcPr>
            <w:tcW w:w="5779" w:type="dxa"/>
            <w:tcBorders>
              <w:top w:val="nil"/>
              <w:left w:val="nil"/>
              <w:bottom w:val="nil"/>
              <w:right w:val="nil"/>
            </w:tcBorders>
            <w:tcMar>
              <w:top w:w="0" w:type="dxa"/>
              <w:left w:w="62" w:type="dxa"/>
              <w:bottom w:w="0" w:type="dxa"/>
              <w:right w:w="62" w:type="dxa"/>
            </w:tcMar>
          </w:tcPr>
          <w:p w:rsidR="00000000" w:rsidRPr="001C7D17" w:rsidP="001C7D17">
            <w:pPr>
              <w:pStyle w:val="BodyText"/>
            </w:pPr>
            <w:r w:rsidRPr="001C7D17">
              <w:t xml:space="preserve">The required outcomes described in this unit of competency contain applicable facets of Employability Skills </w:t>
            </w:r>
          </w:p>
          <w:p w:rsidR="00000000" w:rsidRPr="001C7D17" w:rsidP="001C7D17">
            <w:pPr>
              <w:pStyle w:val="BodyText"/>
            </w:pPr>
            <w:r w:rsidRPr="001C7D17">
              <w:t>The Employability Skills Summ</w:t>
            </w:r>
            <w:r w:rsidRPr="001C7D17">
              <w:t>ary of the qualification in which this unit of competency is packaged will assist in identifying Employability Skill requirements</w:t>
            </w:r>
          </w:p>
        </w:tc>
      </w:tr>
    </w:tbl>
    <w:p w:rsidR="00D3036E" w:rsidP="001C7D17">
      <w:pPr>
        <w:pStyle w:val="BodyText"/>
      </w:pPr>
    </w:p>
    <w:p w:rsidR="00D3036E" w:rsidP="001C7D17">
      <w:pPr>
        <w:pStyle w:val="BodyText"/>
      </w:pPr>
    </w:p>
    <w:p w:rsidR="00000000" w:rsidRPr="001C7D17" w:rsidP="001C7D17">
      <w:pPr>
        <w:pStyle w:val="Heading1"/>
      </w:pPr>
      <w:bookmarkStart w:id="7" w:name="O_288871"/>
      <w:bookmarkEnd w:id="7"/>
      <w:r w:rsidRPr="001C7D17">
        <w:t>Elements and Performance Criteria Pre-Content</w:t>
      </w:r>
    </w:p>
    <w:tbl>
      <w:tblPr>
        <w:tblW w:w="0" w:type="auto"/>
        <w:tblLayout w:type="fixed"/>
        <w:tblCellMar>
          <w:left w:w="62" w:type="dxa"/>
          <w:right w:w="62" w:type="dxa"/>
        </w:tblCellMar>
        <w:tblLook w:val="0000"/>
      </w:tblPr>
      <w:tblGrid>
        <w:gridCol w:w="2592"/>
        <w:gridCol w:w="5930"/>
      </w:tblGrid>
      <w:tr w:rsidTr="00D3036E">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t>Elements describe the essential outcomes of a unit of competency.</w:t>
            </w:r>
          </w:p>
        </w:tc>
        <w:tc>
          <w:tcPr>
            <w:tcW w:w="5930" w:type="dxa"/>
            <w:tcBorders>
              <w:top w:val="nil"/>
              <w:left w:val="nil"/>
              <w:bottom w:val="nil"/>
              <w:right w:val="nil"/>
            </w:tcBorders>
            <w:tcMar>
              <w:top w:w="0" w:type="dxa"/>
              <w:left w:w="62" w:type="dxa"/>
              <w:bottom w:w="0" w:type="dxa"/>
              <w:right w:w="62" w:type="dxa"/>
            </w:tcMar>
          </w:tcPr>
          <w:p w:rsidR="00000000" w:rsidRPr="001C7D17" w:rsidP="001C7D17">
            <w:pPr>
              <w:pStyle w:val="BodyText"/>
            </w:pPr>
            <w:r w:rsidRPr="001C7D17">
              <w:t xml:space="preserve">Performance criteria describe the performance needed to demonstrate achievement of the element. </w:t>
            </w:r>
          </w:p>
        </w:tc>
      </w:tr>
    </w:tbl>
    <w:p w:rsidR="00000000" w:rsidRPr="001C7D17" w:rsidP="001C7D17">
      <w:pPr>
        <w:pStyle w:val="BodyText"/>
      </w:pPr>
    </w:p>
    <w:p w:rsidR="00000000" w:rsidRPr="001C7D17" w:rsidP="001C7D17">
      <w:pPr>
        <w:pStyle w:val="AllowPageBreak"/>
      </w:pPr>
    </w:p>
    <w:p w:rsidR="00000000" w:rsidRPr="001C7D17" w:rsidP="001C7D17">
      <w:pPr>
        <w:pStyle w:val="Heading1"/>
      </w:pPr>
      <w:bookmarkStart w:id="8" w:name="O_235538"/>
      <w:bookmarkEnd w:id="8"/>
      <w:r w:rsidRPr="001C7D17">
        <w:t>Elements and Performance Criteria</w:t>
      </w:r>
    </w:p>
    <w:tbl>
      <w:tblPr>
        <w:tblW w:w="0" w:type="auto"/>
        <w:tblLayout w:type="fixed"/>
        <w:tblCellMar>
          <w:left w:w="62" w:type="dxa"/>
          <w:right w:w="62" w:type="dxa"/>
        </w:tblCellMar>
        <w:tblLook w:val="0000"/>
      </w:tblPr>
      <w:tblGrid>
        <w:gridCol w:w="2592"/>
        <w:gridCol w:w="5930"/>
      </w:tblGrid>
      <w:tr w:rsidTr="00D3036E">
        <w:tblPrEx>
          <w:tblW w:w="0" w:type="auto"/>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1C7D17" w:rsidP="001C7D17">
            <w:pPr>
              <w:pStyle w:val="BodyText"/>
            </w:pPr>
            <w:r w:rsidRPr="001C7D17">
              <w:rPr>
                <w:rStyle w:val="SpecialBold"/>
              </w:rPr>
              <w:t>ELEMENT</w:t>
            </w:r>
          </w:p>
        </w:tc>
        <w:tc>
          <w:tcPr>
            <w:tcW w:w="5930"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rPr>
                <w:rStyle w:val="SpecialBold"/>
              </w:rPr>
              <w:t>PERFORMANCE CRITERIA</w:t>
            </w:r>
          </w:p>
        </w:tc>
      </w:tr>
      <w:tr w:rsidTr="00D3036E">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1C7D17">
            <w:pPr>
              <w:pStyle w:val="List"/>
              <w:rPr>
                <w:lang w:val="en-NZ"/>
              </w:rPr>
            </w:pPr>
            <w:r w:rsidRPr="001C7D17">
              <w:t>1.</w:t>
            </w:r>
            <w:r w:rsidRPr="001C7D17">
              <w:tab/>
            </w:r>
            <w:r w:rsidRPr="001C7D17">
              <w:t>Plan and prepare to work safely</w:t>
            </w:r>
          </w:p>
        </w:tc>
        <w:tc>
          <w:tcPr>
            <w:tcW w:w="5930" w:type="dxa"/>
            <w:tcBorders>
              <w:top w:val="nil"/>
              <w:left w:val="nil"/>
              <w:bottom w:val="nil"/>
              <w:right w:val="nil"/>
            </w:tcBorders>
            <w:tcMar>
              <w:top w:w="0" w:type="dxa"/>
              <w:left w:w="62" w:type="dxa"/>
              <w:bottom w:w="0" w:type="dxa"/>
              <w:right w:w="62" w:type="dxa"/>
            </w:tcMar>
          </w:tcPr>
          <w:p w:rsidR="00000000" w:rsidP="001C7D17">
            <w:pPr>
              <w:pStyle w:val="List2"/>
              <w:rPr>
                <w:lang w:val="en-NZ"/>
              </w:rPr>
            </w:pPr>
            <w:r w:rsidRPr="001C7D17">
              <w:t>1.1.</w:t>
            </w:r>
            <w:r w:rsidRPr="001C7D17">
              <w:tab/>
              <w:t>Identify hazards in the work area, and take action to control risk for those hazards the employee can correct</w:t>
            </w:r>
          </w:p>
        </w:tc>
      </w:tr>
      <w:tr w:rsidTr="00D3036E">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P="001C7D17">
            <w:pPr>
              <w:pStyle w:val="List2"/>
              <w:rPr>
                <w:lang w:val="en-NZ"/>
              </w:rPr>
            </w:pPr>
            <w:r w:rsidRPr="001C7D17">
              <w:t>1.2.</w:t>
            </w:r>
            <w:r w:rsidRPr="001C7D17">
              <w:tab/>
              <w:t>Report those hazards the employee cannot correct and inadequacies in control measures, in line with or</w:t>
            </w:r>
            <w:r w:rsidRPr="001C7D17">
              <w:t>ganisational procedures</w:t>
            </w:r>
          </w:p>
        </w:tc>
      </w:tr>
      <w:tr w:rsidTr="00D3036E">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P="001C7D17">
            <w:pPr>
              <w:pStyle w:val="List2"/>
              <w:rPr>
                <w:lang w:val="en-NZ"/>
              </w:rPr>
            </w:pPr>
            <w:r w:rsidRPr="001C7D17">
              <w:t>1.3.</w:t>
            </w:r>
            <w:r w:rsidRPr="001C7D17">
              <w:tab/>
              <w:t>Carry out pre-start checks as required in line with work procedures</w:t>
            </w:r>
          </w:p>
        </w:tc>
      </w:tr>
      <w:tr w:rsidTr="00D3036E">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1C7D17">
            <w:pPr>
              <w:pStyle w:val="List"/>
              <w:rPr>
                <w:lang w:val="en-NZ"/>
              </w:rPr>
            </w:pPr>
            <w:r w:rsidRPr="001C7D17">
              <w:t>2.</w:t>
            </w:r>
            <w:r w:rsidRPr="001C7D17">
              <w:tab/>
              <w:t>Conduct work safely</w:t>
            </w:r>
          </w:p>
        </w:tc>
        <w:tc>
          <w:tcPr>
            <w:tcW w:w="5930" w:type="dxa"/>
            <w:tcBorders>
              <w:top w:val="nil"/>
              <w:left w:val="nil"/>
              <w:bottom w:val="nil"/>
              <w:right w:val="nil"/>
            </w:tcBorders>
            <w:tcMar>
              <w:top w:w="0" w:type="dxa"/>
              <w:left w:w="62" w:type="dxa"/>
              <w:bottom w:w="0" w:type="dxa"/>
              <w:right w:w="62" w:type="dxa"/>
            </w:tcMar>
          </w:tcPr>
          <w:p w:rsidR="00000000" w:rsidP="001C7D17">
            <w:pPr>
              <w:pStyle w:val="List2"/>
              <w:rPr>
                <w:lang w:val="en-NZ"/>
              </w:rPr>
            </w:pPr>
            <w:r w:rsidRPr="001C7D17">
              <w:t>2.1.</w:t>
            </w:r>
            <w:r w:rsidRPr="001C7D17">
              <w:tab/>
              <w:t>Use Personal Protective Equipment (PPE) correctly and maintain when required</w:t>
            </w:r>
          </w:p>
        </w:tc>
      </w:tr>
      <w:tr w:rsidTr="00D3036E">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P="001C7D17">
            <w:pPr>
              <w:pStyle w:val="List2"/>
              <w:rPr>
                <w:lang w:val="en-NZ"/>
              </w:rPr>
            </w:pPr>
            <w:r w:rsidRPr="001C7D17">
              <w:t>2.2.</w:t>
            </w:r>
            <w:r w:rsidRPr="001C7D17">
              <w:tab/>
            </w:r>
            <w:r w:rsidRPr="001C7D17">
              <w:t>Follow work procedures and workplace instructions for ensuring safety when planning and conducting work</w:t>
            </w:r>
          </w:p>
        </w:tc>
      </w:tr>
      <w:tr w:rsidTr="00D3036E">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P="001C7D17">
            <w:pPr>
              <w:pStyle w:val="List2"/>
              <w:rPr>
                <w:lang w:val="en-NZ"/>
              </w:rPr>
            </w:pPr>
            <w:r w:rsidRPr="001C7D17">
              <w:t>2.3.</w:t>
            </w:r>
            <w:r w:rsidRPr="001C7D17">
              <w:tab/>
              <w:t>Report incidents and injuries to designated personnel</w:t>
            </w:r>
          </w:p>
        </w:tc>
      </w:tr>
      <w:tr w:rsidTr="00D3036E">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P="001C7D17">
            <w:pPr>
              <w:pStyle w:val="List2"/>
              <w:rPr>
                <w:lang w:val="en-NZ"/>
              </w:rPr>
            </w:pPr>
            <w:r w:rsidRPr="001C7D17">
              <w:t>2.4.</w:t>
            </w:r>
            <w:r w:rsidRPr="001C7D17">
              <w:tab/>
              <w:t>Undertake OHS housekeeping in work area</w:t>
            </w:r>
          </w:p>
        </w:tc>
      </w:tr>
      <w:tr w:rsidTr="00D3036E">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1C7D17">
            <w:pPr>
              <w:pStyle w:val="List"/>
              <w:rPr>
                <w:lang w:val="en-NZ"/>
              </w:rPr>
            </w:pPr>
            <w:r w:rsidRPr="001C7D17">
              <w:t>3.</w:t>
            </w:r>
            <w:r w:rsidRPr="001C7D17">
              <w:tab/>
              <w:t>Participate in OHS consultative activiti</w:t>
            </w:r>
            <w:r w:rsidRPr="001C7D17">
              <w:t>es</w:t>
            </w:r>
          </w:p>
        </w:tc>
        <w:tc>
          <w:tcPr>
            <w:tcW w:w="5930" w:type="dxa"/>
            <w:tcBorders>
              <w:top w:val="nil"/>
              <w:left w:val="nil"/>
              <w:bottom w:val="nil"/>
              <w:right w:val="nil"/>
            </w:tcBorders>
            <w:tcMar>
              <w:top w:w="0" w:type="dxa"/>
              <w:left w:w="62" w:type="dxa"/>
              <w:bottom w:w="0" w:type="dxa"/>
              <w:right w:w="62" w:type="dxa"/>
            </w:tcMar>
          </w:tcPr>
          <w:p w:rsidR="00000000" w:rsidP="001C7D17">
            <w:pPr>
              <w:pStyle w:val="List2"/>
              <w:rPr>
                <w:lang w:val="en-NZ"/>
              </w:rPr>
            </w:pPr>
            <w:r w:rsidRPr="001C7D17">
              <w:t>3.1.</w:t>
            </w:r>
            <w:r w:rsidRPr="001C7D17">
              <w:tab/>
              <w:t>Make constructive contributions to workplace meetings, workplace inspections or other OHS consultative activities</w:t>
            </w:r>
          </w:p>
        </w:tc>
      </w:tr>
      <w:tr w:rsidTr="00D3036E">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P="001C7D17">
            <w:pPr>
              <w:pStyle w:val="List2"/>
              <w:rPr>
                <w:lang w:val="en-NZ"/>
              </w:rPr>
            </w:pPr>
            <w:r w:rsidRPr="001C7D17">
              <w:t>3.2.</w:t>
            </w:r>
            <w:r w:rsidRPr="001C7D17">
              <w:tab/>
              <w:t>Raise OHS issues with designated personnel in line with organisational procedures</w:t>
            </w:r>
          </w:p>
        </w:tc>
      </w:tr>
      <w:tr w:rsidTr="00D3036E">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P="001C7D17">
            <w:pPr>
              <w:pStyle w:val="List2"/>
              <w:rPr>
                <w:lang w:val="en-NZ"/>
              </w:rPr>
            </w:pPr>
            <w:r w:rsidRPr="001C7D17">
              <w:t>3.3.</w:t>
            </w:r>
            <w:r w:rsidRPr="001C7D17">
              <w:tab/>
              <w:t>Provide input to improve workplace OHS</w:t>
            </w:r>
            <w:r w:rsidRPr="001C7D17">
              <w:t xml:space="preserve"> systems and processes, in line with organisational procedures, to eliminate hazards or reduce risk</w:t>
            </w:r>
          </w:p>
        </w:tc>
      </w:tr>
      <w:tr w:rsidTr="00D3036E">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1C7D17">
            <w:pPr>
              <w:pStyle w:val="List"/>
              <w:rPr>
                <w:lang w:val="en-NZ"/>
              </w:rPr>
            </w:pPr>
            <w:r w:rsidRPr="001C7D17">
              <w:t>4.</w:t>
            </w:r>
            <w:r w:rsidRPr="001C7D17">
              <w:tab/>
              <w:t>Follow emergency response procedures</w:t>
            </w:r>
          </w:p>
        </w:tc>
        <w:tc>
          <w:tcPr>
            <w:tcW w:w="5930" w:type="dxa"/>
            <w:tcBorders>
              <w:top w:val="nil"/>
              <w:left w:val="nil"/>
              <w:bottom w:val="nil"/>
              <w:right w:val="nil"/>
            </w:tcBorders>
            <w:tcMar>
              <w:top w:w="0" w:type="dxa"/>
              <w:left w:w="62" w:type="dxa"/>
              <w:bottom w:w="0" w:type="dxa"/>
              <w:right w:w="62" w:type="dxa"/>
            </w:tcMar>
          </w:tcPr>
          <w:p w:rsidR="00000000" w:rsidP="001C7D17">
            <w:pPr>
              <w:pStyle w:val="List2"/>
              <w:rPr>
                <w:lang w:val="en-NZ"/>
              </w:rPr>
            </w:pPr>
            <w:r w:rsidRPr="001C7D17">
              <w:t>4.1.</w:t>
            </w:r>
            <w:r w:rsidRPr="001C7D17">
              <w:tab/>
              <w:t>Identify and report emergency situations</w:t>
            </w:r>
          </w:p>
        </w:tc>
      </w:tr>
      <w:tr w:rsidTr="00D3036E">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P="001C7D17">
            <w:pPr>
              <w:pStyle w:val="List2"/>
              <w:rPr>
                <w:lang w:val="en-NZ"/>
              </w:rPr>
            </w:pPr>
            <w:r w:rsidRPr="001C7D17">
              <w:t>4.2.</w:t>
            </w:r>
            <w:r w:rsidRPr="001C7D17">
              <w:tab/>
              <w:t>Follow organisational procedures for responding to emergencies</w:t>
            </w:r>
          </w:p>
        </w:tc>
      </w:tr>
      <w:tr w:rsidTr="00D3036E">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RPr="001C7D17" w:rsidP="001C7D17">
            <w:pPr>
              <w:pStyle w:val="List2"/>
            </w:pPr>
            <w:r w:rsidRPr="001C7D17">
              <w:t>4.3.</w:t>
            </w:r>
            <w:r w:rsidRPr="001C7D17">
              <w:tab/>
              <w:t>Apply knowledge of roles and responsibilities of OHS representatives and OHS committees</w:t>
            </w:r>
          </w:p>
        </w:tc>
      </w:tr>
    </w:tbl>
    <w:p w:rsidR="00D3036E" w:rsidP="001C7D17">
      <w:pPr>
        <w:pStyle w:val="BodyText"/>
      </w:pPr>
    </w:p>
    <w:p w:rsidR="00D3036E" w:rsidP="001C7D17">
      <w:pPr>
        <w:pStyle w:val="BodyText"/>
      </w:pPr>
    </w:p>
    <w:p w:rsidR="00000000" w:rsidRPr="001C7D17" w:rsidP="001C7D17">
      <w:pPr>
        <w:pStyle w:val="Heading1"/>
      </w:pPr>
      <w:bookmarkStart w:id="9" w:name="O_259488"/>
      <w:bookmarkEnd w:id="9"/>
      <w:r w:rsidRPr="001C7D17">
        <w:t>Required Skills and Knowledge</w:t>
      </w:r>
    </w:p>
    <w:tbl>
      <w:tblPr>
        <w:tblW w:w="0" w:type="auto"/>
        <w:tblLayout w:type="fixed"/>
        <w:tblCellMar>
          <w:left w:w="62" w:type="dxa"/>
          <w:right w:w="62" w:type="dxa"/>
        </w:tblCellMar>
        <w:tblLook w:val="0000"/>
      </w:tblPr>
      <w:tblGrid>
        <w:gridCol w:w="8522"/>
      </w:tblGrid>
      <w:tr w:rsidTr="00D3036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rPr>
                <w:rStyle w:val="SpecialBold"/>
              </w:rPr>
              <w:t>REQUIRED SKILLS AND KNOWLEDGE</w:t>
            </w:r>
          </w:p>
        </w:tc>
      </w:tr>
      <w:tr w:rsidTr="00D303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t>This section describes the skills and knowledge required for this unit.</w:t>
            </w:r>
          </w:p>
        </w:tc>
      </w:tr>
      <w:tr w:rsidTr="00D303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rPr>
                <w:rStyle w:val="SpecialBold"/>
              </w:rPr>
              <w:t>Required skills</w:t>
            </w:r>
            <w:r w:rsidRPr="001C7D17">
              <w:t>:</w:t>
            </w:r>
          </w:p>
        </w:tc>
      </w:tr>
      <w:tr w:rsidTr="00D303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7D17" w:rsidP="001C7D17">
            <w:pPr>
              <w:pStyle w:val="BodyText"/>
            </w:pPr>
            <w:r w:rsidRPr="001C7D17">
              <w:t>Ability to:</w:t>
            </w:r>
          </w:p>
          <w:p w:rsidR="00000000" w:rsidRPr="001C7D17" w:rsidP="001C7D17">
            <w:pPr>
              <w:pStyle w:val="ListBullet"/>
            </w:pPr>
            <w:r w:rsidRPr="001C7D17">
              <w:t>Follow clear, logical verbal or clear, logical Plain English written instructions</w:t>
            </w:r>
          </w:p>
          <w:p w:rsidR="00000000" w:rsidRPr="001C7D17" w:rsidP="001C7D17">
            <w:pPr>
              <w:pStyle w:val="ListBullet"/>
            </w:pPr>
            <w:r w:rsidRPr="001C7D17">
              <w:t>Interpret selected pictorial/graphical and written signs/instructions</w:t>
            </w:r>
          </w:p>
          <w:p w:rsidR="00000000" w:rsidRPr="001C7D17" w:rsidP="001C7D17">
            <w:pPr>
              <w:pStyle w:val="ListBullet"/>
            </w:pPr>
            <w:r w:rsidRPr="001C7D17">
              <w:t>Clarify meaning with peers and supervisors, and</w:t>
            </w:r>
          </w:p>
          <w:p w:rsidR="00000000" w:rsidRPr="001C7D17" w:rsidP="001C7D17">
            <w:pPr>
              <w:pStyle w:val="ListBullet"/>
            </w:pPr>
            <w:r w:rsidRPr="001C7D17">
              <w:t>Give accurate verbal or written descriptions of incidents or hazards</w:t>
            </w:r>
          </w:p>
          <w:p w:rsidR="00000000" w:rsidP="001C7D17">
            <w:pPr>
              <w:pStyle w:val="ListBullet"/>
              <w:rPr>
                <w:lang w:val="en-NZ"/>
              </w:rPr>
            </w:pPr>
            <w:r w:rsidRPr="001C7D17">
              <w:t>Preparedness to be involved in OHS activities, including inspections and meetings</w:t>
            </w:r>
          </w:p>
        </w:tc>
      </w:tr>
      <w:tr w:rsidTr="00D303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rPr>
                <w:rStyle w:val="SpecialBold"/>
              </w:rPr>
              <w:t>Required knowledge</w:t>
            </w:r>
            <w:r w:rsidRPr="001C7D17">
              <w:t>:</w:t>
            </w:r>
          </w:p>
        </w:tc>
      </w:tr>
      <w:tr w:rsidTr="00D303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7D17" w:rsidP="001C7D17">
            <w:pPr>
              <w:pStyle w:val="ListBullet"/>
            </w:pPr>
            <w:r w:rsidRPr="001C7D17">
              <w:t>Safety signs and their meanings, including signs for:</w:t>
            </w:r>
          </w:p>
          <w:p w:rsidR="00000000" w:rsidRPr="001C7D17" w:rsidP="001C7D17">
            <w:pPr>
              <w:pStyle w:val="ListBullet2"/>
            </w:pPr>
            <w:r w:rsidRPr="001C7D17">
              <w:t>Personal Protective Equipme</w:t>
            </w:r>
            <w:r w:rsidRPr="001C7D17">
              <w:t>nt (PPE)</w:t>
            </w:r>
          </w:p>
          <w:p w:rsidR="00000000" w:rsidRPr="001C7D17" w:rsidP="001C7D17">
            <w:pPr>
              <w:pStyle w:val="ListBullet2"/>
            </w:pPr>
            <w:r w:rsidRPr="001C7D17">
              <w:t>emergency equipment</w:t>
            </w:r>
          </w:p>
          <w:p w:rsidR="00000000" w:rsidRPr="001C7D17" w:rsidP="001C7D17">
            <w:pPr>
              <w:pStyle w:val="ListBullet2"/>
            </w:pPr>
            <w:r w:rsidRPr="001C7D17">
              <w:t>dangerous goods class signs</w:t>
            </w:r>
          </w:p>
          <w:p w:rsidR="00000000" w:rsidRPr="001C7D17" w:rsidP="001C7D17">
            <w:pPr>
              <w:pStyle w:val="ListBullet2"/>
            </w:pPr>
            <w:r w:rsidRPr="001C7D17">
              <w:t>specific hazards such as sharps, radiation</w:t>
            </w:r>
          </w:p>
          <w:p w:rsidR="00000000" w:rsidRPr="001C7D17" w:rsidP="001C7D17">
            <w:pPr>
              <w:pStyle w:val="ListBullet"/>
            </w:pPr>
            <w:r w:rsidRPr="001C7D17">
              <w:t>Legal rights and responsibilities of the workplace parties</w:t>
            </w:r>
          </w:p>
          <w:p w:rsidR="00000000" w:rsidRPr="001C7D17" w:rsidP="001C7D17">
            <w:pPr>
              <w:pStyle w:val="ListBullet"/>
            </w:pPr>
            <w:r w:rsidRPr="001C7D17">
              <w:t>The difference between hazard and risk</w:t>
            </w:r>
          </w:p>
          <w:p w:rsidR="00000000" w:rsidRPr="001C7D17" w:rsidP="001C7D17">
            <w:pPr>
              <w:pStyle w:val="ListBullet"/>
            </w:pPr>
            <w:r w:rsidRPr="001C7D17">
              <w:t>Nature of common workplace hazards such as chemicals, noise, manual handling, work postures, underfoot hazards and moving parts of machinery</w:t>
            </w:r>
          </w:p>
          <w:p w:rsidR="00000000" w:rsidRPr="001C7D17" w:rsidP="001C7D17">
            <w:pPr>
              <w:pStyle w:val="ListBullet"/>
            </w:pPr>
            <w:r w:rsidRPr="001C7D17">
              <w:t>Standard emergency signals, alarms and required responses</w:t>
            </w:r>
          </w:p>
          <w:p w:rsidR="00000000" w:rsidRPr="001C7D17" w:rsidP="001C7D17">
            <w:pPr>
              <w:pStyle w:val="ListBullet"/>
            </w:pPr>
            <w:r w:rsidRPr="001C7D17">
              <w:t>A basic understanding of the hierarchy of control</w:t>
            </w:r>
          </w:p>
          <w:p w:rsidR="00000000" w:rsidRPr="001C7D17" w:rsidP="001C7D17">
            <w:pPr>
              <w:pStyle w:val="ListBullet"/>
            </w:pPr>
            <w:r w:rsidRPr="001C7D17">
              <w:t xml:space="preserve">Safety </w:t>
            </w:r>
            <w:r w:rsidRPr="001C7D17">
              <w:t>measures related to common workplace hazards</w:t>
            </w:r>
          </w:p>
          <w:p w:rsidR="00000000" w:rsidRPr="001C7D17" w:rsidP="001C7D17">
            <w:pPr>
              <w:pStyle w:val="ListBullet"/>
            </w:pPr>
            <w:r w:rsidRPr="001C7D17">
              <w:t>Sources of OHS information in the workplace with some limited knowledge of external sources of OHS information</w:t>
            </w:r>
          </w:p>
          <w:p w:rsidR="00000000" w:rsidRPr="001C7D17" w:rsidP="001C7D17">
            <w:pPr>
              <w:pStyle w:val="ListBullet"/>
            </w:pPr>
            <w:r w:rsidRPr="001C7D17">
              <w:t>The roles and responsibilities of employees, supervisors and managers in the workplace</w:t>
            </w:r>
          </w:p>
          <w:p w:rsidR="00000000" w:rsidRPr="001C7D17" w:rsidP="001C7D17">
            <w:pPr>
              <w:pStyle w:val="ListBullet"/>
            </w:pPr>
            <w:r w:rsidRPr="001C7D17">
              <w:t>Roles and res</w:t>
            </w:r>
            <w:r w:rsidRPr="001C7D17">
              <w:t>ponsibilities of OHS representatives, OHS committees and employers</w:t>
            </w:r>
          </w:p>
          <w:p w:rsidR="00000000" w:rsidRPr="001C7D17" w:rsidP="001C7D17">
            <w:pPr>
              <w:pStyle w:val="ListBullet"/>
            </w:pPr>
            <w:r w:rsidRPr="001C7D17">
              <w:t>Workplace specific information including:</w:t>
            </w:r>
          </w:p>
          <w:p w:rsidR="00000000" w:rsidRPr="001C7D17" w:rsidP="001C7D17">
            <w:pPr>
              <w:pStyle w:val="ListBullet2"/>
            </w:pPr>
            <w:r w:rsidRPr="001C7D17">
              <w:t>hazards of the particular work environment</w:t>
            </w:r>
          </w:p>
          <w:p w:rsidR="00000000" w:rsidRPr="001C7D17" w:rsidP="001C7D17">
            <w:pPr>
              <w:pStyle w:val="ListBullet2"/>
            </w:pPr>
            <w:r w:rsidRPr="001C7D17">
              <w:t>potential emergencies relevant to the workplace</w:t>
            </w:r>
          </w:p>
          <w:p w:rsidR="00000000" w:rsidRPr="001C7D17" w:rsidP="001C7D17">
            <w:pPr>
              <w:pStyle w:val="ListBullet2"/>
            </w:pPr>
            <w:r w:rsidRPr="001C7D17">
              <w:t>designated person(s) for raising OHS issues</w:t>
            </w:r>
          </w:p>
          <w:p w:rsidR="00000000" w:rsidRPr="001C7D17" w:rsidP="001C7D17">
            <w:pPr>
              <w:pStyle w:val="ListBullet2"/>
            </w:pPr>
            <w:r w:rsidRPr="001C7D17">
              <w:t>organisational and work procedures, particularly those related to performance of own work, specific hazards and risk control, reporting of hazards, incidents and injuries, consultation, use of PPE and emergency response; and</w:t>
            </w:r>
          </w:p>
          <w:p w:rsidR="00000000" w:rsidRPr="001C7D17" w:rsidP="001C7D17">
            <w:pPr>
              <w:pStyle w:val="ListBullet2"/>
            </w:pPr>
            <w:r w:rsidRPr="001C7D17">
              <w:t>potential emergency situations,</w:t>
            </w:r>
            <w:r w:rsidRPr="001C7D17">
              <w:t xml:space="preserve"> alarms and signals, and required response</w:t>
            </w:r>
          </w:p>
        </w:tc>
      </w:tr>
    </w:tbl>
    <w:p w:rsidR="00D3036E" w:rsidP="001C7D17">
      <w:pPr>
        <w:pStyle w:val="BodyText"/>
      </w:pPr>
    </w:p>
    <w:p w:rsidR="00D3036E" w:rsidP="001C7D17">
      <w:pPr>
        <w:pStyle w:val="BodyText"/>
      </w:pPr>
    </w:p>
    <w:p w:rsidR="00000000" w:rsidRPr="001C7D17" w:rsidP="001C7D17">
      <w:pPr>
        <w:pStyle w:val="AllowPageBreak"/>
      </w:pPr>
    </w:p>
    <w:p w:rsidR="00000000" w:rsidRPr="001C7D17" w:rsidP="001C7D17">
      <w:pPr>
        <w:pStyle w:val="Heading1"/>
      </w:pPr>
      <w:bookmarkStart w:id="10" w:name="O_243522"/>
      <w:bookmarkEnd w:id="10"/>
      <w:r w:rsidRPr="001C7D17">
        <w:t>Evidence Guide</w:t>
      </w:r>
    </w:p>
    <w:tbl>
      <w:tblPr>
        <w:tblW w:w="9242" w:type="dxa"/>
        <w:tblLayout w:type="fixed"/>
        <w:tblCellMar>
          <w:left w:w="62" w:type="dxa"/>
          <w:right w:w="62" w:type="dxa"/>
        </w:tblCellMar>
        <w:tblLook w:val="0000"/>
      </w:tblPr>
      <w:tblGrid>
        <w:gridCol w:w="3781"/>
        <w:gridCol w:w="5461"/>
      </w:tblGrid>
      <w:tr w:rsidTr="00D3036E">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rPr>
                <w:rStyle w:val="SpecialBold"/>
              </w:rPr>
              <w:t>EVIDENCE GUIDE</w:t>
            </w:r>
          </w:p>
        </w:tc>
      </w:tr>
      <w:tr w:rsidTr="00D3036E">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t xml:space="preserve">The evidence guide provides advice on assessment and must be read in conjunction with the performance criteria, required skills and knowledge, </w:t>
            </w:r>
            <w:r w:rsidRPr="001C7D17">
              <w:t>range statement and the Assessment Guidelines for the Training Package.</w:t>
            </w:r>
          </w:p>
        </w:tc>
      </w:tr>
      <w:tr w:rsidTr="00D3036E">
        <w:tblPrEx>
          <w:tblW w:w="9242" w:type="dxa"/>
          <w:tblLayout w:type="fixed"/>
          <w:tblCellMar>
            <w:left w:w="62" w:type="dxa"/>
            <w:right w:w="62" w:type="dxa"/>
          </w:tblCellMar>
          <w:tblLook w:val="0000"/>
        </w:tblPrEx>
        <w:tc>
          <w:tcPr>
            <w:tcW w:w="3781"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rPr>
                <w:rStyle w:val="SpecialBold"/>
              </w:rPr>
              <w:t>Critical aspects for assessment</w:t>
            </w:r>
            <w:r w:rsidRPr="001C7D17">
              <w:t>:</w:t>
            </w:r>
          </w:p>
        </w:tc>
        <w:tc>
          <w:tcPr>
            <w:tcW w:w="5461" w:type="dxa"/>
            <w:tcBorders>
              <w:top w:val="nil"/>
              <w:left w:val="nil"/>
              <w:bottom w:val="nil"/>
              <w:right w:val="nil"/>
            </w:tcBorders>
            <w:tcMar>
              <w:top w:w="0" w:type="dxa"/>
              <w:left w:w="62" w:type="dxa"/>
              <w:bottom w:w="0" w:type="dxa"/>
              <w:right w:w="62" w:type="dxa"/>
            </w:tcMar>
          </w:tcPr>
          <w:p w:rsidR="00000000" w:rsidRPr="001C7D17" w:rsidP="001C7D17">
            <w:pPr>
              <w:pStyle w:val="BodyText"/>
            </w:pPr>
            <w:r w:rsidRPr="001C7D17">
              <w:t xml:space="preserve">To demonstrate competency in this unit, a candidate must be able to provide evidence of the application of their knowledge of OHS: </w:t>
            </w:r>
          </w:p>
          <w:p w:rsidR="00000000" w:rsidRPr="001C7D17" w:rsidP="001C7D17">
            <w:pPr>
              <w:pStyle w:val="ListBullet2"/>
            </w:pPr>
            <w:r w:rsidRPr="001C7D17">
              <w:t xml:space="preserve">in an actual or </w:t>
            </w:r>
            <w:r w:rsidRPr="001C7D17">
              <w:t>simulated workplace context involving relevant work processes</w:t>
            </w:r>
          </w:p>
          <w:p w:rsidR="00000000" w:rsidRPr="001C7D17" w:rsidP="001C7D17">
            <w:pPr>
              <w:pStyle w:val="ListBullet2"/>
            </w:pPr>
            <w:r w:rsidRPr="001C7D17">
              <w:t>to their own health and safety within their work area</w:t>
            </w:r>
          </w:p>
          <w:p w:rsidR="00000000" w:rsidRPr="001C7D17" w:rsidP="001C7D17">
            <w:pPr>
              <w:pStyle w:val="ListBullet2"/>
            </w:pPr>
            <w:r w:rsidRPr="001C7D17">
              <w:t>to that of others who may be affected by their actions</w:t>
            </w:r>
          </w:p>
          <w:p w:rsidR="00000000" w:rsidRPr="001C7D17" w:rsidP="001C7D17">
            <w:pPr>
              <w:pStyle w:val="ListBullet"/>
            </w:pPr>
            <w:r w:rsidRPr="001C7D17">
              <w:t xml:space="preserve">A candidate must also be able to provide evidence of participating in workplace </w:t>
            </w:r>
            <w:r w:rsidRPr="001C7D17">
              <w:t>OHS processes</w:t>
            </w:r>
          </w:p>
          <w:p w:rsidR="00000000" w:rsidRPr="001C7D17" w:rsidP="001C7D17">
            <w:pPr>
              <w:pStyle w:val="ListBullet"/>
            </w:pPr>
            <w:r w:rsidRPr="001C7D17">
              <w:t>Evidence gathered by an assessor to determine competence will include practical demonstration of competence, including:</w:t>
            </w:r>
          </w:p>
          <w:p w:rsidR="00000000" w:rsidRPr="001C7D17" w:rsidP="001C7D17">
            <w:pPr>
              <w:pStyle w:val="ListBullet2"/>
            </w:pPr>
            <w:r w:rsidRPr="001C7D17">
              <w:t>workplace demonstration, simulation exercise, scenario or role play</w:t>
            </w:r>
          </w:p>
          <w:p w:rsidR="00000000" w:rsidP="001C7D17">
            <w:pPr>
              <w:pStyle w:val="ListBullet2"/>
              <w:rPr>
                <w:lang w:val="en-NZ"/>
              </w:rPr>
            </w:pPr>
            <w:r w:rsidRPr="001C7D17">
              <w:t>indirect evidence from workplace supervisor reports a</w:t>
            </w:r>
            <w:r w:rsidRPr="001C7D17">
              <w:t>nd workplace documentation</w:t>
            </w:r>
          </w:p>
        </w:tc>
      </w:tr>
      <w:tr w:rsidTr="00D3036E">
        <w:tblPrEx>
          <w:tblW w:w="9242" w:type="dxa"/>
          <w:tblLayout w:type="fixed"/>
          <w:tblCellMar>
            <w:left w:w="62" w:type="dxa"/>
            <w:right w:w="62" w:type="dxa"/>
          </w:tblCellMar>
          <w:tblLook w:val="0000"/>
        </w:tblPrEx>
        <w:tc>
          <w:tcPr>
            <w:tcW w:w="3781"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rPr>
                <w:rStyle w:val="SpecialBold"/>
              </w:rPr>
              <w:t>Products that could be used as evidence include</w:t>
            </w:r>
            <w:r w:rsidRPr="001C7D17">
              <w:t>:</w:t>
            </w:r>
          </w:p>
        </w:tc>
        <w:tc>
          <w:tcPr>
            <w:tcW w:w="5461" w:type="dxa"/>
            <w:tcBorders>
              <w:top w:val="nil"/>
              <w:left w:val="nil"/>
              <w:bottom w:val="nil"/>
              <w:right w:val="nil"/>
            </w:tcBorders>
            <w:tcMar>
              <w:top w:w="0" w:type="dxa"/>
              <w:left w:w="62" w:type="dxa"/>
              <w:bottom w:w="0" w:type="dxa"/>
              <w:right w:w="62" w:type="dxa"/>
            </w:tcMar>
          </w:tcPr>
          <w:p w:rsidR="00000000" w:rsidRPr="001C7D17" w:rsidP="001C7D17">
            <w:pPr>
              <w:pStyle w:val="ListBullet"/>
            </w:pPr>
            <w:r w:rsidRPr="001C7D17">
              <w:t>Verbal and written responses to verbal, pictorial, or physical scenarios</w:t>
            </w:r>
          </w:p>
          <w:p w:rsidR="00000000" w:rsidRPr="001C7D17" w:rsidP="001C7D17">
            <w:pPr>
              <w:pStyle w:val="ListBullet"/>
            </w:pPr>
            <w:r w:rsidRPr="001C7D17">
              <w:t>Demonstrated action to scenarios, simulations, role plays</w:t>
            </w:r>
          </w:p>
          <w:p w:rsidR="00000000" w:rsidRPr="001C7D17" w:rsidP="001C7D17">
            <w:pPr>
              <w:pStyle w:val="ListBullet"/>
            </w:pPr>
            <w:r w:rsidRPr="001C7D17">
              <w:t>Completed hazard or incident reports, completed workplace inspection checklists</w:t>
            </w:r>
          </w:p>
          <w:p w:rsidR="00000000" w:rsidP="001C7D17">
            <w:pPr>
              <w:pStyle w:val="ListBullet"/>
              <w:rPr>
                <w:lang w:val="en-NZ"/>
              </w:rPr>
            </w:pPr>
            <w:r w:rsidRPr="001C7D17">
              <w:t>Reports from work group members, supervisor</w:t>
            </w:r>
          </w:p>
        </w:tc>
      </w:tr>
      <w:tr w:rsidTr="00D3036E">
        <w:tblPrEx>
          <w:tblW w:w="9242" w:type="dxa"/>
          <w:tblLayout w:type="fixed"/>
          <w:tblCellMar>
            <w:left w:w="62" w:type="dxa"/>
            <w:right w:w="62" w:type="dxa"/>
          </w:tblCellMar>
          <w:tblLook w:val="0000"/>
        </w:tblPrEx>
        <w:tc>
          <w:tcPr>
            <w:tcW w:w="3781"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rPr>
                <w:rStyle w:val="SpecialBold"/>
              </w:rPr>
              <w:t>Processes that could be used as evidence include</w:t>
            </w:r>
            <w:r w:rsidRPr="001C7D17">
              <w:t>:</w:t>
            </w:r>
          </w:p>
        </w:tc>
        <w:tc>
          <w:tcPr>
            <w:tcW w:w="5461" w:type="dxa"/>
            <w:tcBorders>
              <w:top w:val="nil"/>
              <w:left w:val="nil"/>
              <w:bottom w:val="nil"/>
              <w:right w:val="nil"/>
            </w:tcBorders>
            <w:tcMar>
              <w:top w:w="0" w:type="dxa"/>
              <w:left w:w="62" w:type="dxa"/>
              <w:bottom w:w="0" w:type="dxa"/>
              <w:right w:w="62" w:type="dxa"/>
            </w:tcMar>
          </w:tcPr>
          <w:p w:rsidR="00000000" w:rsidRPr="001C7D17" w:rsidP="001C7D17">
            <w:pPr>
              <w:pStyle w:val="ListBullet"/>
            </w:pPr>
            <w:r w:rsidRPr="001C7D17">
              <w:t>How contributions were made to consultative processes</w:t>
            </w:r>
          </w:p>
          <w:p w:rsidR="00000000" w:rsidP="001C7D17">
            <w:pPr>
              <w:pStyle w:val="ListBullet"/>
              <w:rPr>
                <w:lang w:val="en-NZ"/>
              </w:rPr>
            </w:pPr>
            <w:r w:rsidRPr="001C7D17">
              <w:t>How hazard inspections wer</w:t>
            </w:r>
            <w:r w:rsidRPr="001C7D17">
              <w:t>e carried out</w:t>
            </w:r>
          </w:p>
        </w:tc>
      </w:tr>
      <w:tr w:rsidTr="00D3036E">
        <w:tblPrEx>
          <w:tblW w:w="9242" w:type="dxa"/>
          <w:tblLayout w:type="fixed"/>
          <w:tblCellMar>
            <w:left w:w="62" w:type="dxa"/>
            <w:right w:w="62" w:type="dxa"/>
          </w:tblCellMar>
          <w:tblLook w:val="0000"/>
        </w:tblPrEx>
        <w:tc>
          <w:tcPr>
            <w:tcW w:w="3781"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rPr>
                <w:rStyle w:val="SpecialBold"/>
              </w:rPr>
              <w:t>Access and equity considerations</w:t>
            </w:r>
            <w:r w:rsidRPr="001C7D17">
              <w:t>:</w:t>
            </w:r>
          </w:p>
        </w:tc>
        <w:tc>
          <w:tcPr>
            <w:tcW w:w="5461" w:type="dxa"/>
            <w:tcBorders>
              <w:top w:val="nil"/>
              <w:left w:val="nil"/>
              <w:bottom w:val="nil"/>
              <w:right w:val="nil"/>
            </w:tcBorders>
            <w:tcMar>
              <w:top w:w="0" w:type="dxa"/>
              <w:left w:w="62" w:type="dxa"/>
              <w:bottom w:w="0" w:type="dxa"/>
              <w:right w:w="62" w:type="dxa"/>
            </w:tcMar>
          </w:tcPr>
          <w:p w:rsidR="00000000" w:rsidRPr="001C7D17" w:rsidP="001C7D17">
            <w:pPr>
              <w:pStyle w:val="ListBullet"/>
            </w:pPr>
            <w:r w:rsidRPr="001C7D17">
              <w:t>All workers should develop their ability to work in a culturally diverse environment</w:t>
            </w:r>
          </w:p>
          <w:p w:rsidR="00000000" w:rsidRPr="001C7D17" w:rsidP="001C7D17">
            <w:pPr>
              <w:pStyle w:val="ListBullet"/>
            </w:pPr>
            <w:r w:rsidRPr="001C7D17">
              <w:t>In recognition of particular health issues facing Aboriginal and Torres Strait Islander communities, workers should be aw</w:t>
            </w:r>
            <w:r w:rsidRPr="001C7D17">
              <w:t>are of cultural, historical and current issues impacting on health of Aboriginal and Torres Strait Islander people</w:t>
            </w:r>
          </w:p>
          <w:p w:rsidR="00000000" w:rsidRPr="001C7D17" w:rsidP="001C7D17">
            <w:pPr>
              <w:pStyle w:val="ListBullet"/>
            </w:pPr>
            <w:r w:rsidRPr="001C7D17">
              <w:t>Assessors and trainers must take into account relevant access and equity issues, in particular relating to factors impacting on health of Abo</w:t>
            </w:r>
            <w:r w:rsidRPr="001C7D17">
              <w:t>riginal and/or Torres Strait Islander clients and communities</w:t>
            </w:r>
          </w:p>
        </w:tc>
      </w:tr>
    </w:tbl>
    <w:p w:rsidR="00D3036E" w:rsidP="001C7D17">
      <w:pPr>
        <w:pStyle w:val="BodyText"/>
      </w:pPr>
    </w:p>
    <w:p w:rsidR="00D3036E" w:rsidP="001C7D17">
      <w:pPr>
        <w:pStyle w:val="BodyText"/>
      </w:pPr>
    </w:p>
    <w:p w:rsidR="00000000" w:rsidRPr="001C7D17" w:rsidP="001C7D17">
      <w:pPr>
        <w:pStyle w:val="Heading1"/>
      </w:pPr>
      <w:bookmarkStart w:id="11" w:name="O_251505"/>
      <w:bookmarkEnd w:id="11"/>
      <w:r w:rsidRPr="001C7D17">
        <w:t>Range Statement</w:t>
      </w:r>
    </w:p>
    <w:tbl>
      <w:tblPr>
        <w:tblW w:w="0" w:type="auto"/>
        <w:tblLayout w:type="fixed"/>
        <w:tblCellMar>
          <w:left w:w="62" w:type="dxa"/>
          <w:right w:w="62" w:type="dxa"/>
        </w:tblCellMar>
        <w:tblLook w:val="0000"/>
      </w:tblPr>
      <w:tblGrid>
        <w:gridCol w:w="3414"/>
        <w:gridCol w:w="5108"/>
      </w:tblGrid>
      <w:tr w:rsidTr="00D3036E">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rPr>
                <w:rStyle w:val="SpecialBold"/>
              </w:rPr>
              <w:t>RANGE STATEMENT</w:t>
            </w:r>
          </w:p>
        </w:tc>
      </w:tr>
      <w:tr w:rsidTr="00D3036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t>The range statement relates to the unit of competency as a whole. It allows for different work environments and situations that may affect performance. Bold italicised wording, if used in the performance criteria, is detailed below. Essential operating con</w:t>
            </w:r>
            <w:r w:rsidRPr="001C7D17">
              <w:t>ditions that may be present with training and assessment (depending on the work situation, needs of the candidate, accessibility of the item, and local industry and regional contexts) may also be included.</w:t>
            </w:r>
          </w:p>
        </w:tc>
      </w:tr>
      <w:tr w:rsidTr="00D3036E">
        <w:tblPrEx>
          <w:tblW w:w="0" w:type="auto"/>
          <w:tblLayout w:type="fixed"/>
          <w:tblCellMar>
            <w:left w:w="62" w:type="dxa"/>
            <w:right w:w="62" w:type="dxa"/>
          </w:tblCellMar>
          <w:tblLook w:val="0000"/>
        </w:tblPrEx>
        <w:tc>
          <w:tcPr>
            <w:tcW w:w="3414"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t>A hazard is:</w:t>
            </w:r>
          </w:p>
        </w:tc>
        <w:tc>
          <w:tcPr>
            <w:tcW w:w="5108"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t>a source or situation with the pote</w:t>
            </w:r>
            <w:r w:rsidRPr="001C7D17">
              <w:t>ntial for harm in terms of human injury or ill-health, damage to property, the environment, or a combination of these</w:t>
            </w:r>
          </w:p>
        </w:tc>
      </w:tr>
      <w:tr w:rsidTr="00D3036E">
        <w:tblPrEx>
          <w:tblW w:w="0" w:type="auto"/>
          <w:tblLayout w:type="fixed"/>
          <w:tblCellMar>
            <w:left w:w="62" w:type="dxa"/>
            <w:right w:w="62" w:type="dxa"/>
          </w:tblCellMar>
          <w:tblLook w:val="0000"/>
        </w:tblPrEx>
        <w:tc>
          <w:tcPr>
            <w:tcW w:w="3414"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t>Specific hazards may include, but are not limited to:</w:t>
            </w:r>
          </w:p>
        </w:tc>
        <w:tc>
          <w:tcPr>
            <w:tcW w:w="5108" w:type="dxa"/>
            <w:tcBorders>
              <w:top w:val="nil"/>
              <w:left w:val="nil"/>
              <w:bottom w:val="nil"/>
              <w:right w:val="nil"/>
            </w:tcBorders>
            <w:tcMar>
              <w:top w:w="0" w:type="dxa"/>
              <w:left w:w="62" w:type="dxa"/>
              <w:bottom w:w="0" w:type="dxa"/>
              <w:right w:w="62" w:type="dxa"/>
            </w:tcMar>
          </w:tcPr>
          <w:p w:rsidR="00000000" w:rsidRPr="001C7D17" w:rsidP="001C7D17">
            <w:pPr>
              <w:pStyle w:val="ListBullet"/>
            </w:pPr>
            <w:r w:rsidRPr="001C7D17">
              <w:t>substances e.g. chemicals, starch pulp, steam</w:t>
            </w:r>
          </w:p>
          <w:p w:rsidR="00000000" w:rsidRPr="001C7D17" w:rsidP="001C7D17">
            <w:pPr>
              <w:pStyle w:val="ListBullet"/>
            </w:pPr>
            <w:r w:rsidRPr="001C7D17">
              <w:t>noise</w:t>
            </w:r>
          </w:p>
          <w:p w:rsidR="00000000" w:rsidRPr="001C7D17" w:rsidP="001C7D17">
            <w:pPr>
              <w:pStyle w:val="ListBullet"/>
            </w:pPr>
            <w:r w:rsidRPr="001C7D17">
              <w:t>manual handling</w:t>
            </w:r>
          </w:p>
          <w:p w:rsidR="00000000" w:rsidRPr="001C7D17" w:rsidP="001C7D17">
            <w:pPr>
              <w:pStyle w:val="ListBullet"/>
            </w:pPr>
            <w:r w:rsidRPr="001C7D17">
              <w:t>ergonomics</w:t>
            </w:r>
          </w:p>
          <w:p w:rsidR="00000000" w:rsidRPr="001C7D17" w:rsidP="001C7D17">
            <w:pPr>
              <w:pStyle w:val="ListBullet"/>
            </w:pPr>
            <w:r w:rsidRPr="001C7D17">
              <w:t>underfoot hazards</w:t>
            </w:r>
          </w:p>
          <w:p w:rsidR="00000000" w:rsidRPr="001C7D17" w:rsidP="001C7D17">
            <w:pPr>
              <w:pStyle w:val="ListBullet"/>
            </w:pPr>
            <w:r w:rsidRPr="001C7D17">
              <w:t>slips and trips</w:t>
            </w:r>
          </w:p>
          <w:p w:rsidR="00000000" w:rsidRPr="001C7D17" w:rsidP="001C7D17">
            <w:pPr>
              <w:pStyle w:val="ListBullet"/>
            </w:pPr>
            <w:r w:rsidRPr="001C7D17">
              <w:t>moving parts of machinery</w:t>
            </w:r>
          </w:p>
          <w:p w:rsidR="00000000" w:rsidP="001C7D17">
            <w:pPr>
              <w:pStyle w:val="ListBullet"/>
              <w:rPr>
                <w:lang w:val="en-NZ"/>
              </w:rPr>
            </w:pPr>
            <w:r w:rsidRPr="001C7D17">
              <w:t>mobile plant</w:t>
            </w:r>
          </w:p>
        </w:tc>
      </w:tr>
      <w:tr w:rsidTr="00D3036E">
        <w:tblPrEx>
          <w:tblW w:w="0" w:type="auto"/>
          <w:tblLayout w:type="fixed"/>
          <w:tblCellMar>
            <w:left w:w="62" w:type="dxa"/>
            <w:right w:w="62" w:type="dxa"/>
          </w:tblCellMar>
          <w:tblLook w:val="0000"/>
        </w:tblPrEx>
        <w:tc>
          <w:tcPr>
            <w:tcW w:w="3414"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t>Other workplace hazards may include, but are not limited to:</w:t>
            </w:r>
          </w:p>
        </w:tc>
        <w:tc>
          <w:tcPr>
            <w:tcW w:w="5108" w:type="dxa"/>
            <w:tcBorders>
              <w:top w:val="nil"/>
              <w:left w:val="nil"/>
              <w:bottom w:val="nil"/>
              <w:right w:val="nil"/>
            </w:tcBorders>
            <w:tcMar>
              <w:top w:w="0" w:type="dxa"/>
              <w:left w:w="62" w:type="dxa"/>
              <w:bottom w:w="0" w:type="dxa"/>
              <w:right w:w="62" w:type="dxa"/>
            </w:tcMar>
          </w:tcPr>
          <w:p w:rsidR="00000000" w:rsidRPr="001C7D17" w:rsidP="001C7D17">
            <w:pPr>
              <w:pStyle w:val="ListBullet"/>
            </w:pPr>
            <w:r w:rsidRPr="001C7D17">
              <w:t>fatigue</w:t>
            </w:r>
          </w:p>
          <w:p w:rsidR="00000000" w:rsidRPr="001C7D17" w:rsidP="001C7D17">
            <w:pPr>
              <w:pStyle w:val="ListBullet"/>
            </w:pPr>
            <w:r w:rsidRPr="001C7D17">
              <w:t>stress</w:t>
            </w:r>
          </w:p>
          <w:p w:rsidR="00000000" w:rsidRPr="001C7D17" w:rsidP="001C7D17">
            <w:pPr>
              <w:pStyle w:val="ListBullet"/>
            </w:pPr>
            <w:r w:rsidRPr="001C7D17">
              <w:t xml:space="preserve">bullying </w:t>
            </w:r>
          </w:p>
          <w:p w:rsidR="00000000" w:rsidP="001C7D17">
            <w:pPr>
              <w:pStyle w:val="ListBullet"/>
              <w:rPr>
                <w:lang w:val="en-NZ"/>
              </w:rPr>
            </w:pPr>
            <w:r w:rsidRPr="001C7D17">
              <w:t>occupational violence</w:t>
            </w:r>
          </w:p>
        </w:tc>
      </w:tr>
      <w:tr w:rsidTr="00D3036E">
        <w:tblPrEx>
          <w:tblW w:w="0" w:type="auto"/>
          <w:tblLayout w:type="fixed"/>
          <w:tblCellMar>
            <w:left w:w="62" w:type="dxa"/>
            <w:right w:w="62" w:type="dxa"/>
          </w:tblCellMar>
          <w:tblLook w:val="0000"/>
        </w:tblPrEx>
        <w:tc>
          <w:tcPr>
            <w:tcW w:w="3414"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t>Risk:</w:t>
            </w:r>
          </w:p>
        </w:tc>
        <w:tc>
          <w:tcPr>
            <w:tcW w:w="5108"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t>in relation to any hazard, means the probability a</w:t>
            </w:r>
            <w:r w:rsidRPr="001C7D17">
              <w:t>nd consequences of injury, illness or damage resulting from exposure to a hazard</w:t>
            </w:r>
          </w:p>
        </w:tc>
      </w:tr>
      <w:tr w:rsidTr="00D3036E">
        <w:tblPrEx>
          <w:tblW w:w="0" w:type="auto"/>
          <w:tblLayout w:type="fixed"/>
          <w:tblCellMar>
            <w:left w:w="62" w:type="dxa"/>
            <w:right w:w="62" w:type="dxa"/>
          </w:tblCellMar>
          <w:tblLook w:val="0000"/>
        </w:tblPrEx>
        <w:tc>
          <w:tcPr>
            <w:tcW w:w="3414"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t>Residual risk is:</w:t>
            </w:r>
          </w:p>
        </w:tc>
        <w:tc>
          <w:tcPr>
            <w:tcW w:w="5108"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t>the risk which remains after controls have been implemented</w:t>
            </w:r>
          </w:p>
        </w:tc>
      </w:tr>
      <w:tr w:rsidTr="00D3036E">
        <w:tblPrEx>
          <w:tblW w:w="0" w:type="auto"/>
          <w:tblLayout w:type="fixed"/>
          <w:tblCellMar>
            <w:left w:w="62" w:type="dxa"/>
            <w:right w:w="62" w:type="dxa"/>
          </w:tblCellMar>
          <w:tblLook w:val="0000"/>
        </w:tblPrEx>
        <w:tc>
          <w:tcPr>
            <w:tcW w:w="3414"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t>Personal protective equipment (PPE) includes:</w:t>
            </w:r>
          </w:p>
        </w:tc>
        <w:tc>
          <w:tcPr>
            <w:tcW w:w="5108" w:type="dxa"/>
            <w:tcBorders>
              <w:top w:val="nil"/>
              <w:left w:val="nil"/>
              <w:bottom w:val="nil"/>
              <w:right w:val="nil"/>
            </w:tcBorders>
            <w:tcMar>
              <w:top w:w="0" w:type="dxa"/>
              <w:left w:w="62" w:type="dxa"/>
              <w:bottom w:w="0" w:type="dxa"/>
              <w:right w:w="62" w:type="dxa"/>
            </w:tcMar>
          </w:tcPr>
          <w:p w:rsidR="00000000" w:rsidRPr="001C7D17" w:rsidP="001C7D17">
            <w:pPr>
              <w:pStyle w:val="BodyText"/>
            </w:pPr>
            <w:r w:rsidRPr="001C7D17">
              <w:t xml:space="preserve">equipment worn by a person to provide protection </w:t>
            </w:r>
            <w:r w:rsidRPr="001C7D17">
              <w:t>from hazards, by providing a physical barrier between the person and the hazard and may include:</w:t>
            </w:r>
          </w:p>
          <w:p w:rsidR="00000000" w:rsidRPr="001C7D17" w:rsidP="001C7D17">
            <w:pPr>
              <w:pStyle w:val="ListBullet"/>
            </w:pPr>
            <w:r w:rsidRPr="001C7D17">
              <w:t>head protection</w:t>
            </w:r>
          </w:p>
          <w:p w:rsidR="00000000" w:rsidRPr="001C7D17" w:rsidP="001C7D17">
            <w:pPr>
              <w:pStyle w:val="ListBullet"/>
            </w:pPr>
            <w:r w:rsidRPr="001C7D17">
              <w:t>face and eye protection</w:t>
            </w:r>
          </w:p>
          <w:p w:rsidR="00000000" w:rsidRPr="001C7D17" w:rsidP="001C7D17">
            <w:pPr>
              <w:pStyle w:val="ListBullet"/>
            </w:pPr>
            <w:r w:rsidRPr="001C7D17">
              <w:t>respiratory protection</w:t>
            </w:r>
          </w:p>
          <w:p w:rsidR="00000000" w:rsidRPr="001C7D17" w:rsidP="001C7D17">
            <w:pPr>
              <w:pStyle w:val="ListBullet"/>
            </w:pPr>
            <w:r w:rsidRPr="001C7D17">
              <w:t>hearing protection</w:t>
            </w:r>
          </w:p>
          <w:p w:rsidR="00000000" w:rsidRPr="001C7D17" w:rsidP="001C7D17">
            <w:pPr>
              <w:pStyle w:val="ListBullet"/>
            </w:pPr>
            <w:r w:rsidRPr="001C7D17">
              <w:t>hand protection</w:t>
            </w:r>
          </w:p>
          <w:p w:rsidR="00000000" w:rsidP="001C7D17">
            <w:pPr>
              <w:pStyle w:val="ListBullet"/>
              <w:rPr>
                <w:lang w:val="en-NZ"/>
              </w:rPr>
            </w:pPr>
            <w:r w:rsidRPr="001C7D17">
              <w:t>clothing and footwear</w:t>
            </w:r>
          </w:p>
        </w:tc>
      </w:tr>
      <w:tr w:rsidTr="00D3036E">
        <w:tblPrEx>
          <w:tblW w:w="0" w:type="auto"/>
          <w:tblLayout w:type="fixed"/>
          <w:tblCellMar>
            <w:left w:w="62" w:type="dxa"/>
            <w:right w:w="62" w:type="dxa"/>
          </w:tblCellMar>
          <w:tblLook w:val="0000"/>
        </w:tblPrEx>
        <w:tc>
          <w:tcPr>
            <w:tcW w:w="3414"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t>Incidents include:</w:t>
            </w:r>
          </w:p>
        </w:tc>
        <w:tc>
          <w:tcPr>
            <w:tcW w:w="5108"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t>any event that has caused or has the potential for injury, ill-health or damage to property, the environment, or a combination of these</w:t>
            </w:r>
          </w:p>
        </w:tc>
      </w:tr>
      <w:tr w:rsidTr="00D3036E">
        <w:tblPrEx>
          <w:tblW w:w="0" w:type="auto"/>
          <w:tblLayout w:type="fixed"/>
          <w:tblCellMar>
            <w:left w:w="62" w:type="dxa"/>
            <w:right w:w="62" w:type="dxa"/>
          </w:tblCellMar>
          <w:tblLook w:val="0000"/>
        </w:tblPrEx>
        <w:tc>
          <w:tcPr>
            <w:tcW w:w="3414"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t>Designated personnel may include:</w:t>
            </w:r>
          </w:p>
        </w:tc>
        <w:tc>
          <w:tcPr>
            <w:tcW w:w="5108" w:type="dxa"/>
            <w:tcBorders>
              <w:top w:val="nil"/>
              <w:left w:val="nil"/>
              <w:bottom w:val="nil"/>
              <w:right w:val="nil"/>
            </w:tcBorders>
            <w:tcMar>
              <w:top w:w="0" w:type="dxa"/>
              <w:left w:w="62" w:type="dxa"/>
              <w:bottom w:w="0" w:type="dxa"/>
              <w:right w:w="62" w:type="dxa"/>
            </w:tcMar>
          </w:tcPr>
          <w:p w:rsidR="00000000" w:rsidRPr="001C7D17" w:rsidP="001C7D17">
            <w:pPr>
              <w:pStyle w:val="ListBullet"/>
            </w:pPr>
            <w:r w:rsidRPr="001C7D17">
              <w:t>team leaders</w:t>
            </w:r>
          </w:p>
          <w:p w:rsidR="00000000" w:rsidRPr="001C7D17" w:rsidP="001C7D17">
            <w:pPr>
              <w:pStyle w:val="ListBullet"/>
            </w:pPr>
            <w:r w:rsidRPr="001C7D17">
              <w:t>supervisors</w:t>
            </w:r>
          </w:p>
          <w:p w:rsidR="00000000" w:rsidRPr="001C7D17" w:rsidP="001C7D17">
            <w:pPr>
              <w:pStyle w:val="ListBullet"/>
            </w:pPr>
            <w:r w:rsidRPr="001C7D17">
              <w:t>OHS representatives</w:t>
            </w:r>
          </w:p>
          <w:p w:rsidR="00000000" w:rsidRPr="001C7D17" w:rsidP="001C7D17">
            <w:pPr>
              <w:pStyle w:val="ListBullet"/>
            </w:pPr>
            <w:r w:rsidRPr="001C7D17">
              <w:t>OHS committee members</w:t>
            </w:r>
          </w:p>
          <w:p w:rsidR="00000000" w:rsidRPr="001C7D17" w:rsidP="001C7D17">
            <w:pPr>
              <w:pStyle w:val="ListBullet"/>
            </w:pPr>
            <w:r w:rsidRPr="001C7D17">
              <w:t>managers</w:t>
            </w:r>
          </w:p>
          <w:p w:rsidR="00000000" w:rsidRPr="001C7D17" w:rsidP="001C7D17">
            <w:pPr>
              <w:pStyle w:val="ListBullet"/>
            </w:pPr>
            <w:r w:rsidRPr="001C7D17">
              <w:t>organisa</w:t>
            </w:r>
            <w:r w:rsidRPr="001C7D17">
              <w:t>tion OHS personnel</w:t>
            </w:r>
          </w:p>
          <w:p w:rsidR="00000000" w:rsidRPr="001C7D17" w:rsidP="001C7D17">
            <w:pPr>
              <w:pStyle w:val="ListBullet"/>
            </w:pPr>
            <w:r w:rsidRPr="001C7D17">
              <w:t>other persons designated by the organisation</w:t>
            </w:r>
          </w:p>
          <w:p w:rsidR="00000000" w:rsidP="001C7D17">
            <w:pPr>
              <w:pStyle w:val="ListBullet"/>
              <w:rPr>
                <w:lang w:val="en-NZ"/>
              </w:rPr>
            </w:pPr>
            <w:r w:rsidRPr="001C7D17">
              <w:t>employers in office based practice</w:t>
            </w:r>
          </w:p>
        </w:tc>
      </w:tr>
      <w:tr w:rsidTr="00D3036E">
        <w:tblPrEx>
          <w:tblW w:w="0" w:type="auto"/>
          <w:tblLayout w:type="fixed"/>
          <w:tblCellMar>
            <w:left w:w="62" w:type="dxa"/>
            <w:right w:w="62" w:type="dxa"/>
          </w:tblCellMar>
          <w:tblLook w:val="0000"/>
        </w:tblPrEx>
        <w:tc>
          <w:tcPr>
            <w:tcW w:w="3414"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t>OHS housekeeping includes:</w:t>
            </w:r>
          </w:p>
        </w:tc>
        <w:tc>
          <w:tcPr>
            <w:tcW w:w="5108"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t>workplace and personal routines designed to improve health and safety; for example, cleaning up spills; keeping walkways, exits and traffic areas clear</w:t>
            </w:r>
          </w:p>
        </w:tc>
      </w:tr>
      <w:tr w:rsidTr="00D3036E">
        <w:tblPrEx>
          <w:tblW w:w="0" w:type="auto"/>
          <w:tblLayout w:type="fixed"/>
          <w:tblCellMar>
            <w:left w:w="62" w:type="dxa"/>
            <w:right w:w="62" w:type="dxa"/>
          </w:tblCellMar>
          <w:tblLook w:val="0000"/>
        </w:tblPrEx>
        <w:tc>
          <w:tcPr>
            <w:tcW w:w="3414" w:type="dxa"/>
            <w:tcBorders>
              <w:top w:val="nil"/>
              <w:left w:val="nil"/>
              <w:bottom w:val="nil"/>
              <w:right w:val="nil"/>
            </w:tcBorders>
            <w:tcMar>
              <w:top w:w="0" w:type="dxa"/>
              <w:left w:w="62" w:type="dxa"/>
              <w:bottom w:w="0" w:type="dxa"/>
              <w:right w:w="62" w:type="dxa"/>
            </w:tcMar>
          </w:tcPr>
          <w:p w:rsidR="00000000" w:rsidP="001C7D17">
            <w:pPr>
              <w:pStyle w:val="BodyText"/>
              <w:rPr>
                <w:lang w:val="en-NZ"/>
              </w:rPr>
            </w:pPr>
            <w:r w:rsidRPr="001C7D17">
              <w:t>Emergency situations may include:</w:t>
            </w:r>
          </w:p>
        </w:tc>
        <w:tc>
          <w:tcPr>
            <w:tcW w:w="5108" w:type="dxa"/>
            <w:tcBorders>
              <w:top w:val="nil"/>
              <w:left w:val="nil"/>
              <w:bottom w:val="nil"/>
              <w:right w:val="nil"/>
            </w:tcBorders>
            <w:tcMar>
              <w:top w:w="0" w:type="dxa"/>
              <w:left w:w="62" w:type="dxa"/>
              <w:bottom w:w="0" w:type="dxa"/>
              <w:right w:w="62" w:type="dxa"/>
            </w:tcMar>
          </w:tcPr>
          <w:p w:rsidR="00000000" w:rsidRPr="001C7D17" w:rsidP="001C7D17">
            <w:pPr>
              <w:pStyle w:val="BodyText"/>
            </w:pPr>
            <w:r w:rsidRPr="001C7D17">
              <w:t>any abnormal or sudden event that requires immediate action such as:</w:t>
            </w:r>
          </w:p>
          <w:p w:rsidR="00000000" w:rsidRPr="001C7D17" w:rsidP="001C7D17">
            <w:pPr>
              <w:pStyle w:val="ListBullet"/>
            </w:pPr>
            <w:r w:rsidRPr="001C7D17">
              <w:t>serious injury events</w:t>
            </w:r>
          </w:p>
          <w:p w:rsidR="00000000" w:rsidRPr="001C7D17" w:rsidP="001C7D17">
            <w:pPr>
              <w:pStyle w:val="ListBullet"/>
            </w:pPr>
            <w:r w:rsidRPr="001C7D17">
              <w:t>events requiring evacuation</w:t>
            </w:r>
          </w:p>
          <w:p w:rsidR="00000000" w:rsidRPr="001C7D17" w:rsidP="001C7D17">
            <w:pPr>
              <w:pStyle w:val="ListBullet"/>
            </w:pPr>
            <w:r w:rsidRPr="001C7D17">
              <w:t>fires and explosions</w:t>
            </w:r>
          </w:p>
          <w:p w:rsidR="00000000" w:rsidRPr="001C7D17" w:rsidP="001C7D17">
            <w:pPr>
              <w:pStyle w:val="ListBullet"/>
            </w:pPr>
            <w:r w:rsidRPr="001C7D17">
              <w:t xml:space="preserve">hazardous substance and chemical spills </w:t>
            </w:r>
          </w:p>
          <w:p w:rsidR="00000000" w:rsidRPr="001C7D17" w:rsidP="001C7D17">
            <w:pPr>
              <w:pStyle w:val="ListBullet"/>
            </w:pPr>
            <w:r w:rsidRPr="001C7D17">
              <w:t>explosion and bomb alerts</w:t>
            </w:r>
          </w:p>
          <w:p w:rsidR="00000000" w:rsidRPr="001C7D17" w:rsidP="001C7D17">
            <w:pPr>
              <w:pStyle w:val="ListBullet"/>
            </w:pPr>
            <w:r w:rsidRPr="001C7D17">
              <w:t>security emergencies, such as armed robberies, intruders and disturbed persons</w:t>
            </w:r>
          </w:p>
          <w:p w:rsidR="00000000" w:rsidRPr="001C7D17" w:rsidP="001C7D17">
            <w:pPr>
              <w:pStyle w:val="ListBullet"/>
            </w:pPr>
            <w:r w:rsidRPr="001C7D17">
              <w:t xml:space="preserve">internal emergencies, such as loss of </w:t>
            </w:r>
            <w:r w:rsidRPr="001C7D17">
              <w:t>power or water supply and structural collapse</w:t>
            </w:r>
          </w:p>
          <w:p w:rsidR="00000000" w:rsidRPr="001C7D17" w:rsidP="001C7D17">
            <w:pPr>
              <w:pStyle w:val="ListBullet"/>
            </w:pPr>
            <w:r w:rsidRPr="001C7D17">
              <w:t>external emergencies and natural disasters, such as flood, storm and traffic accident impacting on the organisation</w:t>
            </w:r>
          </w:p>
        </w:tc>
      </w:tr>
    </w:tbl>
    <w:p w:rsidR="00D3036E" w:rsidP="001C7D17">
      <w:pPr>
        <w:pStyle w:val="BodyText"/>
      </w:pPr>
    </w:p>
    <w:p w:rsidR="00D3036E" w:rsidP="001C7D17">
      <w:pPr>
        <w:pStyle w:val="BodyText"/>
      </w:pPr>
    </w:p>
    <w:p w:rsidR="00000000" w:rsidRPr="001C7D17" w:rsidP="001C7D17">
      <w:pPr>
        <w:pStyle w:val="Heading1"/>
      </w:pPr>
      <w:bookmarkStart w:id="12" w:name="O_294731"/>
      <w:bookmarkEnd w:id="12"/>
      <w:r w:rsidRPr="001C7D17">
        <w:t>Unit Sector(s)</w:t>
      </w:r>
    </w:p>
    <w:p w:rsidR="00000000" w:rsidRPr="001C7D17" w:rsidP="001C7D17">
      <w:pPr>
        <w:pStyle w:val="BodyText"/>
      </w:pPr>
      <w:r w:rsidRPr="001C7D17">
        <w:t>Not Applicable</w:t>
      </w:r>
    </w:p>
    <w:p w:rsidR="00000000" w:rsidRPr="001C7D17" w:rsidP="001C7D17"/>
    <w:sectPr w:rsidSect="001C7D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D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036E" w:rsidP="00D303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D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36E" w:rsidP="001C7D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3036E" w:rsidP="001C7D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3036E" w:rsidP="001C7D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D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036E" w:rsidP="00D303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D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36E" w:rsidP="001C7D17">
    <w:pPr>
      <w:pStyle w:val="Header"/>
      <w:framePr w:wrap="around"/>
    </w:pPr>
    <w:r>
      <w:fldChar w:fldCharType="begin"/>
    </w:r>
    <w:r>
      <w:instrText xml:space="preserve"> TITLE   \* MERGEFORMAT </w:instrText>
    </w:r>
    <w:r>
      <w:fldChar w:fldCharType="separate"/>
    </w:r>
    <w:r>
      <w:t>FPPOHS210A Participate in OHS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3036E" w:rsidP="001C7D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C4B1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104D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3C27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D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7D17"/>
    <w:pPr>
      <w:spacing w:before="360" w:after="60"/>
      <w:outlineLvl w:val="0"/>
    </w:pPr>
    <w:rPr>
      <w:sz w:val="32"/>
    </w:rPr>
  </w:style>
  <w:style w:type="paragraph" w:styleId="Heading2">
    <w:name w:val="heading 2"/>
    <w:basedOn w:val="HeadingBase"/>
    <w:next w:val="BodyText"/>
    <w:link w:val="Heading2Char"/>
    <w:qFormat/>
    <w:rsid w:val="001C7D17"/>
    <w:pPr>
      <w:keepLines/>
      <w:spacing w:before="240" w:after="120"/>
      <w:outlineLvl w:val="1"/>
    </w:pPr>
    <w:rPr>
      <w:sz w:val="28"/>
      <w:szCs w:val="40"/>
    </w:rPr>
  </w:style>
  <w:style w:type="paragraph" w:styleId="Heading3">
    <w:name w:val="heading 3"/>
    <w:basedOn w:val="HeadingBase"/>
    <w:next w:val="BodyText"/>
    <w:link w:val="Heading3Char"/>
    <w:qFormat/>
    <w:rsid w:val="001C7D17"/>
    <w:pPr>
      <w:spacing w:before="180" w:after="120"/>
      <w:outlineLvl w:val="2"/>
    </w:pPr>
    <w:rPr>
      <w:spacing w:val="-10"/>
      <w:kern w:val="32"/>
    </w:rPr>
  </w:style>
  <w:style w:type="paragraph" w:styleId="Heading4">
    <w:name w:val="heading 4"/>
    <w:basedOn w:val="HeadingBase"/>
    <w:next w:val="BodyText"/>
    <w:link w:val="Heading4Char"/>
    <w:qFormat/>
    <w:rsid w:val="001C7D17"/>
    <w:pPr>
      <w:spacing w:before="160" w:after="120"/>
      <w:outlineLvl w:val="3"/>
    </w:pPr>
    <w:rPr>
      <w:sz w:val="22"/>
    </w:rPr>
  </w:style>
  <w:style w:type="paragraph" w:styleId="Heading5">
    <w:name w:val="heading 5"/>
    <w:basedOn w:val="HeadingBase"/>
    <w:next w:val="Normal"/>
    <w:link w:val="Heading5Char"/>
    <w:qFormat/>
    <w:rsid w:val="001C7D17"/>
    <w:pPr>
      <w:spacing w:before="80"/>
      <w:outlineLvl w:val="4"/>
    </w:pPr>
    <w:rPr>
      <w:color w:val="918585"/>
      <w:sz w:val="20"/>
    </w:rPr>
  </w:style>
  <w:style w:type="paragraph" w:styleId="Heading6">
    <w:name w:val="heading 6"/>
    <w:basedOn w:val="HeadingBase"/>
    <w:next w:val="Normal"/>
    <w:link w:val="Heading6Char"/>
    <w:qFormat/>
    <w:rsid w:val="001C7D17"/>
    <w:pPr>
      <w:spacing w:before="60"/>
      <w:outlineLvl w:val="5"/>
    </w:pPr>
    <w:rPr>
      <w:color w:val="918585"/>
      <w:sz w:val="20"/>
    </w:rPr>
  </w:style>
  <w:style w:type="paragraph" w:styleId="Heading7">
    <w:name w:val="heading 7"/>
    <w:basedOn w:val="Normal"/>
    <w:next w:val="Normal"/>
    <w:link w:val="Heading7Char"/>
    <w:qFormat/>
    <w:rsid w:val="001C7D17"/>
    <w:pPr>
      <w:ind w:left="720"/>
      <w:outlineLvl w:val="6"/>
    </w:pPr>
    <w:rPr>
      <w:i/>
    </w:rPr>
  </w:style>
  <w:style w:type="paragraph" w:styleId="Heading8">
    <w:name w:val="heading 8"/>
    <w:basedOn w:val="Normal"/>
    <w:next w:val="Normal"/>
    <w:link w:val="Heading8Char"/>
    <w:qFormat/>
    <w:rsid w:val="001C7D17"/>
    <w:pPr>
      <w:ind w:left="720"/>
      <w:outlineLvl w:val="7"/>
    </w:pPr>
    <w:rPr>
      <w:i/>
    </w:rPr>
  </w:style>
  <w:style w:type="paragraph" w:styleId="Heading9">
    <w:name w:val="heading 9"/>
    <w:basedOn w:val="Normal"/>
    <w:next w:val="Normal"/>
    <w:link w:val="Heading9Char"/>
    <w:qFormat/>
    <w:rsid w:val="001C7D17"/>
    <w:pPr>
      <w:ind w:left="720"/>
      <w:outlineLvl w:val="8"/>
    </w:pPr>
    <w:rPr>
      <w:i/>
    </w:rPr>
  </w:style>
  <w:style w:type="character" w:default="1" w:styleId="DefaultParagraphFont">
    <w:name w:val="Default Paragraph Font"/>
    <w:uiPriority w:val="1"/>
    <w:unhideWhenUsed/>
    <w:rsid w:val="001C7D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7D17"/>
  </w:style>
  <w:style w:type="character" w:customStyle="1" w:styleId="Heading1Char">
    <w:name w:val="Heading 1 Char"/>
    <w:basedOn w:val="DefaultParagraphFont"/>
    <w:link w:val="Heading1"/>
    <w:rsid w:val="001C7D17"/>
    <w:rPr>
      <w:rFonts w:ascii="Times New Roman" w:eastAsia="Times New Roman" w:hAnsi="Times New Roman" w:cs="Times New Roman"/>
      <w:b/>
      <w:sz w:val="32"/>
      <w:szCs w:val="20"/>
      <w:lang w:eastAsia="en-US"/>
    </w:rPr>
  </w:style>
  <w:style w:type="paragraph" w:styleId="BodyText">
    <w:name w:val="Body Text"/>
    <w:basedOn w:val="Normal"/>
    <w:link w:val="BodyTextChar"/>
    <w:rsid w:val="001C7D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7D17"/>
    <w:rPr>
      <w:rFonts w:ascii="Times New Roman" w:eastAsia="Times New Roman" w:hAnsi="Times New Roman" w:cs="Times New Roman"/>
      <w:sz w:val="24"/>
      <w:lang w:val="en-US" w:eastAsia="en-US"/>
    </w:rPr>
  </w:style>
  <w:style w:type="paragraph" w:styleId="Footer">
    <w:name w:val="footer"/>
    <w:basedOn w:val="Normal"/>
    <w:link w:val="FooterChar"/>
    <w:rsid w:val="001C7D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7D17"/>
    <w:rPr>
      <w:rFonts w:ascii="Times New Roman" w:eastAsia="Times New Roman" w:hAnsi="Times New Roman" w:cs="Times New Roman"/>
      <w:sz w:val="16"/>
      <w:lang w:val="en-US" w:eastAsia="en-US"/>
    </w:rPr>
  </w:style>
  <w:style w:type="paragraph" w:styleId="List">
    <w:name w:val="List"/>
    <w:basedOn w:val="BodyText"/>
    <w:next w:val="BodyText"/>
    <w:rsid w:val="001C7D17"/>
    <w:pPr>
      <w:tabs>
        <w:tab w:val="left" w:pos="340"/>
      </w:tabs>
      <w:spacing w:before="60" w:after="60"/>
      <w:ind w:left="340" w:hanging="340"/>
    </w:pPr>
  </w:style>
  <w:style w:type="paragraph" w:styleId="ListBullet">
    <w:name w:val="List Bullet"/>
    <w:basedOn w:val="List"/>
    <w:rsid w:val="001C7D17"/>
    <w:pPr>
      <w:numPr>
        <w:numId w:val="13"/>
      </w:numPr>
      <w:tabs>
        <w:tab w:val="clear" w:pos="340"/>
      </w:tabs>
      <w:spacing w:before="40" w:after="40"/>
    </w:pPr>
  </w:style>
  <w:style w:type="character" w:customStyle="1" w:styleId="SpecialBold">
    <w:name w:val="Special Bold"/>
    <w:basedOn w:val="DefaultParagraphFont"/>
    <w:rsid w:val="001C7D17"/>
    <w:rPr>
      <w:b/>
      <w:spacing w:val="0"/>
    </w:rPr>
  </w:style>
  <w:style w:type="paragraph" w:styleId="ListBullet2">
    <w:name w:val="List Bullet 2"/>
    <w:basedOn w:val="List2"/>
    <w:rsid w:val="001C7D17"/>
    <w:pPr>
      <w:numPr>
        <w:numId w:val="14"/>
      </w:numPr>
      <w:tabs>
        <w:tab w:val="clear" w:pos="680"/>
      </w:tabs>
    </w:pPr>
  </w:style>
  <w:style w:type="paragraph" w:styleId="Header">
    <w:name w:val="header"/>
    <w:basedOn w:val="Normal"/>
    <w:link w:val="HeaderChar"/>
    <w:rsid w:val="001C7D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7D1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C7D17"/>
    <w:rPr>
      <w:i/>
    </w:rPr>
  </w:style>
  <w:style w:type="paragraph" w:customStyle="1" w:styleId="SuperHeading">
    <w:name w:val="SuperHeading"/>
    <w:basedOn w:val="Normal"/>
    <w:rsid w:val="001C7D17"/>
    <w:pPr>
      <w:spacing w:before="240" w:after="120"/>
      <w:outlineLvl w:val="0"/>
    </w:pPr>
    <w:rPr>
      <w:rFonts w:ascii="Times New Roman" w:hAnsi="Times New Roman"/>
      <w:b/>
      <w:sz w:val="28"/>
    </w:rPr>
  </w:style>
  <w:style w:type="paragraph" w:customStyle="1" w:styleId="AllowPageBreak">
    <w:name w:val="AllowPageBreak"/>
    <w:rsid w:val="001C7D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7D17"/>
    <w:pPr>
      <w:tabs>
        <w:tab w:val="left" w:pos="680"/>
      </w:tabs>
      <w:spacing w:before="60" w:after="60"/>
      <w:ind w:left="680" w:hanging="340"/>
    </w:pPr>
  </w:style>
  <w:style w:type="character" w:customStyle="1" w:styleId="Heading2Char">
    <w:name w:val="Heading 2 Char"/>
    <w:basedOn w:val="DefaultParagraphFont"/>
    <w:link w:val="Heading2"/>
    <w:rsid w:val="001C7D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7D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7D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7D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7D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7D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7D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7D17"/>
    <w:rPr>
      <w:rFonts w:ascii="Courier New" w:eastAsia="Times New Roman" w:hAnsi="Courier New" w:cs="Times New Roman"/>
      <w:i/>
      <w:szCs w:val="20"/>
      <w:lang w:val="en-US" w:eastAsia="en-US"/>
    </w:rPr>
  </w:style>
  <w:style w:type="paragraph" w:customStyle="1" w:styleId="HeadingBase">
    <w:name w:val="Heading Base"/>
    <w:rsid w:val="001C7D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7D17"/>
    <w:pPr>
      <w:tabs>
        <w:tab w:val="right" w:leader="dot" w:pos="9072"/>
      </w:tabs>
      <w:ind w:left="567"/>
    </w:pPr>
    <w:rPr>
      <w:szCs w:val="22"/>
    </w:rPr>
  </w:style>
  <w:style w:type="paragraph" w:customStyle="1" w:styleId="TOCBase">
    <w:name w:val="TOC Base"/>
    <w:rsid w:val="001C7D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7D17"/>
    <w:pPr>
      <w:tabs>
        <w:tab w:val="right" w:leader="dot" w:pos="9072"/>
      </w:tabs>
      <w:spacing w:before="40" w:after="40"/>
      <w:ind w:left="284"/>
    </w:pPr>
    <w:rPr>
      <w:rFonts w:ascii="Times New Roman" w:hAnsi="Times New Roman"/>
    </w:rPr>
  </w:style>
  <w:style w:type="paragraph" w:styleId="TOC1">
    <w:name w:val="toc 1"/>
    <w:basedOn w:val="TOCBase"/>
    <w:next w:val="Normal"/>
    <w:rsid w:val="001C7D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7D17"/>
    <w:pPr>
      <w:spacing w:before="5040"/>
      <w:jc w:val="center"/>
    </w:pPr>
    <w:rPr>
      <w:sz w:val="48"/>
      <w:szCs w:val="72"/>
      <w:lang w:val="en-US"/>
    </w:rPr>
  </w:style>
  <w:style w:type="character" w:customStyle="1" w:styleId="TitleChar">
    <w:name w:val="Title Char"/>
    <w:basedOn w:val="DefaultParagraphFont"/>
    <w:link w:val="Title"/>
    <w:rsid w:val="001C7D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7D17"/>
    <w:pPr>
      <w:tabs>
        <w:tab w:val="left" w:pos="3600"/>
        <w:tab w:val="left" w:pos="3958"/>
      </w:tabs>
    </w:pPr>
  </w:style>
  <w:style w:type="paragraph" w:customStyle="1" w:styleId="Note">
    <w:name w:val="Note"/>
    <w:basedOn w:val="BodyText"/>
    <w:rsid w:val="001C7D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7D17"/>
    <w:pPr>
      <w:framePr w:wrap="auto" w:hAnchor="text" w:y="6049"/>
    </w:pPr>
    <w:rPr>
      <w:color w:val="000000"/>
      <w:sz w:val="40"/>
    </w:rPr>
  </w:style>
  <w:style w:type="paragraph" w:customStyle="1" w:styleId="TOCTitle">
    <w:name w:val="TOCTitle"/>
    <w:basedOn w:val="Heading1"/>
    <w:rsid w:val="001C7D17"/>
    <w:pPr>
      <w:spacing w:after="240"/>
      <w:jc w:val="center"/>
      <w:outlineLvl w:val="9"/>
    </w:pPr>
    <w:rPr>
      <w:caps/>
    </w:rPr>
  </w:style>
  <w:style w:type="paragraph" w:customStyle="1" w:styleId="Version">
    <w:name w:val="Version"/>
    <w:rsid w:val="001C7D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7D17"/>
    <w:pPr>
      <w:keepNext w:val="0"/>
      <w:tabs>
        <w:tab w:val="right" w:pos="4176"/>
      </w:tabs>
      <w:ind w:left="198" w:hanging="198"/>
    </w:pPr>
    <w:rPr>
      <w:rFonts w:ascii="Garamond" w:hAnsi="Garamond"/>
    </w:rPr>
  </w:style>
  <w:style w:type="paragraph" w:styleId="IndexHeading">
    <w:name w:val="index heading"/>
    <w:basedOn w:val="Normal"/>
    <w:next w:val="Index1"/>
    <w:semiHidden/>
    <w:rsid w:val="001C7D17"/>
    <w:pPr>
      <w:spacing w:before="120" w:after="120"/>
    </w:pPr>
    <w:rPr>
      <w:rFonts w:ascii="Arial" w:hAnsi="Arial"/>
      <w:b/>
      <w:color w:val="918585"/>
      <w:sz w:val="24"/>
    </w:rPr>
  </w:style>
  <w:style w:type="paragraph" w:customStyle="1" w:styleId="Chapter">
    <w:name w:val="Chapter"/>
    <w:basedOn w:val="Normal"/>
    <w:rsid w:val="001C7D17"/>
    <w:pPr>
      <w:spacing w:before="240"/>
    </w:pPr>
    <w:rPr>
      <w:rFonts w:ascii="Times New Roman" w:hAnsi="Times New Roman"/>
      <w:smallCaps/>
      <w:spacing w:val="80"/>
      <w:sz w:val="28"/>
    </w:rPr>
  </w:style>
  <w:style w:type="paragraph" w:customStyle="1" w:styleId="InChapter">
    <w:name w:val="InChapter"/>
    <w:basedOn w:val="Heading3"/>
    <w:rsid w:val="001C7D17"/>
    <w:pPr>
      <w:spacing w:after="240"/>
      <w:outlineLvl w:val="9"/>
    </w:pPr>
    <w:rPr>
      <w:noProof/>
    </w:rPr>
  </w:style>
  <w:style w:type="paragraph" w:styleId="Index2">
    <w:name w:val="index 2"/>
    <w:basedOn w:val="Normal"/>
    <w:next w:val="Normal"/>
    <w:semiHidden/>
    <w:rsid w:val="001C7D17"/>
    <w:pPr>
      <w:tabs>
        <w:tab w:val="right" w:pos="4176"/>
      </w:tabs>
      <w:ind w:left="568" w:hanging="284"/>
    </w:pPr>
    <w:rPr>
      <w:rFonts w:ascii="Garamond" w:hAnsi="Garamond"/>
    </w:rPr>
  </w:style>
  <w:style w:type="paragraph" w:customStyle="1" w:styleId="Byline">
    <w:name w:val="Byline"/>
    <w:rsid w:val="001C7D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7D17"/>
    <w:pPr>
      <w:tabs>
        <w:tab w:val="clear" w:pos="3600"/>
        <w:tab w:val="clear" w:pos="3958"/>
      </w:tabs>
      <w:jc w:val="right"/>
    </w:pPr>
  </w:style>
  <w:style w:type="paragraph" w:styleId="Caption">
    <w:name w:val="caption"/>
    <w:basedOn w:val="BodyText"/>
    <w:next w:val="Normal"/>
    <w:qFormat/>
    <w:rsid w:val="001C7D17"/>
    <w:pPr>
      <w:framePr w:w="2268" w:hSpace="181" w:vSpace="181" w:wrap="around" w:vAnchor="text" w:hAnchor="page" w:x="1135" w:y="285" w:anchorLock="1"/>
    </w:pPr>
    <w:rPr>
      <w:i/>
    </w:rPr>
  </w:style>
  <w:style w:type="paragraph" w:customStyle="1" w:styleId="MiniTOCTitle">
    <w:name w:val="MiniTOCTitle"/>
    <w:basedOn w:val="Heading4"/>
    <w:rsid w:val="001C7D17"/>
    <w:pPr>
      <w:spacing w:before="240"/>
      <w:outlineLvl w:val="9"/>
    </w:pPr>
    <w:rPr>
      <w:noProof/>
      <w:sz w:val="24"/>
    </w:rPr>
  </w:style>
  <w:style w:type="paragraph" w:customStyle="1" w:styleId="MiniTOCItem">
    <w:name w:val="MiniTOCItem"/>
    <w:basedOn w:val="ListBullet"/>
    <w:rsid w:val="001C7D17"/>
    <w:pPr>
      <w:numPr>
        <w:numId w:val="0"/>
      </w:numPr>
      <w:tabs>
        <w:tab w:val="right" w:leader="dot" w:pos="6521"/>
      </w:tabs>
      <w:spacing w:before="0" w:after="0"/>
    </w:pPr>
  </w:style>
  <w:style w:type="paragraph" w:customStyle="1" w:styleId="TOFTitle">
    <w:name w:val="TOFTitle"/>
    <w:basedOn w:val="TOCTitle"/>
    <w:rsid w:val="001C7D17"/>
  </w:style>
  <w:style w:type="paragraph" w:styleId="TableofFigures">
    <w:name w:val="table of figures"/>
    <w:basedOn w:val="Normal"/>
    <w:next w:val="Normal"/>
    <w:semiHidden/>
    <w:rsid w:val="001C7D17"/>
    <w:pPr>
      <w:tabs>
        <w:tab w:val="right" w:leader="dot" w:pos="9072"/>
      </w:tabs>
      <w:ind w:left="970" w:hanging="403"/>
    </w:pPr>
    <w:rPr>
      <w:rFonts w:ascii="Times New Roman" w:hAnsi="Times New Roman"/>
      <w:b/>
    </w:rPr>
  </w:style>
  <w:style w:type="paragraph" w:styleId="ListNumber">
    <w:name w:val="List Number"/>
    <w:basedOn w:val="List"/>
    <w:rsid w:val="001C7D17"/>
    <w:pPr>
      <w:numPr>
        <w:numId w:val="11"/>
      </w:numPr>
    </w:pPr>
  </w:style>
  <w:style w:type="character" w:customStyle="1" w:styleId="WingdingSymbols">
    <w:name w:val="Wingding Symbols"/>
    <w:rsid w:val="001C7D17"/>
    <w:rPr>
      <w:rFonts w:ascii="Wingdings" w:hAnsi="Wingdings"/>
    </w:rPr>
  </w:style>
  <w:style w:type="paragraph" w:customStyle="1" w:styleId="TableHeading">
    <w:name w:val="Table Heading"/>
    <w:basedOn w:val="HeadingBase"/>
    <w:rsid w:val="001C7D17"/>
    <w:pPr>
      <w:keepLines/>
      <w:pBdr>
        <w:bottom w:val="single" w:sz="6" w:space="1" w:color="918585"/>
      </w:pBdr>
      <w:spacing w:before="240"/>
    </w:pPr>
  </w:style>
  <w:style w:type="character" w:customStyle="1" w:styleId="HotSpot">
    <w:name w:val="HotSpot"/>
    <w:rsid w:val="001C7D17"/>
    <w:rPr>
      <w:color w:val="0033CC"/>
      <w:u w:val="none"/>
    </w:rPr>
  </w:style>
  <w:style w:type="paragraph" w:customStyle="1" w:styleId="BodyTextRight">
    <w:name w:val="Body Text Right"/>
    <w:basedOn w:val="BodyText"/>
    <w:rsid w:val="001C7D17"/>
    <w:pPr>
      <w:spacing w:before="0" w:after="0"/>
      <w:jc w:val="right"/>
    </w:pPr>
  </w:style>
  <w:style w:type="paragraph" w:styleId="Index3">
    <w:name w:val="index 3"/>
    <w:basedOn w:val="ListNumber2"/>
    <w:next w:val="Normal"/>
    <w:semiHidden/>
    <w:rsid w:val="001C7D17"/>
    <w:pPr>
      <w:numPr>
        <w:numId w:val="0"/>
      </w:numPr>
      <w:tabs>
        <w:tab w:val="right" w:leader="dot" w:pos="4176"/>
      </w:tabs>
    </w:pPr>
  </w:style>
  <w:style w:type="paragraph" w:styleId="ListNumber2">
    <w:name w:val="List Number 2"/>
    <w:basedOn w:val="List2"/>
    <w:rsid w:val="001C7D17"/>
    <w:pPr>
      <w:numPr>
        <w:numId w:val="10"/>
      </w:numPr>
      <w:tabs>
        <w:tab w:val="clear" w:pos="1060"/>
      </w:tabs>
    </w:pPr>
  </w:style>
  <w:style w:type="paragraph" w:customStyle="1" w:styleId="MarginNote">
    <w:name w:val="Margin Note"/>
    <w:basedOn w:val="BodyText"/>
    <w:rsid w:val="001C7D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7D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7D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7D17"/>
    <w:rPr>
      <w:sz w:val="32"/>
    </w:rPr>
  </w:style>
  <w:style w:type="paragraph" w:customStyle="1" w:styleId="HeadingProcedure">
    <w:name w:val="Heading Procedure"/>
    <w:basedOn w:val="HeadingBase"/>
    <w:next w:val="Normal"/>
    <w:rsid w:val="001C7D17"/>
    <w:pPr>
      <w:tabs>
        <w:tab w:val="left" w:pos="0"/>
      </w:tabs>
      <w:spacing w:before="120" w:after="60"/>
    </w:pPr>
    <w:rPr>
      <w:i/>
      <w:color w:val="918585"/>
      <w:sz w:val="22"/>
    </w:rPr>
  </w:style>
  <w:style w:type="paragraph" w:customStyle="1" w:styleId="TableBodyText">
    <w:name w:val="Table Body Text"/>
    <w:basedOn w:val="BodyText"/>
    <w:rsid w:val="001C7D17"/>
    <w:pPr>
      <w:spacing w:before="60" w:after="60"/>
    </w:pPr>
  </w:style>
  <w:style w:type="paragraph" w:styleId="ListContinue">
    <w:name w:val="List Continue"/>
    <w:basedOn w:val="List"/>
    <w:rsid w:val="001C7D17"/>
    <w:pPr>
      <w:ind w:firstLine="0"/>
    </w:pPr>
  </w:style>
  <w:style w:type="paragraph" w:customStyle="1" w:styleId="ListNote">
    <w:name w:val="List Note"/>
    <w:basedOn w:val="List"/>
    <w:rsid w:val="001C7D17"/>
    <w:pPr>
      <w:pBdr>
        <w:top w:val="single" w:sz="6" w:space="2" w:color="918585"/>
        <w:bottom w:val="single" w:sz="6" w:space="2" w:color="918585"/>
      </w:pBdr>
      <w:tabs>
        <w:tab w:val="left" w:pos="1021"/>
      </w:tabs>
      <w:ind w:firstLine="0"/>
    </w:pPr>
  </w:style>
  <w:style w:type="paragraph" w:customStyle="1" w:styleId="Warning">
    <w:name w:val="Warning"/>
    <w:basedOn w:val="BodyText"/>
    <w:rsid w:val="001C7D17"/>
    <w:pPr>
      <w:shd w:val="clear" w:color="auto" w:fill="D9D9D9"/>
      <w:tabs>
        <w:tab w:val="left" w:pos="992"/>
      </w:tabs>
      <w:ind w:left="119" w:right="119"/>
    </w:pPr>
    <w:rPr>
      <w:sz w:val="20"/>
    </w:rPr>
  </w:style>
  <w:style w:type="paragraph" w:customStyle="1" w:styleId="MarginIcons">
    <w:name w:val="Margin Icons"/>
    <w:basedOn w:val="BodyText"/>
    <w:rsid w:val="001C7D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7D17"/>
    <w:rPr>
      <w:rFonts w:ascii="Courier New" w:hAnsi="Courier New"/>
    </w:rPr>
  </w:style>
  <w:style w:type="paragraph" w:customStyle="1" w:styleId="NoteBullet">
    <w:name w:val="Note Bullet"/>
    <w:basedOn w:val="Note"/>
    <w:rsid w:val="001C7D17"/>
    <w:pPr>
      <w:tabs>
        <w:tab w:val="clear" w:pos="680"/>
      </w:tabs>
      <w:spacing w:before="60" w:after="60"/>
    </w:pPr>
  </w:style>
  <w:style w:type="paragraph" w:customStyle="1" w:styleId="SubHeading2">
    <w:name w:val="SubHeading2"/>
    <w:basedOn w:val="HeadingBase"/>
    <w:rsid w:val="001C7D17"/>
    <w:pPr>
      <w:spacing w:before="240" w:after="60"/>
    </w:pPr>
    <w:rPr>
      <w:sz w:val="20"/>
    </w:rPr>
  </w:style>
  <w:style w:type="paragraph" w:customStyle="1" w:styleId="SubHeading1">
    <w:name w:val="SubHeading1"/>
    <w:basedOn w:val="HeadingBase"/>
    <w:rsid w:val="001C7D17"/>
    <w:pPr>
      <w:spacing w:before="240" w:after="60"/>
    </w:pPr>
    <w:rPr>
      <w:color w:val="918585"/>
      <w:sz w:val="22"/>
    </w:rPr>
  </w:style>
  <w:style w:type="paragraph" w:customStyle="1" w:styleId="SideHeading">
    <w:name w:val="Side Heading"/>
    <w:basedOn w:val="HeadingBase"/>
    <w:rsid w:val="001C7D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7D17"/>
    <w:pPr>
      <w:numPr>
        <w:numId w:val="12"/>
      </w:numPr>
    </w:pPr>
  </w:style>
  <w:style w:type="paragraph" w:styleId="PlainText">
    <w:name w:val="Plain Text"/>
    <w:basedOn w:val="Normal"/>
    <w:link w:val="PlainTextChar"/>
    <w:rsid w:val="001C7D17"/>
    <w:rPr>
      <w:sz w:val="20"/>
    </w:rPr>
  </w:style>
  <w:style w:type="character" w:customStyle="1" w:styleId="PlainTextChar">
    <w:name w:val="Plain Text Char"/>
    <w:basedOn w:val="DefaultParagraphFont"/>
    <w:link w:val="PlainText"/>
    <w:rsid w:val="001C7D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7D17"/>
    <w:rPr>
      <w:b/>
      <w:smallCaps/>
    </w:rPr>
  </w:style>
  <w:style w:type="paragraph" w:customStyle="1" w:styleId="TableListNumber">
    <w:name w:val="Table List Number"/>
    <w:basedOn w:val="ListNumber"/>
    <w:rsid w:val="001C7D17"/>
    <w:pPr>
      <w:numPr>
        <w:numId w:val="0"/>
      </w:numPr>
    </w:pPr>
  </w:style>
  <w:style w:type="paragraph" w:styleId="TOC4">
    <w:name w:val="toc 4"/>
    <w:basedOn w:val="TOCBase"/>
    <w:next w:val="Normal"/>
    <w:semiHidden/>
    <w:rsid w:val="001C7D17"/>
    <w:pPr>
      <w:tabs>
        <w:tab w:val="right" w:leader="dot" w:pos="9071"/>
      </w:tabs>
      <w:ind w:left="1701"/>
    </w:pPr>
  </w:style>
  <w:style w:type="paragraph" w:customStyle="1" w:styleId="ListAlpha">
    <w:name w:val="List Alpha"/>
    <w:basedOn w:val="List"/>
    <w:rsid w:val="001C7D17"/>
    <w:pPr>
      <w:numPr>
        <w:numId w:val="9"/>
      </w:numPr>
    </w:pPr>
  </w:style>
  <w:style w:type="paragraph" w:customStyle="1" w:styleId="ListAlpha2">
    <w:name w:val="List Alpha 2"/>
    <w:basedOn w:val="List2"/>
    <w:rsid w:val="001C7D17"/>
    <w:pPr>
      <w:numPr>
        <w:numId w:val="8"/>
      </w:numPr>
    </w:pPr>
  </w:style>
  <w:style w:type="paragraph" w:styleId="List3">
    <w:name w:val="List 3"/>
    <w:basedOn w:val="BodyText"/>
    <w:rsid w:val="001C7D17"/>
    <w:pPr>
      <w:tabs>
        <w:tab w:val="left" w:pos="1021"/>
      </w:tabs>
      <w:spacing w:before="60" w:after="60"/>
      <w:ind w:left="1020" w:hanging="340"/>
    </w:pPr>
  </w:style>
  <w:style w:type="paragraph" w:styleId="List4">
    <w:name w:val="List 4"/>
    <w:basedOn w:val="BodyText"/>
    <w:rsid w:val="001C7D17"/>
    <w:pPr>
      <w:tabs>
        <w:tab w:val="left" w:pos="1361"/>
      </w:tabs>
      <w:spacing w:before="60" w:after="60"/>
      <w:ind w:left="1361" w:hanging="340"/>
    </w:pPr>
  </w:style>
  <w:style w:type="paragraph" w:styleId="List5">
    <w:name w:val="List 5"/>
    <w:basedOn w:val="BodyText"/>
    <w:rsid w:val="001C7D17"/>
    <w:pPr>
      <w:tabs>
        <w:tab w:val="left" w:pos="1701"/>
      </w:tabs>
      <w:spacing w:before="60" w:after="60"/>
      <w:ind w:left="1701" w:hanging="340"/>
    </w:pPr>
  </w:style>
  <w:style w:type="paragraph" w:styleId="ListBullet3">
    <w:name w:val="List Bullet 3"/>
    <w:basedOn w:val="List3"/>
    <w:rsid w:val="001C7D17"/>
    <w:pPr>
      <w:numPr>
        <w:numId w:val="15"/>
      </w:numPr>
      <w:tabs>
        <w:tab w:val="clear" w:pos="1021"/>
      </w:tabs>
      <w:ind w:left="1037" w:hanging="357"/>
    </w:pPr>
  </w:style>
  <w:style w:type="paragraph" w:styleId="ListBullet4">
    <w:name w:val="List Bullet 4"/>
    <w:basedOn w:val="List4"/>
    <w:rsid w:val="001C7D17"/>
    <w:pPr>
      <w:numPr>
        <w:numId w:val="3"/>
      </w:numPr>
    </w:pPr>
  </w:style>
  <w:style w:type="paragraph" w:styleId="ListBullet5">
    <w:name w:val="List Bullet 5"/>
    <w:basedOn w:val="List5"/>
    <w:rsid w:val="001C7D17"/>
    <w:pPr>
      <w:numPr>
        <w:numId w:val="4"/>
      </w:numPr>
    </w:pPr>
  </w:style>
  <w:style w:type="paragraph" w:styleId="ListContinue2">
    <w:name w:val="List Continue 2"/>
    <w:basedOn w:val="List2"/>
    <w:rsid w:val="001C7D17"/>
    <w:pPr>
      <w:ind w:firstLine="0"/>
    </w:pPr>
  </w:style>
  <w:style w:type="paragraph" w:styleId="ListContinue3">
    <w:name w:val="List Continue 3"/>
    <w:basedOn w:val="List3"/>
    <w:rsid w:val="001C7D17"/>
    <w:pPr>
      <w:ind w:left="1021" w:firstLine="0"/>
    </w:pPr>
  </w:style>
  <w:style w:type="paragraph" w:styleId="ListContinue4">
    <w:name w:val="List Continue 4"/>
    <w:basedOn w:val="List4"/>
    <w:rsid w:val="001C7D17"/>
    <w:pPr>
      <w:ind w:firstLine="0"/>
    </w:pPr>
  </w:style>
  <w:style w:type="paragraph" w:styleId="ListContinue5">
    <w:name w:val="List Continue 5"/>
    <w:basedOn w:val="List5"/>
    <w:rsid w:val="001C7D17"/>
    <w:pPr>
      <w:ind w:firstLine="0"/>
    </w:pPr>
  </w:style>
  <w:style w:type="paragraph" w:styleId="ListNumber3">
    <w:name w:val="List Number 3"/>
    <w:basedOn w:val="List3"/>
    <w:rsid w:val="001C7D17"/>
    <w:pPr>
      <w:numPr>
        <w:numId w:val="5"/>
      </w:numPr>
    </w:pPr>
  </w:style>
  <w:style w:type="paragraph" w:styleId="ListNumber4">
    <w:name w:val="List Number 4"/>
    <w:basedOn w:val="List4"/>
    <w:rsid w:val="001C7D17"/>
    <w:pPr>
      <w:numPr>
        <w:numId w:val="6"/>
      </w:numPr>
    </w:pPr>
  </w:style>
  <w:style w:type="paragraph" w:styleId="ListNumber5">
    <w:name w:val="List Number 5"/>
    <w:basedOn w:val="List5"/>
    <w:rsid w:val="001C7D17"/>
    <w:pPr>
      <w:numPr>
        <w:numId w:val="7"/>
      </w:numPr>
    </w:pPr>
  </w:style>
  <w:style w:type="paragraph" w:styleId="BlockText">
    <w:name w:val="Block Text"/>
    <w:basedOn w:val="Normal"/>
    <w:rsid w:val="001C7D17"/>
    <w:pPr>
      <w:spacing w:after="120"/>
      <w:ind w:left="1440" w:right="1440"/>
    </w:pPr>
  </w:style>
  <w:style w:type="character" w:customStyle="1" w:styleId="Subscript">
    <w:name w:val="Subscript"/>
    <w:basedOn w:val="DefaultParagraphFont"/>
    <w:rsid w:val="001C7D17"/>
    <w:rPr>
      <w:sz w:val="16"/>
      <w:vertAlign w:val="subscript"/>
    </w:rPr>
  </w:style>
  <w:style w:type="character" w:customStyle="1" w:styleId="Superscript">
    <w:name w:val="Superscript"/>
    <w:basedOn w:val="DefaultParagraphFont"/>
    <w:rsid w:val="001C7D17"/>
    <w:rPr>
      <w:sz w:val="16"/>
      <w:vertAlign w:val="superscript"/>
    </w:rPr>
  </w:style>
  <w:style w:type="character" w:customStyle="1" w:styleId="Symbols">
    <w:name w:val="Symbols"/>
    <w:basedOn w:val="DefaultParagraphFont"/>
    <w:rsid w:val="001C7D17"/>
    <w:rPr>
      <w:rFonts w:ascii="Symbol" w:hAnsi="Symbol"/>
    </w:rPr>
  </w:style>
  <w:style w:type="character" w:customStyle="1" w:styleId="MenuOptions">
    <w:name w:val="Menu Options"/>
    <w:basedOn w:val="DefaultParagraphFont"/>
    <w:rsid w:val="001C7D17"/>
    <w:rPr>
      <w:rFonts w:ascii="Arial Narrow" w:hAnsi="Arial Narrow"/>
      <w:smallCaps/>
    </w:rPr>
  </w:style>
  <w:style w:type="character" w:customStyle="1" w:styleId="Buttons">
    <w:name w:val="Buttons"/>
    <w:basedOn w:val="DefaultParagraphFont"/>
    <w:rsid w:val="001C7D17"/>
    <w:rPr>
      <w:b/>
    </w:rPr>
  </w:style>
  <w:style w:type="character" w:customStyle="1" w:styleId="Underlined">
    <w:name w:val="Underlined"/>
    <w:basedOn w:val="DefaultParagraphFont"/>
    <w:rsid w:val="001C7D17"/>
    <w:rPr>
      <w:u w:val="single"/>
    </w:rPr>
  </w:style>
  <w:style w:type="paragraph" w:customStyle="1" w:styleId="TableBodyTextRight">
    <w:name w:val="Table Body Text Right"/>
    <w:basedOn w:val="TableBodyText"/>
    <w:rsid w:val="001C7D17"/>
    <w:pPr>
      <w:widowControl w:val="0"/>
      <w:autoSpaceDE w:val="0"/>
      <w:autoSpaceDN w:val="0"/>
      <w:adjustRightInd w:val="0"/>
      <w:jc w:val="right"/>
    </w:pPr>
    <w:rPr>
      <w:rFonts w:cs="Arial"/>
      <w:szCs w:val="18"/>
    </w:rPr>
  </w:style>
  <w:style w:type="paragraph" w:customStyle="1" w:styleId="CopyrightText">
    <w:name w:val="Copyright Text"/>
    <w:basedOn w:val="BodyText"/>
    <w:rsid w:val="001C7D17"/>
    <w:rPr>
      <w:sz w:val="18"/>
    </w:rPr>
  </w:style>
  <w:style w:type="paragraph" w:customStyle="1" w:styleId="BodySmallRight">
    <w:name w:val="Body Small Right"/>
    <w:basedOn w:val="BodyTextRight"/>
    <w:rsid w:val="001C7D17"/>
    <w:rPr>
      <w:sz w:val="18"/>
      <w:szCs w:val="18"/>
    </w:rPr>
  </w:style>
  <w:style w:type="paragraph" w:customStyle="1" w:styleId="MarginEdition">
    <w:name w:val="Margin Edition"/>
    <w:basedOn w:val="MarginNote"/>
    <w:rsid w:val="001C7D17"/>
    <w:pPr>
      <w:spacing w:before="0" w:after="0"/>
    </w:pPr>
    <w:rPr>
      <w:rFonts w:ascii="Times New Roman" w:hAnsi="Times New Roman"/>
      <w:color w:val="999999"/>
    </w:rPr>
  </w:style>
  <w:style w:type="paragraph" w:customStyle="1" w:styleId="Spacer">
    <w:name w:val="Spacer"/>
    <w:basedOn w:val="Normal"/>
    <w:rsid w:val="001C7D17"/>
    <w:rPr>
      <w:sz w:val="2"/>
      <w:szCs w:val="2"/>
    </w:rPr>
  </w:style>
  <w:style w:type="character" w:customStyle="1" w:styleId="Small">
    <w:name w:val="Small"/>
    <w:basedOn w:val="DefaultParagraphFont"/>
    <w:rsid w:val="001C7D17"/>
    <w:rPr>
      <w:sz w:val="16"/>
    </w:rPr>
  </w:style>
  <w:style w:type="paragraph" w:customStyle="1" w:styleId="WideTable">
    <w:name w:val="Wide Table"/>
    <w:basedOn w:val="Normal"/>
    <w:rsid w:val="001C7D17"/>
    <w:pPr>
      <w:ind w:left="-1418"/>
    </w:pPr>
    <w:rPr>
      <w:sz w:val="2"/>
      <w:szCs w:val="2"/>
    </w:rPr>
  </w:style>
  <w:style w:type="character" w:styleId="PageNumber">
    <w:name w:val="page number"/>
    <w:basedOn w:val="DefaultParagraphFont"/>
    <w:rsid w:val="001C7D17"/>
  </w:style>
  <w:style w:type="paragraph" w:styleId="Quote">
    <w:name w:val="Quote"/>
    <w:basedOn w:val="Heading1"/>
    <w:link w:val="QuoteChar"/>
    <w:qFormat/>
    <w:rsid w:val="001C7D17"/>
    <w:rPr>
      <w:b w:val="0"/>
      <w:sz w:val="72"/>
      <w:szCs w:val="72"/>
      <w:lang w:val="en-NZ"/>
    </w:rPr>
  </w:style>
  <w:style w:type="character" w:customStyle="1" w:styleId="QuoteChar">
    <w:name w:val="Quote Char"/>
    <w:basedOn w:val="DefaultParagraphFont"/>
    <w:link w:val="Quote"/>
    <w:rsid w:val="001C7D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7D17"/>
    <w:pPr>
      <w:pageBreakBefore/>
    </w:pPr>
  </w:style>
  <w:style w:type="paragraph" w:customStyle="1" w:styleId="Border">
    <w:name w:val="Border"/>
    <w:basedOn w:val="Normal"/>
    <w:qFormat/>
    <w:rsid w:val="001C7D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7D17"/>
    <w:rPr>
      <w:b/>
      <w:bCs/>
      <w:i/>
      <w:iCs/>
      <w:color w:val="auto"/>
    </w:rPr>
  </w:style>
  <w:style w:type="paragraph" w:styleId="IntenseQuote">
    <w:name w:val="Intense Quote"/>
    <w:basedOn w:val="Normal"/>
    <w:next w:val="Normal"/>
    <w:link w:val="IntenseQuoteChar"/>
    <w:uiPriority w:val="30"/>
    <w:qFormat/>
    <w:rsid w:val="001C7D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7D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7D17"/>
    <w:rPr>
      <w:smallCaps/>
      <w:color w:val="auto"/>
      <w:u w:val="single"/>
    </w:rPr>
  </w:style>
  <w:style w:type="character" w:styleId="IntenseReference">
    <w:name w:val="Intense Reference"/>
    <w:basedOn w:val="DefaultParagraphFont"/>
    <w:uiPriority w:val="32"/>
    <w:qFormat/>
    <w:rsid w:val="001C7D17"/>
    <w:rPr>
      <w:b/>
      <w:bCs/>
      <w:smallCaps/>
      <w:color w:val="auto"/>
      <w:spacing w:val="5"/>
      <w:u w:val="single"/>
    </w:rPr>
  </w:style>
  <w:style w:type="paragraph" w:customStyle="1" w:styleId="2ColumnHeading">
    <w:name w:val="2Column Heading"/>
    <w:basedOn w:val="BodyText"/>
    <w:qFormat/>
    <w:rsid w:val="001C7D17"/>
    <w:pPr>
      <w:spacing w:after="60"/>
      <w:ind w:left="-2268"/>
    </w:pPr>
    <w:rPr>
      <w:b/>
    </w:rPr>
  </w:style>
  <w:style w:type="paragraph" w:customStyle="1" w:styleId="Heading1TOC">
    <w:name w:val="Heading1 TOC"/>
    <w:basedOn w:val="Normal"/>
    <w:qFormat/>
    <w:rsid w:val="001C7D17"/>
    <w:pPr>
      <w:spacing w:before="240" w:after="120"/>
    </w:pPr>
    <w:rPr>
      <w:rFonts w:ascii="Times New Roman" w:hAnsi="Times New Roman"/>
      <w:b/>
      <w:sz w:val="32"/>
    </w:rPr>
  </w:style>
  <w:style w:type="paragraph" w:customStyle="1" w:styleId="Heading2TOC">
    <w:name w:val="Heading2 TOC"/>
    <w:basedOn w:val="Normal"/>
    <w:qFormat/>
    <w:rsid w:val="001C7D17"/>
    <w:pPr>
      <w:spacing w:before="240" w:after="60"/>
    </w:pPr>
    <w:rPr>
      <w:rFonts w:ascii="Times New Roman" w:hAnsi="Times New Roman"/>
      <w:b/>
      <w:sz w:val="28"/>
    </w:rPr>
  </w:style>
  <w:style w:type="character" w:customStyle="1" w:styleId="Underline">
    <w:name w:val="Underline"/>
    <w:basedOn w:val="DefaultParagraphFont"/>
    <w:qFormat/>
    <w:rsid w:val="001C7D17"/>
    <w:rPr>
      <w:u w:val="single"/>
    </w:rPr>
  </w:style>
  <w:style w:type="character" w:customStyle="1" w:styleId="BoldandItalics">
    <w:name w:val="Bold and Italics"/>
    <w:qFormat/>
    <w:rsid w:val="001C7D17"/>
    <w:rPr>
      <w:b/>
      <w:i/>
      <w:u w:val="none"/>
    </w:rPr>
  </w:style>
  <w:style w:type="paragraph" w:styleId="BalloonText">
    <w:name w:val="Balloon Text"/>
    <w:basedOn w:val="Normal"/>
    <w:link w:val="BalloonTextChar"/>
    <w:rsid w:val="001C7D17"/>
    <w:rPr>
      <w:rFonts w:ascii="Tahoma" w:hAnsi="Tahoma" w:cs="Tahoma"/>
      <w:sz w:val="16"/>
      <w:szCs w:val="16"/>
    </w:rPr>
  </w:style>
  <w:style w:type="character" w:customStyle="1" w:styleId="BalloonTextChar">
    <w:name w:val="Balloon Text Char"/>
    <w:basedOn w:val="DefaultParagraphFont"/>
    <w:link w:val="BalloonText"/>
    <w:rsid w:val="001C7D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7D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7D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1555</Words>
  <Characters>9556</Characters>
  <Application>Microsoft Office Word</Application>
  <DocSecurity>0</DocSecurity>
  <Lines>321</Lines>
  <Paragraphs>167</Paragraphs>
  <ScaleCrop>false</ScaleCrop>
  <Company>Author-it Software Corporation Ltd.</Company>
  <LinksUpToDate>false</LinksUpToDate>
  <CharactersWithSpaces>11032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FPPOHS210A Participate in OHS processes</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2012-05-26T16:38:00Z</dcterms:created>
  <dcterms:modified xsi:type="dcterms:W3CDTF">2012-05-26T16:38:00Z</dcterms:modified>
</cp:coreProperties>
</file>