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DEF" w:rsidP="00FF5DEF">
      <w:pPr>
        <w:pStyle w:val="Title"/>
      </w:pPr>
      <w:r>
        <w:fldChar w:fldCharType="begin"/>
      </w:r>
      <w:r>
        <w:instrText xml:space="preserve"> TITLE   \* MERGEFORMAT </w:instrText>
      </w:r>
      <w:r>
        <w:fldChar w:fldCharType="separate"/>
      </w:r>
      <w:r>
        <w:t>FPIHAR2206A Operate a mobile chipper/mulcher</w:t>
      </w:r>
      <w:r>
        <w:fldChar w:fldCharType="end"/>
      </w:r>
    </w:p>
    <w:p w:rsidR="00FF5DEF" w:rsidP="00FF5DEF">
      <w:pPr>
        <w:pStyle w:val="Version"/>
        <w:sectPr w:rsidSect="00EB42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2BE" w:rsidP="00EB42BE">
      <w:pPr>
        <w:pStyle w:val="SuperHeading"/>
      </w:pPr>
      <w:r w:rsidRPr="00EB42BE">
        <w:t>FPIHAR2206A Operate a mobile chipper/mulcher</w:t>
      </w:r>
    </w:p>
    <w:p w:rsidR="00000000" w:rsidRPr="00EB42BE" w:rsidP="00EB42BE">
      <w:pPr>
        <w:pStyle w:val="Heading1"/>
      </w:pPr>
      <w:bookmarkStart w:id="1" w:name="O_318792"/>
      <w:bookmarkEnd w:id="1"/>
      <w:r w:rsidRPr="00EB42BE">
        <w:t>Modification History</w:t>
      </w:r>
    </w:p>
    <w:p w:rsidR="00000000" w:rsidRPr="00EB42BE" w:rsidP="00EB42BE">
      <w:pPr>
        <w:pStyle w:val="BodyText"/>
      </w:pPr>
      <w:r w:rsidRPr="00EB42BE">
        <w:t>Not applicable.</w:t>
      </w:r>
    </w:p>
    <w:p w:rsidR="00000000" w:rsidRPr="00EB42BE" w:rsidP="00EB42BE">
      <w:pPr>
        <w:pStyle w:val="AllowPageBreak"/>
      </w:pPr>
    </w:p>
    <w:p w:rsidR="00000000" w:rsidRPr="00EB42BE" w:rsidP="00EB42BE">
      <w:pPr>
        <w:pStyle w:val="Heading1"/>
      </w:pPr>
      <w:bookmarkStart w:id="2" w:name="O_318791"/>
      <w:bookmarkEnd w:id="2"/>
      <w:r w:rsidRPr="00EB42BE">
        <w:t>Unit Descriptor</w:t>
      </w:r>
    </w:p>
    <w:p w:rsidR="00000000" w:rsidRPr="00EB42BE" w:rsidP="00EB42BE">
      <w:pPr>
        <w:pStyle w:val="BodyText"/>
      </w:pPr>
      <w:r w:rsidRPr="00EB42BE">
        <w:t>This unit specifies the outcomes required to operate a mobile chipping/mulching unit to clean up after felling operations</w:t>
      </w:r>
      <w:r w:rsidRPr="00EB42BE">
        <w:t xml:space="preserve"> and chip excess branches and timber refuse</w:t>
      </w:r>
    </w:p>
    <w:p w:rsidR="00000000" w:rsidRPr="00EB42BE" w:rsidP="00EB42BE">
      <w:pPr>
        <w:pStyle w:val="BodyText"/>
      </w:pPr>
      <w:r w:rsidRPr="00EB42BE">
        <w:t>This unit specifies the outcomes required to operate a mobile chipping/mulching unit to clean up after felling operations and chip excess branches and timber refuse</w:t>
      </w:r>
    </w:p>
    <w:p w:rsidR="00000000" w:rsidRPr="00EB42BE" w:rsidP="00EB42BE">
      <w:pPr>
        <w:pStyle w:val="AllowPageBreak"/>
      </w:pPr>
    </w:p>
    <w:p w:rsidR="00000000" w:rsidRPr="00EB42BE" w:rsidP="00EB42BE">
      <w:pPr>
        <w:pStyle w:val="Heading1"/>
      </w:pPr>
      <w:bookmarkStart w:id="3" w:name="O_318790"/>
      <w:bookmarkEnd w:id="3"/>
      <w:r w:rsidRPr="00EB42BE">
        <w:t>Application of the Unit</w:t>
      </w:r>
    </w:p>
    <w:p w:rsidR="00000000" w:rsidRPr="00EB42BE" w:rsidP="00EB42BE">
      <w:pPr>
        <w:pStyle w:val="BodyText"/>
      </w:pPr>
      <w:r w:rsidRPr="00EB42BE">
        <w:t>This u</w:t>
      </w:r>
      <w:r w:rsidRPr="00EB42BE">
        <w:t>nit supports the attainment of skills and knowledge required for competent workplace performance in forest and forest products operations of all sizes. The unit applies to a forest environment and involves application of skills and knowledge at a productio</w:t>
      </w:r>
      <w:r w:rsidRPr="00EB42BE">
        <w:t>n worker level. These skills and knowledge are to be used within the scope of the persons job and authority</w:t>
      </w:r>
    </w:p>
    <w:p w:rsidR="00000000" w:rsidRPr="00EB42BE" w:rsidP="00EB42BE">
      <w:pPr>
        <w:pStyle w:val="BodyText"/>
      </w:pPr>
      <w:r w:rsidRPr="00EB42BE">
        <w:t>This unit supports the attainment of skills and knowledge required for competent workplace performance in forest and forest products operations of a</w:t>
      </w:r>
      <w:r w:rsidRPr="00EB42BE">
        <w:t>ll sizes. The unit applies to a forest environment and involves application of skills and knowledge at a production worker level. These skills and knowledge are to be used within the scope of the persons job and authority</w:t>
      </w:r>
    </w:p>
    <w:p w:rsidR="00000000" w:rsidRPr="00EB42BE" w:rsidP="00EB42BE">
      <w:pPr>
        <w:pStyle w:val="AllowPageBreak"/>
      </w:pPr>
    </w:p>
    <w:p w:rsidR="00000000" w:rsidRPr="00EB42BE" w:rsidP="00EB42BE">
      <w:pPr>
        <w:pStyle w:val="Heading1"/>
      </w:pPr>
      <w:bookmarkStart w:id="4" w:name="O_318789"/>
      <w:bookmarkEnd w:id="4"/>
      <w:r w:rsidRPr="00EB42BE">
        <w:t>Licensing/Regulatory Information</w:t>
      </w:r>
    </w:p>
    <w:p w:rsidR="00000000" w:rsidRPr="00EB42BE" w:rsidP="00EB42BE">
      <w:pPr>
        <w:pStyle w:val="BodyText"/>
      </w:pPr>
      <w:r w:rsidRPr="00EB42BE">
        <w:t>Not applicable.</w:t>
      </w:r>
    </w:p>
    <w:p w:rsidR="00000000" w:rsidRPr="00EB42BE" w:rsidP="00EB42BE">
      <w:pPr>
        <w:pStyle w:val="AllowPageBreak"/>
      </w:pPr>
    </w:p>
    <w:p w:rsidR="00000000" w:rsidRPr="00EB42BE" w:rsidP="00EB42BE">
      <w:pPr>
        <w:pStyle w:val="Heading1"/>
      </w:pPr>
      <w:bookmarkStart w:id="5" w:name="O_318788"/>
      <w:bookmarkEnd w:id="5"/>
      <w:r w:rsidRPr="00EB42BE">
        <w:t>Pre-Requisites</w:t>
      </w:r>
    </w:p>
    <w:p w:rsidR="00000000" w:rsidRPr="00EB42BE" w:rsidP="00EB42BE">
      <w:pPr>
        <w:pStyle w:val="BodyText"/>
      </w:pPr>
      <w:r w:rsidRPr="00EB42BE">
        <w:t>Not applicable.</w:t>
      </w:r>
    </w:p>
    <w:p w:rsidR="00000000" w:rsidRPr="00EB42BE" w:rsidP="00EB42BE">
      <w:pPr>
        <w:pStyle w:val="AllowPageBreak"/>
      </w:pPr>
    </w:p>
    <w:p w:rsidR="00000000" w:rsidRPr="00EB42BE" w:rsidP="00EB42BE">
      <w:pPr>
        <w:pStyle w:val="Heading1"/>
      </w:pPr>
      <w:bookmarkStart w:id="6" w:name="O_318794"/>
      <w:bookmarkEnd w:id="6"/>
      <w:r w:rsidRPr="00EB42BE">
        <w:t>Employability Skills Information</w:t>
      </w:r>
    </w:p>
    <w:p w:rsidR="00000000" w:rsidRPr="00EB42BE" w:rsidP="00EB42BE">
      <w:pPr>
        <w:pStyle w:val="BodyText"/>
      </w:pPr>
      <w:r w:rsidRPr="00EB42BE">
        <w:t>Not applicable.</w:t>
      </w:r>
    </w:p>
    <w:p w:rsidR="00000000" w:rsidRPr="00EB42BE" w:rsidP="00EB42BE">
      <w:pPr>
        <w:pStyle w:val="AllowPageBreak"/>
      </w:pPr>
    </w:p>
    <w:p w:rsidR="00000000" w:rsidRPr="00EB42BE" w:rsidP="00EB42BE">
      <w:pPr>
        <w:pStyle w:val="Heading1"/>
      </w:pPr>
      <w:bookmarkStart w:id="7" w:name="O_318782"/>
      <w:bookmarkEnd w:id="7"/>
      <w:r w:rsidRPr="00EB42BE">
        <w:t>Elements and Performance Criteria Pre-Content</w:t>
      </w:r>
    </w:p>
    <w:p w:rsidR="00000000" w:rsidRPr="00EB42BE" w:rsidP="00EB42BE">
      <w:pPr>
        <w:pStyle w:val="BodyText"/>
      </w:pPr>
      <w:r w:rsidRPr="00EB42BE">
        <w:t>Elements describe the essential outcomes of a unit of competency</w:t>
      </w:r>
    </w:p>
    <w:p w:rsidR="00000000" w:rsidRPr="00EB42BE" w:rsidP="00EB42BE">
      <w:pPr>
        <w:pStyle w:val="BodyText"/>
      </w:pPr>
      <w:r w:rsidRPr="00EB42BE">
        <w:t>Performance Criteria describe the required performance needed to demonstrate achievement of the element. Where bold italicised text is used, further information is detailed in the Required Sk</w:t>
      </w:r>
      <w:r w:rsidRPr="00EB42BE">
        <w:t>ills and Knowledge and/or the Range Statement. Assessment of performance is to be consistent with the Evidence Guide</w:t>
      </w:r>
    </w:p>
    <w:p w:rsidR="00000000" w:rsidRPr="00EB42BE" w:rsidP="00EB42BE">
      <w:pPr>
        <w:pStyle w:val="BodyText"/>
      </w:pPr>
      <w:r w:rsidRPr="00EB42BE">
        <w:t>Elements describe the essential outcomes of a unit of competency</w:t>
      </w:r>
    </w:p>
    <w:p w:rsidR="00000000" w:rsidRPr="00EB42BE" w:rsidP="00EB42BE">
      <w:pPr>
        <w:pStyle w:val="BodyText"/>
      </w:pPr>
      <w:r w:rsidRPr="00EB42BE">
        <w:t>Performance Criteria describe the required performance needed to demonstra</w:t>
      </w:r>
      <w:r w:rsidRPr="00EB42BE">
        <w:t>te achievement of the element. Where bold italicised text is used, further information is detailed in the Required Skills and Knowledge and/or the Range Statement. Assessment of performance is to be consistent with the Evidence Guide</w:t>
      </w:r>
    </w:p>
    <w:p w:rsidR="00000000" w:rsidRPr="00EB42BE" w:rsidP="00EB42BE">
      <w:pPr>
        <w:pStyle w:val="AllowPageBreak"/>
      </w:pPr>
    </w:p>
    <w:p w:rsidR="00000000" w:rsidRPr="00EB42BE" w:rsidP="00EB42BE">
      <w:pPr>
        <w:pStyle w:val="Heading1"/>
      </w:pPr>
      <w:bookmarkStart w:id="8" w:name="O_318787"/>
      <w:bookmarkEnd w:id="8"/>
      <w:r w:rsidRPr="00EB42BE">
        <w:t>Eleme</w:t>
      </w:r>
      <w:r w:rsidRPr="00EB42BE">
        <w:t>nts and Performance Criteria</w:t>
      </w:r>
    </w:p>
    <w:tbl>
      <w:tblPr>
        <w:tblW w:w="0" w:type="auto"/>
        <w:tblLayout w:type="fixed"/>
        <w:tblCellMar>
          <w:left w:w="62" w:type="dxa"/>
          <w:right w:w="62" w:type="dxa"/>
        </w:tblCellMar>
        <w:tblLook w:val="0000"/>
      </w:tblPr>
      <w:tblGrid>
        <w:gridCol w:w="400"/>
        <w:gridCol w:w="3000"/>
        <w:gridCol w:w="500"/>
        <w:gridCol w:w="5100"/>
      </w:tblGrid>
      <w:tr w:rsidTr="00FF5DE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Elements and Performance Criteria</w:t>
            </w:r>
          </w:p>
        </w:tc>
      </w:tr>
      <w:tr w:rsidTr="00FF5DE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B42BE" w:rsidP="00EB42BE">
            <w:pPr>
              <w:pStyle w:val="BodyText"/>
            </w:pPr>
            <w:r w:rsidRPr="00EB42B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Performance Criteria</w:t>
            </w:r>
          </w:p>
        </w:tc>
      </w:tr>
      <w:tr w:rsidTr="00FF5DE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1</w:t>
            </w:r>
          </w:p>
        </w:tc>
        <w:tc>
          <w:tcPr>
            <w:tcW w:w="3000" w:type="dxa"/>
            <w:vMerge w:val="restart"/>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Prepare for mobile chipping/mulching</w:t>
            </w:r>
          </w:p>
        </w:tc>
        <w:tc>
          <w:tcPr>
            <w:tcW w:w="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1.1</w:t>
            </w:r>
          </w:p>
        </w:tc>
        <w:tc>
          <w:tcPr>
            <w:tcW w:w="51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Applicable </w:t>
            </w:r>
            <w:r w:rsidRPr="00EB42BE">
              <w:rPr>
                <w:rStyle w:val="SpecialBold"/>
              </w:rPr>
              <w:t xml:space="preserve">Occupational Health and Safety (OHS), legislative </w:t>
            </w:r>
            <w:r w:rsidRPr="00EB42BE">
              <w:t xml:space="preserve">and </w:t>
            </w:r>
            <w:r w:rsidRPr="00EB42BE">
              <w:rPr>
                <w:rStyle w:val="SpecialBold"/>
              </w:rPr>
              <w:t xml:space="preserve">organisational </w:t>
            </w:r>
            <w:r w:rsidRPr="00EB42BE">
              <w:t>requirements relevant to conducting mobile chipping operations are identified and complied with</w:t>
            </w:r>
          </w:p>
        </w:tc>
      </w:tr>
      <w:tr w:rsidTr="00FF5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B42BE" w:rsidP="00EB42BE">
            <w:pPr>
              <w:pStyle w:val="BodyText"/>
            </w:pPr>
            <w:r w:rsidRPr="00EB42BE">
              <w:t>1.2</w:t>
            </w:r>
          </w:p>
        </w:tc>
        <w:tc>
          <w:tcPr>
            <w:tcW w:w="51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 xml:space="preserve"> Work order </w:t>
            </w:r>
            <w:r w:rsidRPr="00EB42BE">
              <w:t xml:space="preserve">is reviewed and checked with </w:t>
            </w:r>
            <w:r w:rsidRPr="00EB42BE">
              <w:rPr>
                <w:rStyle w:val="SpecialBold"/>
              </w:rPr>
              <w:t>appropriate personnel</w:t>
            </w:r>
          </w:p>
        </w:tc>
      </w:tr>
      <w:tr w:rsidTr="00FF5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1.3</w:t>
            </w:r>
          </w:p>
        </w:tc>
        <w:tc>
          <w:tcPr>
            <w:tcW w:w="51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Type and quantity of </w:t>
            </w:r>
            <w:r w:rsidRPr="00EB42BE">
              <w:rPr>
                <w:rStyle w:val="SpecialBold"/>
              </w:rPr>
              <w:t xml:space="preserve">timber refuse </w:t>
            </w:r>
            <w:r w:rsidRPr="00EB42BE">
              <w:t xml:space="preserve">to be </w:t>
            </w:r>
            <w:r w:rsidRPr="00EB42BE">
              <w:rPr>
                <w:rStyle w:val="SpecialBold"/>
              </w:rPr>
              <w:t xml:space="preserve">chipped/mulched </w:t>
            </w:r>
            <w:r w:rsidRPr="00EB42BE">
              <w:t>is identified and assessed for safe working conditions</w:t>
            </w:r>
          </w:p>
        </w:tc>
      </w:tr>
      <w:tr w:rsidTr="00FF5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B42BE" w:rsidP="00EB42BE">
            <w:pPr>
              <w:pStyle w:val="BodyText"/>
            </w:pPr>
            <w:r w:rsidRPr="00EB42BE">
              <w:t>1.4</w:t>
            </w:r>
          </w:p>
        </w:tc>
        <w:tc>
          <w:tcPr>
            <w:tcW w:w="51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 xml:space="preserve"> Equipment </w:t>
            </w:r>
            <w:r w:rsidRPr="00EB42BE">
              <w:t>is selected appropriate to work requirements and checked for operational effectiveness in accordance with manufacturer's recommendations</w:t>
            </w:r>
          </w:p>
        </w:tc>
      </w:tr>
      <w:tr w:rsidTr="00FF5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1.5</w:t>
            </w:r>
          </w:p>
        </w:tc>
        <w:tc>
          <w:tcPr>
            <w:tcW w:w="51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Chipping/mulching activities are planned in accordance with site procedures</w:t>
            </w:r>
          </w:p>
        </w:tc>
      </w:tr>
      <w:tr w:rsidTr="00FF5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B42BE" w:rsidP="00EB42BE">
            <w:pPr>
              <w:pStyle w:val="BodyText"/>
            </w:pPr>
            <w:r w:rsidRPr="00EB42BE">
              <w:t>1.6</w:t>
            </w:r>
          </w:p>
        </w:tc>
        <w:tc>
          <w:tcPr>
            <w:tcW w:w="51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 xml:space="preserve">Communication </w:t>
            </w:r>
            <w:r w:rsidRPr="00EB42BE">
              <w:t>with others is established and maintained in accordance with OHS requirements</w:t>
            </w:r>
          </w:p>
        </w:tc>
      </w:tr>
      <w:tr w:rsidTr="00FF5DE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2</w:t>
            </w:r>
          </w:p>
        </w:tc>
        <w:tc>
          <w:tcPr>
            <w:tcW w:w="3000" w:type="dxa"/>
            <w:vMerge w:val="restart"/>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Chip/mulch timber</w:t>
            </w:r>
          </w:p>
        </w:tc>
        <w:tc>
          <w:tcPr>
            <w:tcW w:w="500" w:type="dxa"/>
            <w:tcBorders>
              <w:top w:val="nil"/>
              <w:left w:val="nil"/>
              <w:bottom w:val="nil"/>
              <w:right w:val="nil"/>
            </w:tcBorders>
            <w:tcMar>
              <w:top w:w="0" w:type="dxa"/>
              <w:left w:w="62" w:type="dxa"/>
              <w:bottom w:w="0" w:type="dxa"/>
              <w:right w:w="62" w:type="dxa"/>
            </w:tcMar>
          </w:tcPr>
          <w:p w:rsidR="00000000" w:rsidRPr="00EB42BE" w:rsidP="00EB42BE">
            <w:pPr>
              <w:pStyle w:val="BodyText"/>
            </w:pPr>
            <w:r w:rsidRPr="00EB42BE">
              <w:t>2.1</w:t>
            </w:r>
          </w:p>
        </w:tc>
        <w:tc>
          <w:tcPr>
            <w:tcW w:w="51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 xml:space="preserve"> Chipping/mulching unit </w:t>
            </w:r>
            <w:r w:rsidRPr="00EB42BE">
              <w:t>is positioned, secured and set u</w:t>
            </w:r>
            <w:r w:rsidRPr="00EB42BE">
              <w:t>p in accordance with manufacturer's specifications</w:t>
            </w:r>
          </w:p>
        </w:tc>
      </w:tr>
      <w:tr w:rsidTr="00FF5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B42BE" w:rsidP="00EB42BE">
            <w:pPr>
              <w:pStyle w:val="BodyText"/>
            </w:pPr>
            <w:r w:rsidRPr="00EB42BE">
              <w:t>2.2</w:t>
            </w:r>
          </w:p>
        </w:tc>
        <w:tc>
          <w:tcPr>
            <w:tcW w:w="51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 xml:space="preserve"> Pre start-up checks </w:t>
            </w:r>
            <w:r w:rsidRPr="00EB42BE">
              <w:t xml:space="preserve">are carried out on equipment </w:t>
            </w:r>
            <w:r w:rsidRPr="00EB42BE">
              <w:t>in accordance with site requirements</w:t>
            </w:r>
          </w:p>
        </w:tc>
      </w:tr>
      <w:tr w:rsidTr="00FF5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2.3</w:t>
            </w:r>
          </w:p>
        </w:tc>
        <w:tc>
          <w:tcPr>
            <w:tcW w:w="51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Timber refuse is fed into the chipper/mulcher at a rate applicable to the </w:t>
            </w:r>
            <w:r w:rsidRPr="00EB42BE">
              <w:rPr>
                <w:rStyle w:val="SpecialBold"/>
              </w:rPr>
              <w:t xml:space="preserve">capacity </w:t>
            </w:r>
            <w:r w:rsidRPr="00EB42BE">
              <w:t>of the machinery in accordance with applicable safe handling techniques</w:t>
            </w:r>
          </w:p>
        </w:tc>
      </w:tr>
      <w:tr w:rsidTr="00FF5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2.4</w:t>
            </w:r>
          </w:p>
        </w:tc>
        <w:tc>
          <w:tcPr>
            <w:tcW w:w="51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Timber refuse is chipped to the </w:t>
            </w:r>
            <w:r w:rsidRPr="00EB42BE">
              <w:rPr>
                <w:rStyle w:val="SpecialBold"/>
              </w:rPr>
              <w:t xml:space="preserve">chip sizes </w:t>
            </w:r>
            <w:r w:rsidRPr="00EB42BE">
              <w:t>set on the chipping unit and in accordance with the work order</w:t>
            </w:r>
          </w:p>
        </w:tc>
      </w:tr>
      <w:tr w:rsidTr="00FF5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2.5</w:t>
            </w:r>
          </w:p>
        </w:tc>
        <w:tc>
          <w:tcPr>
            <w:tcW w:w="51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Chipping/mulching processes and equipment faults are </w:t>
            </w:r>
            <w:r w:rsidRPr="00EB42BE">
              <w:rPr>
                <w:rStyle w:val="SpecialBold"/>
              </w:rPr>
              <w:t xml:space="preserve">recorded and reported </w:t>
            </w:r>
            <w:r w:rsidRPr="00EB42BE">
              <w:t>to the appropriate personnel</w:t>
            </w:r>
          </w:p>
        </w:tc>
      </w:tr>
      <w:tr w:rsidTr="00FF5DE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3</w:t>
            </w:r>
          </w:p>
        </w:tc>
        <w:tc>
          <w:tcPr>
            <w:tcW w:w="3000" w:type="dxa"/>
            <w:vMerge w:val="restart"/>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Conduct operator maintenance</w:t>
            </w:r>
          </w:p>
        </w:tc>
        <w:tc>
          <w:tcPr>
            <w:tcW w:w="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3.1</w:t>
            </w:r>
          </w:p>
        </w:tc>
        <w:tc>
          <w:tcPr>
            <w:tcW w:w="51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Equipment lock-out procedures are followed in accordance with OHS legislation and site procedures</w:t>
            </w:r>
          </w:p>
        </w:tc>
      </w:tr>
      <w:tr w:rsidTr="00FF5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3.2</w:t>
            </w:r>
          </w:p>
        </w:tc>
        <w:tc>
          <w:tcPr>
            <w:tcW w:w="51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Chipper/mulcher is checked for blunt or damaged condition</w:t>
            </w:r>
          </w:p>
        </w:tc>
      </w:tr>
      <w:tr w:rsidTr="00FF5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3.3</w:t>
            </w:r>
          </w:p>
        </w:tc>
        <w:tc>
          <w:tcPr>
            <w:tcW w:w="51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Components are removed, maintained, adjusted and replaced in accordance with manufacturer's recommendations</w:t>
            </w:r>
          </w:p>
        </w:tc>
      </w:tr>
      <w:tr w:rsidTr="00FF5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3.4</w:t>
            </w:r>
          </w:p>
        </w:tc>
        <w:tc>
          <w:tcPr>
            <w:tcW w:w="51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Chipper/mulcher set-up is assessed and adjusted to suit chipping conditions</w:t>
            </w:r>
          </w:p>
        </w:tc>
      </w:tr>
      <w:tr w:rsidTr="00FF5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3.5</w:t>
            </w:r>
          </w:p>
        </w:tc>
        <w:tc>
          <w:tcPr>
            <w:tcW w:w="5100" w:type="dxa"/>
            <w:tcBorders>
              <w:top w:val="nil"/>
              <w:left w:val="nil"/>
              <w:bottom w:val="nil"/>
              <w:right w:val="nil"/>
            </w:tcBorders>
            <w:tcMar>
              <w:top w:w="0" w:type="dxa"/>
              <w:left w:w="62" w:type="dxa"/>
              <w:bottom w:w="0" w:type="dxa"/>
              <w:right w:w="62" w:type="dxa"/>
            </w:tcMar>
          </w:tcPr>
          <w:p w:rsidR="00000000" w:rsidRPr="00EB42BE" w:rsidP="00EB42BE">
            <w:pPr>
              <w:pStyle w:val="BodyText"/>
            </w:pPr>
            <w:r w:rsidRPr="00EB42BE">
              <w:t xml:space="preserve">Chipper/mulcher is kept clear of </w:t>
            </w:r>
            <w:r w:rsidRPr="00EB42BE">
              <w:rPr>
                <w:rStyle w:val="SpecialBold"/>
              </w:rPr>
              <w:t xml:space="preserve">foreign matter </w:t>
            </w:r>
            <w:r w:rsidRPr="00EB42BE">
              <w:t>and check</w:t>
            </w:r>
            <w:r w:rsidRPr="00EB42BE">
              <w:t>ed to comply with relevant standards prior to use</w:t>
            </w:r>
          </w:p>
        </w:tc>
      </w:tr>
    </w:tbl>
    <w:p w:rsidR="00000000" w:rsidRPr="00EB42BE" w:rsidP="00EB42BE">
      <w:pPr>
        <w:pStyle w:val="BodyText"/>
      </w:pPr>
    </w:p>
    <w:p w:rsidR="00000000" w:rsidRPr="00EB42BE" w:rsidP="00EB42BE">
      <w:pPr>
        <w:pStyle w:val="AllowPageBreak"/>
      </w:pPr>
    </w:p>
    <w:p w:rsidR="00000000" w:rsidRPr="00EB42BE" w:rsidP="00EB42BE">
      <w:pPr>
        <w:pStyle w:val="Heading1"/>
      </w:pPr>
      <w:bookmarkStart w:id="9" w:name="O_318783"/>
      <w:bookmarkEnd w:id="9"/>
      <w:r w:rsidRPr="00EB42BE">
        <w:t>Required Skills and Knowledge</w:t>
      </w:r>
    </w:p>
    <w:tbl>
      <w:tblPr>
        <w:tblW w:w="0" w:type="auto"/>
        <w:tblLayout w:type="fixed"/>
        <w:tblCellMar>
          <w:left w:w="62" w:type="dxa"/>
          <w:right w:w="62" w:type="dxa"/>
        </w:tblCellMar>
        <w:tblLook w:val="0000"/>
      </w:tblPr>
      <w:tblGrid>
        <w:gridCol w:w="4500"/>
        <w:gridCol w:w="4500"/>
      </w:tblGrid>
      <w:tr w:rsidTr="00FF5D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This describes the essential skills and knowledge and their level, required for this uni</w:t>
            </w:r>
          </w:p>
        </w:tc>
      </w:tr>
      <w:tr w:rsidTr="00FF5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Required skills include</w:t>
            </w:r>
            <w:r w:rsidRPr="00EB42BE">
              <w:t xml:space="preserve">: </w:t>
            </w:r>
          </w:p>
        </w:tc>
        <w:tc>
          <w:tcPr>
            <w:tcW w:w="4500" w:type="dxa"/>
            <w:tcBorders>
              <w:top w:val="nil"/>
              <w:left w:val="nil"/>
              <w:bottom w:val="nil"/>
              <w:right w:val="nil"/>
            </w:tcBorders>
            <w:tcMar>
              <w:top w:w="0" w:type="dxa"/>
              <w:left w:w="62" w:type="dxa"/>
              <w:bottom w:w="0" w:type="dxa"/>
              <w:right w:w="62" w:type="dxa"/>
            </w:tcMar>
          </w:tcPr>
          <w:p w:rsidR="00000000" w:rsidRPr="00EB42BE" w:rsidP="00EB42BE">
            <w:pPr>
              <w:pStyle w:val="BodyText"/>
            </w:pPr>
            <w:r w:rsidRPr="00EB42BE">
              <w:t>comply with legislation, regulations, standards, codes of practice and established safe practices and procedures for mobile chipping/mulching</w:t>
            </w:r>
          </w:p>
          <w:p w:rsidR="00000000" w:rsidRPr="00EB42BE" w:rsidP="00EB42BE">
            <w:pPr>
              <w:pStyle w:val="BodyText"/>
            </w:pPr>
            <w:r w:rsidRPr="00EB42BE">
              <w:t>review and accurately identify work requirements</w:t>
            </w:r>
          </w:p>
          <w:p w:rsidR="00000000" w:rsidRPr="00EB42BE" w:rsidP="00EB42BE">
            <w:pPr>
              <w:pStyle w:val="BodyText"/>
            </w:pPr>
            <w:r w:rsidRPr="00EB42BE">
              <w:t>use and maintain relevant tools, machinery and equipment</w:t>
            </w:r>
          </w:p>
          <w:p w:rsidR="00000000" w:rsidRPr="00EB42BE" w:rsidP="00EB42BE">
            <w:pPr>
              <w:pStyle w:val="BodyText"/>
            </w:pPr>
            <w:r w:rsidRPr="00EB42BE">
              <w:t>identify</w:t>
            </w:r>
            <w:r w:rsidRPr="00EB42BE">
              <w:t xml:space="preserve"> problems and equipment faults and demonstrate appropriate response procedures </w:t>
            </w:r>
          </w:p>
          <w:p w:rsidR="00000000" w:rsidRPr="00EB42BE" w:rsidP="00EB42BE">
            <w:pPr>
              <w:pStyle w:val="BodyText"/>
            </w:pPr>
            <w:r w:rsidRPr="00EB42BE">
              <w:t>use appropriate communication and interpersonal techniques with colleagues and others</w:t>
            </w:r>
          </w:p>
          <w:p w:rsidR="00000000" w:rsidRPr="00EB42BE" w:rsidP="00EB42BE">
            <w:pPr>
              <w:pStyle w:val="BodyText"/>
            </w:pPr>
            <w:r w:rsidRPr="00EB42BE">
              <w:t>accurately locate, record and report information</w:t>
            </w:r>
          </w:p>
          <w:p w:rsidR="00000000" w:rsidRPr="00EB42BE" w:rsidP="00EB42BE">
            <w:pPr>
              <w:pStyle w:val="BodyText"/>
            </w:pPr>
            <w:r w:rsidRPr="00EB42BE">
              <w:t>efficiently and safely operate a mobile c</w:t>
            </w:r>
            <w:r w:rsidRPr="00EB42BE">
              <w:t>hipper/mulcher</w:t>
            </w:r>
          </w:p>
          <w:p w:rsidR="00000000" w:rsidP="00EB42BE">
            <w:pPr>
              <w:pStyle w:val="BodyText"/>
              <w:rPr>
                <w:lang w:val="en-NZ"/>
              </w:rPr>
            </w:pPr>
            <w:r w:rsidRPr="00EB42BE">
              <w:t xml:space="preserve">effectively assess condition of chipper/mulcher </w:t>
            </w:r>
          </w:p>
        </w:tc>
      </w:tr>
      <w:tr w:rsidTr="00FF5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Required knowledge and understanding includes</w:t>
            </w:r>
            <w:r w:rsidRPr="00EB42BE">
              <w:t xml:space="preserve">: </w:t>
            </w:r>
          </w:p>
        </w:tc>
        <w:tc>
          <w:tcPr>
            <w:tcW w:w="4500" w:type="dxa"/>
            <w:tcBorders>
              <w:top w:val="nil"/>
              <w:left w:val="nil"/>
              <w:bottom w:val="nil"/>
              <w:right w:val="nil"/>
            </w:tcBorders>
            <w:tcMar>
              <w:top w:w="0" w:type="dxa"/>
              <w:left w:w="62" w:type="dxa"/>
              <w:bottom w:w="0" w:type="dxa"/>
              <w:right w:w="62" w:type="dxa"/>
            </w:tcMar>
          </w:tcPr>
          <w:p w:rsidR="00000000" w:rsidRPr="00EB42BE" w:rsidP="00EB42BE">
            <w:pPr>
              <w:pStyle w:val="BodyText"/>
            </w:pPr>
            <w:r w:rsidRPr="00EB42BE">
              <w:t>basic knowledge and understanding of applicable Commonwealth, State or Territory legislation, regulations, standards and codes of practice rele</w:t>
            </w:r>
            <w:r w:rsidRPr="00EB42BE">
              <w:t>vant to the full range of processes for mobile chipping/mulching</w:t>
            </w:r>
          </w:p>
          <w:p w:rsidR="00000000" w:rsidRPr="00EB42BE" w:rsidP="00EB42BE">
            <w:pPr>
              <w:pStyle w:val="BodyText"/>
            </w:pPr>
            <w:r w:rsidRPr="00EB42BE">
              <w:t>organisational and site standards, requirements, policies and procedures for mobile chipping/mulching</w:t>
            </w:r>
          </w:p>
          <w:p w:rsidR="00000000" w:rsidRPr="00EB42BE" w:rsidP="00EB42BE">
            <w:pPr>
              <w:pStyle w:val="BodyText"/>
            </w:pPr>
            <w:r w:rsidRPr="00EB42BE">
              <w:t>principles of cultural diversity and access and equity</w:t>
            </w:r>
          </w:p>
          <w:p w:rsidR="00000000" w:rsidRPr="00EB42BE" w:rsidP="00EB42BE">
            <w:pPr>
              <w:pStyle w:val="BodyText"/>
            </w:pPr>
            <w:r w:rsidRPr="00EB42BE">
              <w:t xml:space="preserve">environmental protection requirements, including the safe disposal of waste material </w:t>
            </w:r>
          </w:p>
          <w:p w:rsidR="00000000" w:rsidRPr="00EB42BE" w:rsidP="00EB42BE">
            <w:pPr>
              <w:pStyle w:val="BodyText"/>
            </w:pPr>
            <w:r w:rsidRPr="00EB42BE">
              <w:t>established communication channels and protocols</w:t>
            </w:r>
          </w:p>
          <w:p w:rsidR="00000000" w:rsidRPr="00EB42BE" w:rsidP="00EB42BE">
            <w:pPr>
              <w:pStyle w:val="BodyText"/>
            </w:pPr>
            <w:r w:rsidRPr="00EB42BE">
              <w:t>problem identification and resolution</w:t>
            </w:r>
          </w:p>
          <w:p w:rsidR="00000000" w:rsidRPr="00EB42BE" w:rsidP="00EB42BE">
            <w:pPr>
              <w:pStyle w:val="BodyText"/>
            </w:pPr>
            <w:r w:rsidRPr="00EB42BE">
              <w:t>types of tools and equipment and procedures for their safe use, operation and maint</w:t>
            </w:r>
            <w:r w:rsidRPr="00EB42BE">
              <w:t>enance</w:t>
            </w:r>
          </w:p>
          <w:p w:rsidR="00000000" w:rsidRPr="00EB42BE" w:rsidP="00EB42BE">
            <w:pPr>
              <w:pStyle w:val="BodyText"/>
            </w:pPr>
            <w:r w:rsidRPr="00EB42BE">
              <w:t>characteristics of trees and timber defects</w:t>
            </w:r>
          </w:p>
          <w:p w:rsidR="00000000" w:rsidRPr="00EB42BE" w:rsidP="00EB42BE">
            <w:pPr>
              <w:pStyle w:val="BodyText"/>
            </w:pPr>
            <w:r w:rsidRPr="00EB42BE">
              <w:t>chipping/mulching procedures</w:t>
            </w:r>
          </w:p>
          <w:p w:rsidR="00000000" w:rsidRPr="00EB42BE" w:rsidP="00EB42BE">
            <w:pPr>
              <w:pStyle w:val="BodyText"/>
            </w:pPr>
            <w:r w:rsidRPr="00EB42BE">
              <w:t>mobile chipper/mulcher operation and safety</w:t>
            </w:r>
          </w:p>
          <w:p w:rsidR="00000000" w:rsidRPr="00EB42BE" w:rsidP="00EB42BE">
            <w:pPr>
              <w:pStyle w:val="BodyText"/>
            </w:pPr>
            <w:r w:rsidRPr="00EB42BE">
              <w:t>chipper/mulcher condition assessment</w:t>
            </w:r>
          </w:p>
          <w:p w:rsidR="00000000" w:rsidRPr="00EB42BE" w:rsidP="00EB42BE">
            <w:pPr>
              <w:pStyle w:val="BodyText"/>
            </w:pPr>
            <w:r w:rsidRPr="00EB42BE">
              <w:t>procedures for recording, reporting and maintaining workplace records and information</w:t>
            </w:r>
          </w:p>
          <w:p w:rsidR="00000000" w:rsidRPr="00EB42BE" w:rsidP="00EB42BE">
            <w:pPr>
              <w:pStyle w:val="BodyText"/>
            </w:pPr>
            <w:r w:rsidRPr="00EB42BE">
              <w:t>appropria</w:t>
            </w:r>
            <w:r w:rsidRPr="00EB42BE">
              <w:t xml:space="preserve">te mathematical procedures for estimating and measuring, including calculating time to complete tasks </w:t>
            </w:r>
          </w:p>
        </w:tc>
      </w:tr>
    </w:tbl>
    <w:p w:rsidR="00000000" w:rsidRPr="00EB42BE" w:rsidP="00EB42BE">
      <w:pPr>
        <w:pStyle w:val="BodyText"/>
      </w:pPr>
    </w:p>
    <w:tbl>
      <w:tblPr>
        <w:tblW w:w="0" w:type="auto"/>
        <w:tblLayout w:type="fixed"/>
        <w:tblCellMar>
          <w:left w:w="62" w:type="dxa"/>
          <w:right w:w="62" w:type="dxa"/>
        </w:tblCellMar>
        <w:tblLook w:val="0000"/>
      </w:tblPr>
      <w:tblGrid>
        <w:gridCol w:w="3000"/>
        <w:gridCol w:w="3000"/>
        <w:gridCol w:w="3000"/>
      </w:tblGrid>
      <w:tr w:rsidTr="00FF5DEF">
        <w:tblPrEx>
          <w:tblW w:w="0" w:type="auto"/>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RPr="00EB42BE" w:rsidP="00EB42BE">
            <w:pPr>
              <w:pStyle w:val="BodyText"/>
            </w:pPr>
            <w:r w:rsidRPr="00EB42BE">
              <w:t>KEY COMPETENCIES</w:t>
            </w:r>
          </w:p>
          <w:p w:rsidR="00000000" w:rsidP="00EB42BE">
            <w:pPr>
              <w:pStyle w:val="BodyText"/>
              <w:rPr>
                <w:lang w:val="en-NZ"/>
              </w:rPr>
            </w:pPr>
            <w:r w:rsidRPr="00EB42BE">
              <w:rPr>
                <w:rStyle w:val="SpecialBold"/>
              </w:rPr>
              <w:t>ThesevenkeycompetenciesrepresentgenericskillsconsiderednecessaryforeffectiveparticipationbyanindividualintheworkplacePerformanceLevel1</w:t>
            </w:r>
            <w:r w:rsidRPr="00EB42BE">
              <w:t xml:space="preserve"> - </w:t>
            </w:r>
            <w:r w:rsidRPr="00EB42BE">
              <w:rPr>
                <w:rStyle w:val="SpecialBold"/>
              </w:rPr>
              <w:t>atthislevel</w:t>
            </w:r>
            <w:r w:rsidRPr="00EB42BE">
              <w:t xml:space="preserve">, </w:t>
            </w:r>
            <w:r w:rsidRPr="00EB42BE">
              <w:rPr>
                <w:rStyle w:val="SpecialBold"/>
              </w:rPr>
              <w:t>thecandidateisrequiredtoundertaketaskseffectivelyPerformanceLevel2</w:t>
            </w:r>
            <w:r w:rsidRPr="00EB42BE">
              <w:t xml:space="preserve"> - </w:t>
            </w:r>
            <w:r w:rsidRPr="00EB42BE">
              <w:rPr>
                <w:rStyle w:val="SpecialBold"/>
              </w:rPr>
              <w:t>atthislevel</w:t>
            </w:r>
            <w:r w:rsidRPr="00EB42BE">
              <w:t xml:space="preserve">, </w:t>
            </w:r>
            <w:r w:rsidRPr="00EB42BE">
              <w:rPr>
                <w:rStyle w:val="SpecialBold"/>
              </w:rPr>
              <w:t>thecandidateisrequiredtomanagetasksPerformanceLevel3</w:t>
            </w:r>
            <w:r w:rsidRPr="00EB42BE">
              <w:t xml:space="preserve"> - </w:t>
            </w:r>
            <w:r w:rsidRPr="00EB42BE">
              <w:rPr>
                <w:rStyle w:val="SpecialBold"/>
              </w:rPr>
              <w:t>atthislevel</w:t>
            </w:r>
            <w:r w:rsidRPr="00EB42BE">
              <w:t xml:space="preserve">, </w:t>
            </w:r>
            <w:r w:rsidRPr="00EB42BE">
              <w:rPr>
                <w:rStyle w:val="SpecialBold"/>
              </w:rPr>
              <w:t>thecandidateisrequiredtouseconceptsforevaluatingandreshapingtasks</w:t>
            </w:r>
          </w:p>
        </w:tc>
      </w:tr>
      <w:tr w:rsidTr="00FF5DEF">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Key Competency </w:t>
            </w:r>
          </w:p>
        </w:tc>
        <w:tc>
          <w:tcPr>
            <w:tcW w:w="30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Example of Application </w:t>
            </w:r>
          </w:p>
        </w:tc>
        <w:tc>
          <w:tcPr>
            <w:tcW w:w="30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Performance Level </w:t>
            </w:r>
          </w:p>
        </w:tc>
      </w:tr>
      <w:tr w:rsidTr="00FF5DEF">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How are ideas and information communicated? </w:t>
            </w:r>
          </w:p>
        </w:tc>
        <w:tc>
          <w:tcPr>
            <w:tcW w:w="30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By communicating in simple language to confirm work requirements, convey information and requests to colleagues, and report and record outcomes for mobile chipping/mul</w:t>
            </w:r>
            <w:r w:rsidRPr="00EB42BE">
              <w:t xml:space="preserve">ching </w:t>
            </w:r>
          </w:p>
        </w:tc>
        <w:tc>
          <w:tcPr>
            <w:tcW w:w="30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1 </w:t>
            </w:r>
          </w:p>
        </w:tc>
      </w:tr>
      <w:tr w:rsidTr="00FF5DEF">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How can information be collected, analysed and organised? </w:t>
            </w:r>
          </w:p>
        </w:tc>
        <w:tc>
          <w:tcPr>
            <w:tcW w:w="30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By collecting, organising and understanding information required to undertake mobile chipping/mulching </w:t>
            </w:r>
          </w:p>
        </w:tc>
        <w:tc>
          <w:tcPr>
            <w:tcW w:w="30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1 </w:t>
            </w:r>
          </w:p>
        </w:tc>
      </w:tr>
      <w:tr w:rsidTr="00FF5DEF">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How are activities planned and organised? </w:t>
            </w:r>
          </w:p>
        </w:tc>
        <w:tc>
          <w:tcPr>
            <w:tcW w:w="30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By organising and conducting work a</w:t>
            </w:r>
            <w:r w:rsidRPr="00EB42BE">
              <w:t xml:space="preserve">ctivities in the correct sequence for mobile chipping/mulching to be completed within the designated timeframes </w:t>
            </w:r>
          </w:p>
        </w:tc>
        <w:tc>
          <w:tcPr>
            <w:tcW w:w="30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2 </w:t>
            </w:r>
          </w:p>
        </w:tc>
      </w:tr>
      <w:tr w:rsidTr="00FF5DEF">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How is team work used? </w:t>
            </w:r>
          </w:p>
        </w:tc>
        <w:tc>
          <w:tcPr>
            <w:tcW w:w="30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By using effective communication and interpersonal techniques with colleagues and others to maximise confidence, satisfaction and productivity during the process of mobile chipping/mulching </w:t>
            </w:r>
          </w:p>
        </w:tc>
        <w:tc>
          <w:tcPr>
            <w:tcW w:w="30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1 </w:t>
            </w:r>
          </w:p>
        </w:tc>
      </w:tr>
      <w:tr w:rsidTr="00FF5DEF">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How are mathematical ideas and techniques used? </w:t>
            </w:r>
          </w:p>
        </w:tc>
        <w:tc>
          <w:tcPr>
            <w:tcW w:w="30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By calculati</w:t>
            </w:r>
            <w:r w:rsidRPr="00EB42BE">
              <w:t xml:space="preserve">ng time to complete tasks and estimating tools, equipment and material requirements including quantities and feed rates </w:t>
            </w:r>
          </w:p>
        </w:tc>
        <w:tc>
          <w:tcPr>
            <w:tcW w:w="30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1 </w:t>
            </w:r>
          </w:p>
        </w:tc>
      </w:tr>
      <w:tr w:rsidTr="00FF5DEF">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How are problem solving skills applied? </w:t>
            </w:r>
          </w:p>
        </w:tc>
        <w:tc>
          <w:tcPr>
            <w:tcW w:w="30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By establishing safe and effective processes for mobile chipping/mulching which anticipate</w:t>
            </w:r>
            <w:r w:rsidRPr="00EB42BE">
              <w:t xml:space="preserve"> likely problems to avoid wastage and downtime  </w:t>
            </w:r>
          </w:p>
        </w:tc>
        <w:tc>
          <w:tcPr>
            <w:tcW w:w="30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2 </w:t>
            </w:r>
          </w:p>
        </w:tc>
      </w:tr>
      <w:tr w:rsidTr="00FF5DEF">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How is the use of technology applied? </w:t>
            </w:r>
          </w:p>
        </w:tc>
        <w:tc>
          <w:tcPr>
            <w:tcW w:w="3000" w:type="dxa"/>
            <w:tcBorders>
              <w:top w:val="nil"/>
              <w:left w:val="nil"/>
              <w:bottom w:val="nil"/>
              <w:right w:val="nil"/>
            </w:tcBorders>
            <w:tcMar>
              <w:top w:w="0" w:type="dxa"/>
              <w:left w:w="62" w:type="dxa"/>
              <w:bottom w:w="0" w:type="dxa"/>
              <w:right w:w="62" w:type="dxa"/>
            </w:tcMar>
          </w:tcPr>
          <w:p w:rsidR="00000000" w:rsidRPr="00EB42BE" w:rsidP="00EB42BE">
            <w:pPr>
              <w:pStyle w:val="BodyText"/>
            </w:pPr>
            <w:r w:rsidRPr="00EB42BE">
              <w:t xml:space="preserve">By selecting and using mobile chipping/mulching equipment to chip or mulch timber refuse </w:t>
            </w:r>
          </w:p>
        </w:tc>
        <w:tc>
          <w:tcPr>
            <w:tcW w:w="3000" w:type="dxa"/>
            <w:tcBorders>
              <w:top w:val="nil"/>
              <w:left w:val="nil"/>
              <w:bottom w:val="nil"/>
              <w:right w:val="nil"/>
            </w:tcBorders>
            <w:tcMar>
              <w:top w:w="0" w:type="dxa"/>
              <w:left w:w="62" w:type="dxa"/>
              <w:bottom w:w="0" w:type="dxa"/>
              <w:right w:w="62" w:type="dxa"/>
            </w:tcMar>
          </w:tcPr>
          <w:p w:rsidR="00000000" w:rsidRPr="00EB42BE" w:rsidP="00EB42BE">
            <w:pPr>
              <w:pStyle w:val="BodyText"/>
            </w:pPr>
            <w:r w:rsidRPr="00EB42BE">
              <w:rPr>
                <w:rStyle w:val="SpecialBold"/>
              </w:rPr>
              <w:t>1</w:t>
            </w:r>
          </w:p>
        </w:tc>
      </w:tr>
    </w:tbl>
    <w:p w:rsidR="00000000" w:rsidRPr="00EB42BE" w:rsidP="00EB42BE">
      <w:pPr>
        <w:pStyle w:val="BodyText"/>
      </w:pPr>
    </w:p>
    <w:p w:rsidR="00000000" w:rsidRPr="00EB42BE" w:rsidP="00EB42BE">
      <w:pPr>
        <w:pStyle w:val="AllowPageBreak"/>
      </w:pPr>
    </w:p>
    <w:p w:rsidR="00000000" w:rsidRPr="00EB42BE" w:rsidP="00EB42BE">
      <w:pPr>
        <w:pStyle w:val="Heading1"/>
      </w:pPr>
      <w:bookmarkStart w:id="10" w:name="O_318785"/>
      <w:bookmarkEnd w:id="10"/>
      <w:r w:rsidRPr="00EB42BE">
        <w:t>Evidence Guide</w:t>
      </w:r>
    </w:p>
    <w:tbl>
      <w:tblPr>
        <w:tblW w:w="0" w:type="auto"/>
        <w:tblLayout w:type="fixed"/>
        <w:tblCellMar>
          <w:left w:w="62" w:type="dxa"/>
          <w:right w:w="62" w:type="dxa"/>
        </w:tblCellMar>
        <w:tblLook w:val="0000"/>
      </w:tblPr>
      <w:tblGrid>
        <w:gridCol w:w="4500"/>
        <w:gridCol w:w="4500"/>
      </w:tblGrid>
      <w:tr w:rsidTr="00FF5D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The Evidence Guide provides advice on </w:t>
            </w:r>
            <w:r w:rsidRPr="00EB42BE">
              <w:t>assessment and must be read in conjunction with the Performance Criteria, Required Skills and Knowledge, the Range Statement and the Assessment Guidelines for this Training Packag</w:t>
            </w:r>
          </w:p>
        </w:tc>
      </w:tr>
      <w:tr w:rsidTr="00FF5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A person who demonstrates competency in this unit must be able to provide evidence that they can safely and efficiently operate a mobile chipper/mulcher within organisational requirements </w:t>
            </w:r>
          </w:p>
        </w:tc>
      </w:tr>
      <w:tr w:rsidTr="00FF5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Critical aspects for assessment and evidence required to demonstra</w:t>
            </w:r>
            <w:r w:rsidRPr="00EB42BE">
              <w:rPr>
                <w:rStyle w:val="SpecialBold"/>
              </w:rPr>
              <w:t>te competency in this unit</w:t>
            </w:r>
          </w:p>
        </w:tc>
        <w:tc>
          <w:tcPr>
            <w:tcW w:w="4500" w:type="dxa"/>
            <w:tcBorders>
              <w:top w:val="nil"/>
              <w:left w:val="nil"/>
              <w:bottom w:val="nil"/>
              <w:right w:val="nil"/>
            </w:tcBorders>
            <w:tcMar>
              <w:top w:w="0" w:type="dxa"/>
              <w:left w:w="62" w:type="dxa"/>
              <w:bottom w:w="0" w:type="dxa"/>
              <w:right w:w="62" w:type="dxa"/>
            </w:tcMar>
          </w:tcPr>
          <w:p w:rsidR="00000000" w:rsidRPr="00EB42BE" w:rsidP="00EB42BE">
            <w:pPr>
              <w:pStyle w:val="BodyText"/>
            </w:pPr>
            <w:r w:rsidRPr="00EB42BE">
              <w:t>Comply with applicable Commonwealth, State or Territory legislative and regulatory requirements and codes of practice, including OHS, environmental and organisational policies and procedures, relevant to operating a mobile chippe</w:t>
            </w:r>
            <w:r w:rsidRPr="00EB42BE">
              <w:t>r/mulcher</w:t>
            </w:r>
          </w:p>
          <w:p w:rsidR="00000000" w:rsidRPr="00EB42BE" w:rsidP="00EB42BE">
            <w:pPr>
              <w:pStyle w:val="BodyText"/>
            </w:pPr>
            <w:r w:rsidRPr="00EB42BE">
              <w:t>Communicate effectively and work safely with others in the work area</w:t>
            </w:r>
          </w:p>
          <w:p w:rsidR="00000000" w:rsidRPr="00EB42BE" w:rsidP="00EB42BE">
            <w:pPr>
              <w:pStyle w:val="BodyText"/>
            </w:pPr>
            <w:r w:rsidRPr="00EB42BE">
              <w:t>Efficiently operate a mobile chipper/mulcher in accordance with the work order and within prescribed organisational tolerances</w:t>
            </w:r>
          </w:p>
          <w:p w:rsidR="00000000" w:rsidP="00EB42BE">
            <w:pPr>
              <w:pStyle w:val="BodyText"/>
              <w:rPr>
                <w:lang w:val="en-NZ"/>
              </w:rPr>
            </w:pPr>
            <w:r w:rsidRPr="00EB42BE">
              <w:t>Effectively conduct operator maintenance on a mobi</w:t>
            </w:r>
            <w:r w:rsidRPr="00EB42BE">
              <w:t xml:space="preserve">le chipping unit </w:t>
            </w:r>
          </w:p>
        </w:tc>
      </w:tr>
      <w:tr w:rsidTr="00FF5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EB42BE" w:rsidP="00EB42BE">
            <w:pPr>
              <w:pStyle w:val="BodyText"/>
            </w:pPr>
            <w:r w:rsidRPr="00EB42BE">
              <w:t>Competency is to be assessed in the workplace or realistically simulated workplace</w:t>
            </w:r>
          </w:p>
          <w:p w:rsidR="00000000" w:rsidRPr="00EB42BE" w:rsidP="00EB42BE">
            <w:pPr>
              <w:pStyle w:val="BodyText"/>
            </w:pPr>
            <w:r w:rsidRPr="00EB42BE">
              <w:t>Assessment is to occur under standard and authorised work practices, safety requirements and environmenta</w:t>
            </w:r>
            <w:r w:rsidRPr="00EB42BE">
              <w:t>l constraints</w:t>
            </w:r>
          </w:p>
          <w:p w:rsidR="00000000" w:rsidRPr="00EB42BE" w:rsidP="00EB42BE">
            <w:pPr>
              <w:pStyle w:val="BodyText"/>
            </w:pPr>
            <w:r w:rsidRPr="00EB42BE">
              <w:t>Assessment of essential underpinning knowledge, other than confirmatory questions, will usually be conducted in an off-site context</w:t>
            </w:r>
          </w:p>
          <w:p w:rsidR="00000000" w:rsidRPr="00EB42BE" w:rsidP="00EB42BE">
            <w:pPr>
              <w:pStyle w:val="BodyText"/>
            </w:pPr>
            <w:r w:rsidRPr="00EB42BE">
              <w:t>Assessment is to comply with relevant regulatory or Australian Standards requirements</w:t>
            </w:r>
          </w:p>
          <w:p w:rsidR="00000000" w:rsidRPr="00EB42BE" w:rsidP="00EB42BE">
            <w:pPr>
              <w:pStyle w:val="BodyText"/>
            </w:pPr>
            <w:r w:rsidRPr="00EB42BE">
              <w:t xml:space="preserve">The following resources </w:t>
            </w:r>
            <w:r w:rsidRPr="00EB42BE">
              <w:t>should be made available:</w:t>
            </w:r>
          </w:p>
          <w:p w:rsidR="00000000" w:rsidRPr="00EB42BE" w:rsidP="00EB42BE">
            <w:pPr>
              <w:pStyle w:val="BodyText"/>
            </w:pPr>
            <w:r w:rsidRPr="00EB42BE">
              <w:t>workplace location or simulated workplace</w:t>
            </w:r>
          </w:p>
          <w:p w:rsidR="00000000" w:rsidRPr="00EB42BE" w:rsidP="00EB42BE">
            <w:pPr>
              <w:pStyle w:val="BodyText"/>
            </w:pPr>
            <w:r w:rsidRPr="00EB42BE">
              <w:t>materials and equipment relevant to mobile chipping</w:t>
            </w:r>
          </w:p>
          <w:p w:rsidR="00000000" w:rsidP="00EB42BE">
            <w:pPr>
              <w:pStyle w:val="BodyText"/>
              <w:rPr>
                <w:lang w:val="en-NZ"/>
              </w:rPr>
            </w:pPr>
            <w:r w:rsidRPr="00EB42BE">
              <w:t xml:space="preserve">specifications and work instructions </w:t>
            </w:r>
          </w:p>
        </w:tc>
      </w:tr>
      <w:tr w:rsidTr="00FF5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EB42BE" w:rsidP="00EB42BE">
            <w:pPr>
              <w:pStyle w:val="BodyText"/>
            </w:pPr>
            <w:r w:rsidRPr="00EB42BE">
              <w:t>Assessment must satisfy the endorsed Assessment Guidelines of the FPI05 Training Package</w:t>
            </w:r>
          </w:p>
          <w:p w:rsidR="00000000" w:rsidRPr="00EB42BE" w:rsidP="00EB42BE">
            <w:pPr>
              <w:pStyle w:val="BodyText"/>
            </w:pPr>
            <w:r w:rsidRPr="00EB42BE">
              <w:t>Assessment methods must confirm consistency and accuracy of performance (over time and in a range of workplace relevant contexts) together with application of underpin</w:t>
            </w:r>
            <w:r w:rsidRPr="00EB42BE">
              <w:t>ning knowledge</w:t>
            </w:r>
          </w:p>
          <w:p w:rsidR="00000000" w:rsidRPr="00EB42BE" w:rsidP="00EB42BE">
            <w:pPr>
              <w:pStyle w:val="BodyText"/>
            </w:pPr>
            <w:r w:rsidRPr="00EB42BE">
              <w:t>Assessment must be by direct observation of tasks, with questioning on underpinning knowledge and it must also reinforce the integration of key competencies</w:t>
            </w:r>
          </w:p>
          <w:p w:rsidR="00000000" w:rsidRPr="00EB42BE" w:rsidP="00EB42BE">
            <w:pPr>
              <w:pStyle w:val="BodyText"/>
            </w:pPr>
            <w:r w:rsidRPr="00EB42BE">
              <w:t>Assessment methods must confirm the ability to access and correctly interpret and ap</w:t>
            </w:r>
            <w:r w:rsidRPr="00EB42BE">
              <w:t>ply the essential underpinning knowledge</w:t>
            </w:r>
          </w:p>
          <w:p w:rsidR="00000000" w:rsidRPr="00EB42BE" w:rsidP="00EB42BE">
            <w:pPr>
              <w:pStyle w:val="BodyText"/>
            </w:pPr>
            <w:r w:rsidRPr="00EB42BE">
              <w:t>Assessment may be applied under project-related conditions (real or simulated) and require evidence of process</w:t>
            </w:r>
          </w:p>
          <w:p w:rsidR="00000000" w:rsidRPr="00EB42BE" w:rsidP="00EB42BE">
            <w:pPr>
              <w:pStyle w:val="BodyText"/>
            </w:pPr>
            <w:r w:rsidRPr="00EB42BE">
              <w:t>Assessment must confirm a reasonable inference that competency is able not only to be satisfied under th</w:t>
            </w:r>
            <w:r w:rsidRPr="00EB42BE">
              <w:t>e particular circumstance, but is able to be transferred to other circumstances</w:t>
            </w:r>
          </w:p>
          <w:p w:rsidR="00000000" w:rsidRPr="00EB42BE" w:rsidP="00EB42BE">
            <w:pPr>
              <w:pStyle w:val="BodyText"/>
            </w:pPr>
            <w:r w:rsidRPr="00EB42BE">
              <w:t>Assessment may be in conjunction with assessment of other units of competency</w:t>
            </w:r>
          </w:p>
          <w:p w:rsidR="00000000" w:rsidRPr="00EB42BE" w:rsidP="00EB42BE">
            <w:pPr>
              <w:pStyle w:val="BodyText"/>
            </w:pPr>
            <w:r w:rsidRPr="00EB42BE">
              <w:t>The assessment environment should not disadvantage the candidate</w:t>
            </w:r>
          </w:p>
          <w:p w:rsidR="00000000" w:rsidRPr="00EB42BE" w:rsidP="00EB42BE">
            <w:pPr>
              <w:pStyle w:val="BodyText"/>
            </w:pPr>
            <w:r w:rsidRPr="00EB42BE">
              <w:t xml:space="preserve">Assessment practices should take </w:t>
            </w:r>
            <w:r w:rsidRPr="00EB42BE">
              <w:t>into account any relevant language or cultural issues related to Aboriginality, gender or language backgrounds other than English</w:t>
            </w:r>
          </w:p>
          <w:p w:rsidR="00000000" w:rsidRPr="00EB42BE" w:rsidP="00EB42BE">
            <w:pPr>
              <w:pStyle w:val="BodyText"/>
            </w:pPr>
            <w:r w:rsidRPr="00EB42BE">
              <w:t>Where the participant has a disability, reasonable adjustment may be applied during assessment</w:t>
            </w:r>
          </w:p>
          <w:p w:rsidR="00000000" w:rsidRPr="00EB42BE" w:rsidP="00EB42BE">
            <w:pPr>
              <w:pStyle w:val="BodyText"/>
            </w:pPr>
            <w:r w:rsidRPr="00EB42BE">
              <w:t>Language and literacy demands o</w:t>
            </w:r>
            <w:r w:rsidRPr="00EB42BE">
              <w:t xml:space="preserve">f the assessment task should not be higher than those of the work role </w:t>
            </w:r>
          </w:p>
        </w:tc>
      </w:tr>
    </w:tbl>
    <w:p w:rsidR="00000000" w:rsidRPr="00EB42BE" w:rsidP="00EB42BE">
      <w:pPr>
        <w:pStyle w:val="BodyText"/>
      </w:pPr>
    </w:p>
    <w:p w:rsidR="00000000" w:rsidRPr="00EB42BE" w:rsidP="00EB42BE">
      <w:pPr>
        <w:pStyle w:val="AllowPageBreak"/>
      </w:pPr>
    </w:p>
    <w:p w:rsidR="00000000" w:rsidRPr="00EB42BE" w:rsidP="00EB42BE">
      <w:pPr>
        <w:pStyle w:val="Heading1"/>
      </w:pPr>
      <w:bookmarkStart w:id="11" w:name="O_318793"/>
      <w:bookmarkEnd w:id="11"/>
      <w:r w:rsidRPr="00EB42BE">
        <w:t>Range Statement</w:t>
      </w:r>
    </w:p>
    <w:tbl>
      <w:tblPr>
        <w:tblW w:w="0" w:type="auto"/>
        <w:tblLayout w:type="fixed"/>
        <w:tblCellMar>
          <w:left w:w="62" w:type="dxa"/>
          <w:right w:w="62" w:type="dxa"/>
        </w:tblCellMar>
        <w:tblLook w:val="0000"/>
      </w:tblPr>
      <w:tblGrid>
        <w:gridCol w:w="4500"/>
        <w:gridCol w:w="4500"/>
      </w:tblGrid>
      <w:tr w:rsidTr="00FF5D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B42BE" w:rsidP="00EB42BE">
            <w:pPr>
              <w:pStyle w:val="BodyText"/>
            </w:pPr>
            <w:r w:rsidRPr="00EB42BE">
              <w:rPr>
                <w:rStyle w:val="SpecialBold"/>
              </w:rPr>
              <w:t>RANGE STATEMENT</w:t>
            </w:r>
          </w:p>
          <w:p w:rsidR="00000000" w:rsidP="00EB42BE">
            <w:pPr>
              <w:pStyle w:val="BodyText"/>
              <w:rPr>
                <w:lang w:val="en-NZ"/>
              </w:rPr>
            </w:pPr>
            <w:r w:rsidRPr="00EB42BE">
              <w:t>The Range Statement relates to the unit of competency as a whole. It allows for different work environments and situations that may a</w:t>
            </w:r>
            <w:r w:rsidRPr="00EB42BE">
              <w:t>ffect performance. Bold italicised wording in the Performance Criteria is detailed belo</w:t>
            </w:r>
          </w:p>
        </w:tc>
      </w:tr>
      <w:tr w:rsidTr="00FF5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OHS requirements are to be in accordance with Commonwealth</w:t>
            </w:r>
            <w:r w:rsidRPr="00EB42BE">
              <w:t xml:space="preserve">, </w:t>
            </w:r>
            <w:r w:rsidRPr="00EB42BE">
              <w:rPr>
                <w:rStyle w:val="SpecialBold"/>
              </w:rPr>
              <w:t>State or Territory legislation and regulations</w:t>
            </w:r>
            <w:r w:rsidRPr="00EB42BE">
              <w:t xml:space="preserve">, </w:t>
            </w:r>
            <w:r w:rsidRPr="00EB42BE">
              <w:rPr>
                <w:rStyle w:val="SpecialBold"/>
              </w:rPr>
              <w:t>and organisational safety policies and procedures</w:t>
            </w:r>
            <w:r w:rsidRPr="00EB42BE">
              <w:t xml:space="preserve">. </w:t>
            </w:r>
            <w:r w:rsidRPr="00EB42BE">
              <w:rPr>
                <w:rStyle w:val="SpecialBold"/>
              </w:rPr>
              <w:t>Requirements may include</w:t>
            </w:r>
            <w:r w:rsidRPr="00EB42BE">
              <w:t xml:space="preserve">: </w:t>
            </w:r>
          </w:p>
        </w:tc>
        <w:tc>
          <w:tcPr>
            <w:tcW w:w="4500" w:type="dxa"/>
            <w:tcBorders>
              <w:top w:val="nil"/>
              <w:left w:val="nil"/>
              <w:bottom w:val="nil"/>
              <w:right w:val="nil"/>
            </w:tcBorders>
            <w:tcMar>
              <w:top w:w="0" w:type="dxa"/>
              <w:left w:w="62" w:type="dxa"/>
              <w:bottom w:w="0" w:type="dxa"/>
              <w:right w:w="62" w:type="dxa"/>
            </w:tcMar>
          </w:tcPr>
          <w:p w:rsidR="00000000" w:rsidRPr="00EB42BE" w:rsidP="00EB42BE">
            <w:pPr>
              <w:pStyle w:val="BodyText"/>
            </w:pPr>
            <w:r w:rsidRPr="00EB42BE">
              <w:t>the use of personal protective equipment and clothing</w:t>
            </w:r>
          </w:p>
          <w:p w:rsidR="00000000" w:rsidRPr="00EB42BE" w:rsidP="00EB42BE">
            <w:pPr>
              <w:pStyle w:val="BodyText"/>
            </w:pPr>
            <w:r w:rsidRPr="00EB42BE">
              <w:t>safety equipment</w:t>
            </w:r>
          </w:p>
          <w:p w:rsidR="00000000" w:rsidRPr="00EB42BE" w:rsidP="00EB42BE">
            <w:pPr>
              <w:pStyle w:val="BodyText"/>
            </w:pPr>
            <w:r w:rsidRPr="00EB42BE">
              <w:t>first aid equipment</w:t>
            </w:r>
          </w:p>
          <w:p w:rsidR="00000000" w:rsidRPr="00EB42BE" w:rsidP="00EB42BE">
            <w:pPr>
              <w:pStyle w:val="BodyText"/>
            </w:pPr>
            <w:r w:rsidRPr="00EB42BE">
              <w:t>fire fighting equipment</w:t>
            </w:r>
          </w:p>
          <w:p w:rsidR="00000000" w:rsidRPr="00EB42BE" w:rsidP="00EB42BE">
            <w:pPr>
              <w:pStyle w:val="BodyText"/>
            </w:pPr>
            <w:r w:rsidRPr="00EB42BE">
              <w:t>hazard and risk control</w:t>
            </w:r>
          </w:p>
          <w:p w:rsidR="00000000" w:rsidRPr="00EB42BE" w:rsidP="00EB42BE">
            <w:pPr>
              <w:pStyle w:val="BodyText"/>
            </w:pPr>
            <w:r w:rsidRPr="00EB42BE">
              <w:t>elimination of hazardous materials and substances</w:t>
            </w:r>
          </w:p>
          <w:p w:rsidR="00000000" w:rsidRPr="00EB42BE" w:rsidP="00EB42BE">
            <w:pPr>
              <w:pStyle w:val="BodyText"/>
            </w:pPr>
            <w:r w:rsidRPr="00EB42BE">
              <w:t>safe forest practices including required</w:t>
            </w:r>
            <w:r w:rsidRPr="00EB42BE">
              <w:t xml:space="preserve"> actions relating to forest fire</w:t>
            </w:r>
          </w:p>
          <w:p w:rsidR="00000000" w:rsidP="00EB42BE">
            <w:pPr>
              <w:pStyle w:val="BodyText"/>
              <w:rPr>
                <w:lang w:val="en-NZ"/>
              </w:rPr>
            </w:pPr>
            <w:r w:rsidRPr="00EB42BE">
              <w:t xml:space="preserve">manual handling including shifting, lifting and carrying </w:t>
            </w:r>
          </w:p>
        </w:tc>
      </w:tr>
      <w:tr w:rsidTr="00FF5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Legislative requirements are to be in accordance with applicable legislation from all levels of government that affect organisational operation</w:t>
            </w:r>
            <w:r w:rsidRPr="00EB42BE">
              <w:t xml:space="preserve">. </w:t>
            </w:r>
            <w:r w:rsidRPr="00EB42BE">
              <w:rPr>
                <w:rStyle w:val="SpecialBold"/>
              </w:rPr>
              <w:t>Requirements may in</w:t>
            </w:r>
            <w:r w:rsidRPr="00EB42BE">
              <w:rPr>
                <w:rStyle w:val="SpecialBold"/>
              </w:rPr>
              <w:t>clude</w:t>
            </w:r>
            <w:r w:rsidRPr="00EB42BE">
              <w:t xml:space="preserve">: </w:t>
            </w:r>
          </w:p>
        </w:tc>
        <w:tc>
          <w:tcPr>
            <w:tcW w:w="4500" w:type="dxa"/>
            <w:tcBorders>
              <w:top w:val="nil"/>
              <w:left w:val="nil"/>
              <w:bottom w:val="nil"/>
              <w:right w:val="nil"/>
            </w:tcBorders>
            <w:tcMar>
              <w:top w:w="0" w:type="dxa"/>
              <w:left w:w="62" w:type="dxa"/>
              <w:bottom w:w="0" w:type="dxa"/>
              <w:right w:w="62" w:type="dxa"/>
            </w:tcMar>
          </w:tcPr>
          <w:p w:rsidR="00000000" w:rsidRPr="00EB42BE" w:rsidP="00EB42BE">
            <w:pPr>
              <w:pStyle w:val="BodyText"/>
            </w:pPr>
            <w:r w:rsidRPr="00EB42BE">
              <w:t>award and enterprise agreements</w:t>
            </w:r>
          </w:p>
          <w:p w:rsidR="00000000" w:rsidRPr="00EB42BE" w:rsidP="00EB42BE">
            <w:pPr>
              <w:pStyle w:val="BodyText"/>
            </w:pPr>
            <w:r w:rsidRPr="00EB42BE">
              <w:t>industrial relations</w:t>
            </w:r>
          </w:p>
          <w:p w:rsidR="00000000" w:rsidRPr="00EB42BE" w:rsidP="00EB42BE">
            <w:pPr>
              <w:pStyle w:val="BodyText"/>
            </w:pPr>
            <w:r w:rsidRPr="00EB42BE">
              <w:t>Australian Standards</w:t>
            </w:r>
          </w:p>
          <w:p w:rsidR="00000000" w:rsidRPr="00EB42BE" w:rsidP="00EB42BE">
            <w:pPr>
              <w:pStyle w:val="BodyText"/>
            </w:pPr>
            <w:r w:rsidRPr="00EB42BE">
              <w:t>confidentiality and privacy</w:t>
            </w:r>
          </w:p>
          <w:p w:rsidR="00000000" w:rsidRPr="00EB42BE" w:rsidP="00EB42BE">
            <w:pPr>
              <w:pStyle w:val="BodyText"/>
            </w:pPr>
            <w:r w:rsidRPr="00EB42BE">
              <w:t>OHS</w:t>
            </w:r>
          </w:p>
          <w:p w:rsidR="00000000" w:rsidRPr="00EB42BE" w:rsidP="00EB42BE">
            <w:pPr>
              <w:pStyle w:val="BodyText"/>
            </w:pPr>
            <w:r w:rsidRPr="00EB42BE">
              <w:t>the environment</w:t>
            </w:r>
          </w:p>
          <w:p w:rsidR="00000000" w:rsidRPr="00EB42BE" w:rsidP="00EB42BE">
            <w:pPr>
              <w:pStyle w:val="BodyText"/>
            </w:pPr>
            <w:r w:rsidRPr="00EB42BE">
              <w:t>equal opportunity</w:t>
            </w:r>
          </w:p>
          <w:p w:rsidR="00000000" w:rsidRPr="00EB42BE" w:rsidP="00EB42BE">
            <w:pPr>
              <w:pStyle w:val="BodyText"/>
            </w:pPr>
            <w:r w:rsidRPr="00EB42BE">
              <w:t>anti-discrimination</w:t>
            </w:r>
          </w:p>
          <w:p w:rsidR="00000000" w:rsidRPr="00EB42BE" w:rsidP="00EB42BE">
            <w:pPr>
              <w:pStyle w:val="BodyText"/>
            </w:pPr>
            <w:r w:rsidRPr="00EB42BE">
              <w:t>relevant industry codes of practice</w:t>
            </w:r>
          </w:p>
          <w:p w:rsidR="00000000" w:rsidRPr="00EB42BE" w:rsidP="00EB42BE">
            <w:pPr>
              <w:pStyle w:val="BodyText"/>
            </w:pPr>
            <w:r w:rsidRPr="00EB42BE">
              <w:t>duty of care</w:t>
            </w:r>
          </w:p>
          <w:p w:rsidR="00000000" w:rsidP="00EB42BE">
            <w:pPr>
              <w:pStyle w:val="BodyText"/>
              <w:rPr>
                <w:lang w:val="en-NZ"/>
              </w:rPr>
            </w:pPr>
            <w:r w:rsidRPr="00EB42BE">
              <w:t xml:space="preserve">heritage and traditional land owner issues </w:t>
            </w:r>
          </w:p>
        </w:tc>
      </w:tr>
      <w:tr w:rsidTr="00FF5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Organisational requirements</w:t>
            </w:r>
          </w:p>
        </w:tc>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may include legal, organisational and site guidelines, policies and procedures relating to own role and responsibility, quality assurance, procedural manuals, quality and continuous i</w:t>
            </w:r>
            <w:r w:rsidRPr="00EB42BE">
              <w:t>mprovement processes and standards, OHS, emergency and evacuation, ethical standards, recording and reporting, access and equity principles and practices, equipment use, maintenance and storage, environmental management (waste disposal, recycling and re-us</w:t>
            </w:r>
            <w:r w:rsidRPr="00EB42BE">
              <w:t xml:space="preserve">e guidelines) </w:t>
            </w:r>
          </w:p>
        </w:tc>
      </w:tr>
      <w:tr w:rsidTr="00FF5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Work order</w:t>
            </w:r>
          </w:p>
        </w:tc>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is to include instructions for the chipping/mulching and despatch of chipped/mulched timber refuse from the work site and may include type, size, length, quantity and grade </w:t>
            </w:r>
          </w:p>
        </w:tc>
      </w:tr>
      <w:tr w:rsidTr="00FF5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Appropriate personnel</w:t>
            </w:r>
          </w:p>
        </w:tc>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may include supervisors, supplie</w:t>
            </w:r>
            <w:r w:rsidRPr="00EB42BE">
              <w:t xml:space="preserve">rs, clients, colleagues and managers </w:t>
            </w:r>
          </w:p>
        </w:tc>
      </w:tr>
      <w:tr w:rsidTr="00FF5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Timber refuse</w:t>
            </w:r>
          </w:p>
        </w:tc>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may include branches, tree heads, bark and other timber waste </w:t>
            </w:r>
          </w:p>
        </w:tc>
      </w:tr>
      <w:tr w:rsidTr="00FF5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Chipping</w:t>
            </w:r>
            <w:r w:rsidRPr="00EB42BE">
              <w:t>/</w:t>
            </w:r>
            <w:r w:rsidRPr="00EB42BE">
              <w:rPr>
                <w:rStyle w:val="SpecialBold"/>
              </w:rPr>
              <w:t>mulching</w:t>
            </w:r>
          </w:p>
        </w:tc>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is to include the process of converting timber refuse into varying chip sizes using mechanised chipping/mulching units </w:t>
            </w:r>
          </w:p>
        </w:tc>
      </w:tr>
      <w:tr w:rsidTr="00FF5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Equipment</w:t>
            </w:r>
          </w:p>
        </w:tc>
        <w:tc>
          <w:tcPr>
            <w:tcW w:w="4500" w:type="dxa"/>
            <w:tcBorders>
              <w:top w:val="nil"/>
              <w:left w:val="nil"/>
              <w:bottom w:val="nil"/>
              <w:right w:val="nil"/>
            </w:tcBorders>
            <w:tcMar>
              <w:top w:w="0" w:type="dxa"/>
              <w:left w:w="62" w:type="dxa"/>
              <w:bottom w:w="0" w:type="dxa"/>
              <w:right w:w="62" w:type="dxa"/>
            </w:tcMar>
          </w:tcPr>
          <w:p w:rsidR="00000000" w:rsidRPr="00EB42BE" w:rsidP="00EB42BE">
            <w:pPr>
              <w:pStyle w:val="BodyText"/>
            </w:pPr>
            <w:r w:rsidRPr="00EB42BE">
              <w:t>may include mobile chipping/mulching units, specific safety attire and maintenance tools and equipment</w:t>
            </w:r>
          </w:p>
          <w:p w:rsidR="00000000" w:rsidP="00EB42BE">
            <w:pPr>
              <w:pStyle w:val="BodyText"/>
              <w:rPr>
                <w:lang w:val="en-NZ"/>
              </w:rPr>
            </w:pPr>
            <w:r w:rsidRPr="00EB42BE">
              <w:t xml:space="preserve">is to include procedures for equipment lock-out, ie protecting operators and co-workers from accidental injury by isolating the machine </w:t>
            </w:r>
          </w:p>
        </w:tc>
      </w:tr>
      <w:tr w:rsidTr="00FF5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Communication</w:t>
            </w:r>
          </w:p>
        </w:tc>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may include verbal and non-verbal language, hand or other agreed signals, eye contact with other operators or personnel, active listening, questioning to clarify and confirm understanding, use of electronic communication devices </w:t>
            </w:r>
          </w:p>
        </w:tc>
      </w:tr>
      <w:tr w:rsidTr="00FF5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Chipping</w:t>
            </w:r>
            <w:r w:rsidRPr="00EB42BE">
              <w:t>/</w:t>
            </w:r>
            <w:r w:rsidRPr="00EB42BE">
              <w:rPr>
                <w:rStyle w:val="SpecialBold"/>
              </w:rPr>
              <w:t>mu</w:t>
            </w:r>
            <w:r w:rsidRPr="00EB42BE">
              <w:rPr>
                <w:rStyle w:val="SpecialBold"/>
              </w:rPr>
              <w:t>lching unit</w:t>
            </w:r>
          </w:p>
        </w:tc>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may include a truck mounted chipping/mulching unit or trailer mounted chipping/mulching unit feeding into a truck or other form of transportation. Chipping/mulching units are usually petrol driven and contain high powered spinning cutters which</w:t>
            </w:r>
            <w:r w:rsidRPr="00EB42BE">
              <w:t xml:space="preserve"> shred timber refuse into chips/mulch </w:t>
            </w:r>
          </w:p>
        </w:tc>
      </w:tr>
      <w:tr w:rsidTr="00FF5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Pre start</w:t>
            </w:r>
            <w:r w:rsidRPr="00EB42BE">
              <w:t>-</w:t>
            </w:r>
            <w:r w:rsidRPr="00EB42BE">
              <w:rPr>
                <w:rStyle w:val="SpecialBold"/>
              </w:rPr>
              <w:t>up checks</w:t>
            </w:r>
          </w:p>
        </w:tc>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are conducted to ensure equipment has been set-up correctly, the systems are performing accurately and operating to optimum performance </w:t>
            </w:r>
          </w:p>
        </w:tc>
      </w:tr>
      <w:tr w:rsidTr="00FF5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Capacity</w:t>
            </w:r>
          </w:p>
        </w:tc>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may include the capacity of the machinery to cope</w:t>
            </w:r>
            <w:r w:rsidRPr="00EB42BE">
              <w:t xml:space="preserve"> with certain size diameters of branch or the speed by which waste is fed into the chipper/mulcher </w:t>
            </w:r>
          </w:p>
        </w:tc>
      </w:tr>
      <w:tr w:rsidTr="00FF5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Chip sizes</w:t>
            </w:r>
          </w:p>
        </w:tc>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t xml:space="preserve">may vary in size, dependent on the customer or work order and the capability of the chipper/mulcher to set chip sizes </w:t>
            </w:r>
          </w:p>
        </w:tc>
      </w:tr>
      <w:tr w:rsidTr="00FF5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Records and reports</w:t>
            </w:r>
          </w:p>
        </w:tc>
        <w:tc>
          <w:tcPr>
            <w:tcW w:w="4500" w:type="dxa"/>
            <w:tcBorders>
              <w:top w:val="nil"/>
              <w:left w:val="nil"/>
              <w:bottom w:val="nil"/>
              <w:right w:val="nil"/>
            </w:tcBorders>
            <w:tcMar>
              <w:top w:w="0" w:type="dxa"/>
              <w:left w:w="62" w:type="dxa"/>
              <w:bottom w:w="0" w:type="dxa"/>
              <w:right w:w="62" w:type="dxa"/>
            </w:tcMar>
          </w:tcPr>
          <w:p w:rsidR="00000000" w:rsidRPr="00EB42BE" w:rsidP="00EB42BE">
            <w:pPr>
              <w:pStyle w:val="BodyText"/>
            </w:pPr>
            <w:r w:rsidRPr="00EB42BE">
              <w:t xml:space="preserve">may </w:t>
            </w:r>
            <w:r w:rsidRPr="00EB42BE">
              <w:t>include timber type, size, outcomes, storage locations, quality outcomes, hazards, incidents or equipment malfunctions</w:t>
            </w:r>
          </w:p>
          <w:p w:rsidR="00000000" w:rsidP="00EB42BE">
            <w:pPr>
              <w:pStyle w:val="BodyText"/>
              <w:rPr>
                <w:lang w:val="en-NZ"/>
              </w:rPr>
            </w:pPr>
            <w:r w:rsidRPr="00EB42BE">
              <w:t xml:space="preserve">may be manual, using a computer-based system or another appropriate organisational communication system  </w:t>
            </w:r>
          </w:p>
        </w:tc>
      </w:tr>
      <w:tr w:rsidTr="00FF5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B42BE">
            <w:pPr>
              <w:pStyle w:val="BodyText"/>
              <w:rPr>
                <w:lang w:val="en-NZ"/>
              </w:rPr>
            </w:pPr>
            <w:r w:rsidRPr="00EB42BE">
              <w:rPr>
                <w:rStyle w:val="SpecialBold"/>
              </w:rPr>
              <w:t>Foreign matter</w:t>
            </w:r>
          </w:p>
        </w:tc>
        <w:tc>
          <w:tcPr>
            <w:tcW w:w="4500" w:type="dxa"/>
            <w:tcBorders>
              <w:top w:val="nil"/>
              <w:left w:val="nil"/>
              <w:bottom w:val="nil"/>
              <w:right w:val="nil"/>
            </w:tcBorders>
            <w:tcMar>
              <w:top w:w="0" w:type="dxa"/>
              <w:left w:w="62" w:type="dxa"/>
              <w:bottom w:w="0" w:type="dxa"/>
              <w:right w:w="62" w:type="dxa"/>
            </w:tcMar>
          </w:tcPr>
          <w:p w:rsidR="00000000" w:rsidRPr="00EB42BE" w:rsidP="00EB42BE">
            <w:pPr>
              <w:pStyle w:val="BodyText"/>
            </w:pPr>
            <w:r w:rsidRPr="00EB42BE">
              <w:t xml:space="preserve">may include contamination of chip, stones, rocks, metal and other foreign matter which may blunt the cutters or affect operation of the chipper/mulcher </w:t>
            </w:r>
          </w:p>
        </w:tc>
      </w:tr>
    </w:tbl>
    <w:p w:rsidR="00000000" w:rsidRPr="00EB42BE" w:rsidP="00EB42BE">
      <w:pPr>
        <w:pStyle w:val="BodyText"/>
      </w:pPr>
    </w:p>
    <w:p w:rsidR="00000000" w:rsidRPr="00EB42BE" w:rsidP="00EB42BE">
      <w:pPr>
        <w:pStyle w:val="AllowPageBreak"/>
      </w:pPr>
    </w:p>
    <w:p w:rsidR="00000000" w:rsidRPr="00EB42BE" w:rsidP="00EB42BE">
      <w:pPr>
        <w:pStyle w:val="Heading1"/>
      </w:pPr>
      <w:bookmarkStart w:id="12" w:name="O_318784"/>
      <w:bookmarkEnd w:id="12"/>
      <w:r w:rsidRPr="00EB42BE">
        <w:t>Unit Sector(s)</w:t>
      </w:r>
    </w:p>
    <w:p w:rsidR="00000000" w:rsidRPr="00EB42BE" w:rsidP="00EB42BE">
      <w:pPr>
        <w:pStyle w:val="BodyText"/>
      </w:pPr>
      <w:r w:rsidRPr="00EB42BE">
        <w:t>Not applicable.</w:t>
      </w:r>
    </w:p>
    <w:p w:rsidR="00000000" w:rsidRPr="00EB42BE" w:rsidP="00EB42BE">
      <w:pPr>
        <w:pStyle w:val="AllowPageBreak"/>
      </w:pPr>
    </w:p>
    <w:p w:rsidR="00000000" w:rsidRPr="00EB42BE" w:rsidP="00EB42BE">
      <w:pPr>
        <w:pStyle w:val="Heading1"/>
      </w:pPr>
      <w:bookmarkStart w:id="13" w:name="O_318786"/>
      <w:bookmarkEnd w:id="13"/>
      <w:r w:rsidRPr="00EB42BE">
        <w:t>Competency Field</w:t>
      </w:r>
    </w:p>
    <w:p w:rsidR="00000000" w:rsidRPr="00EB42BE" w:rsidP="00EB42BE">
      <w:pPr>
        <w:pStyle w:val="BodyText"/>
      </w:pPr>
      <w:r w:rsidRPr="00EB42BE">
        <w:t>Harvesting and Haul</w:t>
      </w:r>
      <w:r w:rsidRPr="00EB42BE">
        <w:t>age</w:t>
      </w:r>
    </w:p>
    <w:p w:rsidR="00000000" w:rsidRPr="00EB42BE" w:rsidP="00EB42BE">
      <w:pPr>
        <w:pStyle w:val="BodyText"/>
      </w:pPr>
      <w:r w:rsidRPr="00EB42BE">
        <w:t>Harvesting and Haulage</w:t>
      </w:r>
    </w:p>
    <w:p w:rsidR="00000000" w:rsidRPr="00EB42BE" w:rsidP="00EB42BE"/>
    <w:sectPr w:rsidSect="00EB42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5DEF" w:rsidP="00FF5D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EF" w:rsidP="00EB42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F5DEF" w:rsidP="00EB42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F5DEF" w:rsidP="00EB42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5DEF" w:rsidP="00FF5D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EF" w:rsidP="00EB42BE">
    <w:pPr>
      <w:pStyle w:val="Header"/>
      <w:framePr w:wrap="around"/>
    </w:pPr>
    <w:r>
      <w:fldChar w:fldCharType="begin"/>
    </w:r>
    <w:r>
      <w:instrText xml:space="preserve"> TITLE   \* MERGEFORMAT </w:instrText>
    </w:r>
    <w:r>
      <w:fldChar w:fldCharType="separate"/>
    </w:r>
    <w:r>
      <w:t>FPIHAR2206A Operate a mobile chipper/mulcher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F5DEF" w:rsidP="00EB42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2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42BE"/>
    <w:pPr>
      <w:spacing w:before="360" w:after="60"/>
      <w:outlineLvl w:val="0"/>
    </w:pPr>
    <w:rPr>
      <w:sz w:val="32"/>
    </w:rPr>
  </w:style>
  <w:style w:type="paragraph" w:styleId="Heading2">
    <w:name w:val="heading 2"/>
    <w:basedOn w:val="HeadingBase"/>
    <w:next w:val="BodyText"/>
    <w:link w:val="Heading2Char"/>
    <w:qFormat/>
    <w:rsid w:val="00EB42BE"/>
    <w:pPr>
      <w:keepLines/>
      <w:spacing w:before="240" w:after="120"/>
      <w:outlineLvl w:val="1"/>
    </w:pPr>
    <w:rPr>
      <w:sz w:val="28"/>
      <w:szCs w:val="40"/>
    </w:rPr>
  </w:style>
  <w:style w:type="paragraph" w:styleId="Heading3">
    <w:name w:val="heading 3"/>
    <w:basedOn w:val="HeadingBase"/>
    <w:next w:val="BodyText"/>
    <w:link w:val="Heading3Char"/>
    <w:qFormat/>
    <w:rsid w:val="00EB42BE"/>
    <w:pPr>
      <w:spacing w:before="180" w:after="120"/>
      <w:outlineLvl w:val="2"/>
    </w:pPr>
    <w:rPr>
      <w:spacing w:val="-10"/>
      <w:kern w:val="32"/>
    </w:rPr>
  </w:style>
  <w:style w:type="paragraph" w:styleId="Heading4">
    <w:name w:val="heading 4"/>
    <w:basedOn w:val="HeadingBase"/>
    <w:next w:val="BodyText"/>
    <w:link w:val="Heading4Char"/>
    <w:qFormat/>
    <w:rsid w:val="00EB42BE"/>
    <w:pPr>
      <w:spacing w:before="160" w:after="120"/>
      <w:outlineLvl w:val="3"/>
    </w:pPr>
    <w:rPr>
      <w:sz w:val="22"/>
    </w:rPr>
  </w:style>
  <w:style w:type="paragraph" w:styleId="Heading5">
    <w:name w:val="heading 5"/>
    <w:basedOn w:val="HeadingBase"/>
    <w:next w:val="Normal"/>
    <w:link w:val="Heading5Char"/>
    <w:qFormat/>
    <w:rsid w:val="00EB42BE"/>
    <w:pPr>
      <w:spacing w:before="80"/>
      <w:outlineLvl w:val="4"/>
    </w:pPr>
    <w:rPr>
      <w:color w:val="918585"/>
      <w:sz w:val="20"/>
    </w:rPr>
  </w:style>
  <w:style w:type="paragraph" w:styleId="Heading6">
    <w:name w:val="heading 6"/>
    <w:basedOn w:val="HeadingBase"/>
    <w:next w:val="Normal"/>
    <w:link w:val="Heading6Char"/>
    <w:qFormat/>
    <w:rsid w:val="00EB42BE"/>
    <w:pPr>
      <w:spacing w:before="60"/>
      <w:outlineLvl w:val="5"/>
    </w:pPr>
    <w:rPr>
      <w:color w:val="918585"/>
      <w:sz w:val="20"/>
    </w:rPr>
  </w:style>
  <w:style w:type="paragraph" w:styleId="Heading7">
    <w:name w:val="heading 7"/>
    <w:basedOn w:val="Normal"/>
    <w:next w:val="Normal"/>
    <w:link w:val="Heading7Char"/>
    <w:qFormat/>
    <w:rsid w:val="00EB42BE"/>
    <w:pPr>
      <w:ind w:left="720"/>
      <w:outlineLvl w:val="6"/>
    </w:pPr>
    <w:rPr>
      <w:i/>
    </w:rPr>
  </w:style>
  <w:style w:type="paragraph" w:styleId="Heading8">
    <w:name w:val="heading 8"/>
    <w:basedOn w:val="Normal"/>
    <w:next w:val="Normal"/>
    <w:link w:val="Heading8Char"/>
    <w:qFormat/>
    <w:rsid w:val="00EB42BE"/>
    <w:pPr>
      <w:ind w:left="720"/>
      <w:outlineLvl w:val="7"/>
    </w:pPr>
    <w:rPr>
      <w:i/>
    </w:rPr>
  </w:style>
  <w:style w:type="paragraph" w:styleId="Heading9">
    <w:name w:val="heading 9"/>
    <w:basedOn w:val="Normal"/>
    <w:next w:val="Normal"/>
    <w:link w:val="Heading9Char"/>
    <w:qFormat/>
    <w:rsid w:val="00EB42BE"/>
    <w:pPr>
      <w:ind w:left="720"/>
      <w:outlineLvl w:val="8"/>
    </w:pPr>
    <w:rPr>
      <w:i/>
    </w:rPr>
  </w:style>
  <w:style w:type="character" w:default="1" w:styleId="DefaultParagraphFont">
    <w:name w:val="Default Paragraph Font"/>
    <w:uiPriority w:val="1"/>
    <w:unhideWhenUsed/>
    <w:rsid w:val="00EB42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2BE"/>
  </w:style>
  <w:style w:type="character" w:customStyle="1" w:styleId="Heading1Char">
    <w:name w:val="Heading 1 Char"/>
    <w:basedOn w:val="DefaultParagraphFont"/>
    <w:link w:val="Heading1"/>
    <w:rsid w:val="00EB42BE"/>
    <w:rPr>
      <w:rFonts w:ascii="Times New Roman" w:eastAsia="Times New Roman" w:hAnsi="Times New Roman" w:cs="Times New Roman"/>
      <w:b/>
      <w:sz w:val="32"/>
      <w:szCs w:val="20"/>
      <w:lang w:eastAsia="en-US"/>
    </w:rPr>
  </w:style>
  <w:style w:type="paragraph" w:styleId="BodyText">
    <w:name w:val="Body Text"/>
    <w:basedOn w:val="Normal"/>
    <w:link w:val="BodyTextChar"/>
    <w:rsid w:val="00EB42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42BE"/>
    <w:rPr>
      <w:rFonts w:ascii="Times New Roman" w:eastAsia="Times New Roman" w:hAnsi="Times New Roman" w:cs="Times New Roman"/>
      <w:sz w:val="24"/>
      <w:lang w:val="en-US" w:eastAsia="en-US"/>
    </w:rPr>
  </w:style>
  <w:style w:type="paragraph" w:styleId="Footer">
    <w:name w:val="footer"/>
    <w:basedOn w:val="Normal"/>
    <w:link w:val="FooterChar"/>
    <w:rsid w:val="00EB42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2B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B42BE"/>
    <w:rPr>
      <w:b/>
      <w:spacing w:val="0"/>
    </w:rPr>
  </w:style>
  <w:style w:type="paragraph" w:styleId="Header">
    <w:name w:val="header"/>
    <w:basedOn w:val="Normal"/>
    <w:link w:val="HeaderChar"/>
    <w:rsid w:val="00EB42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2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42BE"/>
    <w:pPr>
      <w:spacing w:before="240" w:after="120"/>
      <w:outlineLvl w:val="0"/>
    </w:pPr>
    <w:rPr>
      <w:rFonts w:ascii="Times New Roman" w:hAnsi="Times New Roman"/>
      <w:b/>
      <w:sz w:val="28"/>
    </w:rPr>
  </w:style>
  <w:style w:type="paragraph" w:customStyle="1" w:styleId="AllowPageBreak">
    <w:name w:val="AllowPageBreak"/>
    <w:rsid w:val="00EB42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42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2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2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2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2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2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42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42BE"/>
    <w:rPr>
      <w:rFonts w:ascii="Courier New" w:eastAsia="Times New Roman" w:hAnsi="Courier New" w:cs="Times New Roman"/>
      <w:i/>
      <w:szCs w:val="20"/>
      <w:lang w:val="en-US" w:eastAsia="en-US"/>
    </w:rPr>
  </w:style>
  <w:style w:type="paragraph" w:customStyle="1" w:styleId="HeadingBase">
    <w:name w:val="Heading Base"/>
    <w:rsid w:val="00EB42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2BE"/>
    <w:pPr>
      <w:tabs>
        <w:tab w:val="right" w:leader="dot" w:pos="9072"/>
      </w:tabs>
      <w:ind w:left="567"/>
    </w:pPr>
    <w:rPr>
      <w:szCs w:val="22"/>
    </w:rPr>
  </w:style>
  <w:style w:type="paragraph" w:customStyle="1" w:styleId="TOCBase">
    <w:name w:val="TOC Base"/>
    <w:rsid w:val="00EB42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2BE"/>
    <w:pPr>
      <w:tabs>
        <w:tab w:val="right" w:leader="dot" w:pos="9072"/>
      </w:tabs>
      <w:spacing w:before="40" w:after="40"/>
      <w:ind w:left="284"/>
    </w:pPr>
    <w:rPr>
      <w:rFonts w:ascii="Times New Roman" w:hAnsi="Times New Roman"/>
    </w:rPr>
  </w:style>
  <w:style w:type="paragraph" w:styleId="TOC1">
    <w:name w:val="toc 1"/>
    <w:basedOn w:val="TOCBase"/>
    <w:next w:val="Normal"/>
    <w:rsid w:val="00EB42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42BE"/>
    <w:pPr>
      <w:spacing w:before="5040"/>
      <w:jc w:val="center"/>
    </w:pPr>
    <w:rPr>
      <w:sz w:val="48"/>
      <w:szCs w:val="72"/>
      <w:lang w:val="en-US"/>
    </w:rPr>
  </w:style>
  <w:style w:type="character" w:customStyle="1" w:styleId="TitleChar">
    <w:name w:val="Title Char"/>
    <w:basedOn w:val="DefaultParagraphFont"/>
    <w:link w:val="Title"/>
    <w:rsid w:val="00EB42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2BE"/>
    <w:pPr>
      <w:tabs>
        <w:tab w:val="left" w:pos="3600"/>
        <w:tab w:val="left" w:pos="3958"/>
      </w:tabs>
    </w:pPr>
  </w:style>
  <w:style w:type="paragraph" w:styleId="List">
    <w:name w:val="List"/>
    <w:basedOn w:val="BodyText"/>
    <w:next w:val="BodyText"/>
    <w:rsid w:val="00EB42BE"/>
    <w:pPr>
      <w:tabs>
        <w:tab w:val="left" w:pos="340"/>
      </w:tabs>
      <w:spacing w:before="60" w:after="60"/>
      <w:ind w:left="340" w:hanging="340"/>
    </w:pPr>
  </w:style>
  <w:style w:type="paragraph" w:styleId="ListBullet">
    <w:name w:val="List Bullet"/>
    <w:basedOn w:val="List"/>
    <w:rsid w:val="00EB42BE"/>
    <w:pPr>
      <w:numPr>
        <w:numId w:val="11"/>
      </w:numPr>
      <w:tabs>
        <w:tab w:val="clear" w:pos="340"/>
      </w:tabs>
      <w:spacing w:before="40" w:after="40"/>
    </w:pPr>
  </w:style>
  <w:style w:type="paragraph" w:customStyle="1" w:styleId="Note">
    <w:name w:val="Note"/>
    <w:basedOn w:val="BodyText"/>
    <w:rsid w:val="00EB42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2BE"/>
    <w:pPr>
      <w:framePr w:wrap="auto" w:hAnchor="text" w:y="6049"/>
    </w:pPr>
    <w:rPr>
      <w:color w:val="000000"/>
      <w:sz w:val="40"/>
    </w:rPr>
  </w:style>
  <w:style w:type="paragraph" w:customStyle="1" w:styleId="TOCTitle">
    <w:name w:val="TOCTitle"/>
    <w:basedOn w:val="Heading1"/>
    <w:rsid w:val="00EB42BE"/>
    <w:pPr>
      <w:spacing w:after="240"/>
      <w:jc w:val="center"/>
      <w:outlineLvl w:val="9"/>
    </w:pPr>
    <w:rPr>
      <w:caps/>
    </w:rPr>
  </w:style>
  <w:style w:type="paragraph" w:customStyle="1" w:styleId="Version">
    <w:name w:val="Version"/>
    <w:rsid w:val="00EB42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42BE"/>
    <w:pPr>
      <w:numPr>
        <w:numId w:val="12"/>
      </w:numPr>
      <w:tabs>
        <w:tab w:val="clear" w:pos="680"/>
      </w:tabs>
    </w:pPr>
  </w:style>
  <w:style w:type="paragraph" w:styleId="Index1">
    <w:name w:val="index 1"/>
    <w:basedOn w:val="Normal"/>
    <w:next w:val="Normal"/>
    <w:semiHidden/>
    <w:rsid w:val="00EB42BE"/>
    <w:pPr>
      <w:keepNext w:val="0"/>
      <w:tabs>
        <w:tab w:val="right" w:pos="4176"/>
      </w:tabs>
      <w:ind w:left="198" w:hanging="198"/>
    </w:pPr>
    <w:rPr>
      <w:rFonts w:ascii="Garamond" w:hAnsi="Garamond"/>
    </w:rPr>
  </w:style>
  <w:style w:type="paragraph" w:styleId="IndexHeading">
    <w:name w:val="index heading"/>
    <w:basedOn w:val="Normal"/>
    <w:next w:val="Index1"/>
    <w:semiHidden/>
    <w:rsid w:val="00EB42BE"/>
    <w:pPr>
      <w:spacing w:before="120" w:after="120"/>
    </w:pPr>
    <w:rPr>
      <w:rFonts w:ascii="Arial" w:hAnsi="Arial"/>
      <w:b/>
      <w:color w:val="918585"/>
      <w:sz w:val="24"/>
    </w:rPr>
  </w:style>
  <w:style w:type="paragraph" w:customStyle="1" w:styleId="Chapter">
    <w:name w:val="Chapter"/>
    <w:basedOn w:val="Normal"/>
    <w:rsid w:val="00EB42BE"/>
    <w:pPr>
      <w:spacing w:before="240"/>
    </w:pPr>
    <w:rPr>
      <w:rFonts w:ascii="Times New Roman" w:hAnsi="Times New Roman"/>
      <w:smallCaps/>
      <w:spacing w:val="80"/>
      <w:sz w:val="28"/>
    </w:rPr>
  </w:style>
  <w:style w:type="paragraph" w:customStyle="1" w:styleId="InChapter">
    <w:name w:val="InChapter"/>
    <w:basedOn w:val="Heading3"/>
    <w:rsid w:val="00EB42BE"/>
    <w:pPr>
      <w:spacing w:after="240"/>
      <w:outlineLvl w:val="9"/>
    </w:pPr>
    <w:rPr>
      <w:noProof/>
    </w:rPr>
  </w:style>
  <w:style w:type="paragraph" w:styleId="Index2">
    <w:name w:val="index 2"/>
    <w:basedOn w:val="Normal"/>
    <w:next w:val="Normal"/>
    <w:semiHidden/>
    <w:rsid w:val="00EB42BE"/>
    <w:pPr>
      <w:tabs>
        <w:tab w:val="right" w:pos="4176"/>
      </w:tabs>
      <w:ind w:left="568" w:hanging="284"/>
    </w:pPr>
    <w:rPr>
      <w:rFonts w:ascii="Garamond" w:hAnsi="Garamond"/>
    </w:rPr>
  </w:style>
  <w:style w:type="paragraph" w:customStyle="1" w:styleId="Byline">
    <w:name w:val="Byline"/>
    <w:rsid w:val="00EB42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2BE"/>
    <w:pPr>
      <w:tabs>
        <w:tab w:val="clear" w:pos="3600"/>
        <w:tab w:val="clear" w:pos="3958"/>
      </w:tabs>
      <w:jc w:val="right"/>
    </w:pPr>
  </w:style>
  <w:style w:type="character" w:styleId="Emphasis">
    <w:name w:val="Emphasis"/>
    <w:basedOn w:val="DefaultParagraphFont"/>
    <w:qFormat/>
    <w:rsid w:val="00EB42BE"/>
    <w:rPr>
      <w:i/>
    </w:rPr>
  </w:style>
  <w:style w:type="paragraph" w:styleId="Caption">
    <w:name w:val="caption"/>
    <w:basedOn w:val="BodyText"/>
    <w:next w:val="Normal"/>
    <w:qFormat/>
    <w:rsid w:val="00EB42BE"/>
    <w:pPr>
      <w:framePr w:w="2268" w:hSpace="181" w:vSpace="181" w:wrap="around" w:vAnchor="text" w:hAnchor="page" w:x="1135" w:y="285" w:anchorLock="1"/>
    </w:pPr>
    <w:rPr>
      <w:i/>
    </w:rPr>
  </w:style>
  <w:style w:type="paragraph" w:customStyle="1" w:styleId="MiniTOCTitle">
    <w:name w:val="MiniTOCTitle"/>
    <w:basedOn w:val="Heading4"/>
    <w:rsid w:val="00EB42BE"/>
    <w:pPr>
      <w:spacing w:before="240"/>
      <w:outlineLvl w:val="9"/>
    </w:pPr>
    <w:rPr>
      <w:noProof/>
      <w:sz w:val="24"/>
    </w:rPr>
  </w:style>
  <w:style w:type="paragraph" w:customStyle="1" w:styleId="MiniTOCItem">
    <w:name w:val="MiniTOCItem"/>
    <w:basedOn w:val="ListBullet"/>
    <w:rsid w:val="00EB42BE"/>
    <w:pPr>
      <w:numPr>
        <w:numId w:val="0"/>
      </w:numPr>
      <w:tabs>
        <w:tab w:val="right" w:leader="dot" w:pos="6521"/>
      </w:tabs>
      <w:spacing w:before="0" w:after="0"/>
    </w:pPr>
  </w:style>
  <w:style w:type="paragraph" w:customStyle="1" w:styleId="TOFTitle">
    <w:name w:val="TOFTitle"/>
    <w:basedOn w:val="TOCTitle"/>
    <w:rsid w:val="00EB42BE"/>
  </w:style>
  <w:style w:type="paragraph" w:styleId="TableofFigures">
    <w:name w:val="table of figures"/>
    <w:basedOn w:val="Normal"/>
    <w:next w:val="Normal"/>
    <w:semiHidden/>
    <w:rsid w:val="00EB42BE"/>
    <w:pPr>
      <w:tabs>
        <w:tab w:val="right" w:leader="dot" w:pos="9072"/>
      </w:tabs>
      <w:ind w:left="970" w:hanging="403"/>
    </w:pPr>
    <w:rPr>
      <w:rFonts w:ascii="Times New Roman" w:hAnsi="Times New Roman"/>
      <w:b/>
    </w:rPr>
  </w:style>
  <w:style w:type="paragraph" w:styleId="ListNumber">
    <w:name w:val="List Number"/>
    <w:basedOn w:val="List"/>
    <w:rsid w:val="00EB42BE"/>
    <w:pPr>
      <w:numPr>
        <w:numId w:val="9"/>
      </w:numPr>
    </w:pPr>
  </w:style>
  <w:style w:type="character" w:customStyle="1" w:styleId="WingdingSymbols">
    <w:name w:val="Wingding Symbols"/>
    <w:rsid w:val="00EB42BE"/>
    <w:rPr>
      <w:rFonts w:ascii="Wingdings" w:hAnsi="Wingdings"/>
    </w:rPr>
  </w:style>
  <w:style w:type="paragraph" w:customStyle="1" w:styleId="TableHeading">
    <w:name w:val="Table Heading"/>
    <w:basedOn w:val="HeadingBase"/>
    <w:rsid w:val="00EB42BE"/>
    <w:pPr>
      <w:keepLines/>
      <w:pBdr>
        <w:bottom w:val="single" w:sz="6" w:space="1" w:color="918585"/>
      </w:pBdr>
      <w:spacing w:before="240"/>
    </w:pPr>
  </w:style>
  <w:style w:type="character" w:customStyle="1" w:styleId="HotSpot">
    <w:name w:val="HotSpot"/>
    <w:rsid w:val="00EB42BE"/>
    <w:rPr>
      <w:color w:val="0033CC"/>
      <w:u w:val="none"/>
    </w:rPr>
  </w:style>
  <w:style w:type="paragraph" w:customStyle="1" w:styleId="BodyTextRight">
    <w:name w:val="Body Text Right"/>
    <w:basedOn w:val="BodyText"/>
    <w:rsid w:val="00EB42BE"/>
    <w:pPr>
      <w:spacing w:before="0" w:after="0"/>
      <w:jc w:val="right"/>
    </w:pPr>
  </w:style>
  <w:style w:type="paragraph" w:styleId="Index3">
    <w:name w:val="index 3"/>
    <w:basedOn w:val="ListNumber2"/>
    <w:next w:val="Normal"/>
    <w:semiHidden/>
    <w:rsid w:val="00EB42BE"/>
    <w:pPr>
      <w:numPr>
        <w:numId w:val="0"/>
      </w:numPr>
      <w:tabs>
        <w:tab w:val="right" w:leader="dot" w:pos="4176"/>
      </w:tabs>
    </w:pPr>
  </w:style>
  <w:style w:type="paragraph" w:styleId="ListNumber2">
    <w:name w:val="List Number 2"/>
    <w:basedOn w:val="List2"/>
    <w:rsid w:val="00EB42BE"/>
    <w:pPr>
      <w:numPr>
        <w:numId w:val="8"/>
      </w:numPr>
      <w:tabs>
        <w:tab w:val="clear" w:pos="1060"/>
      </w:tabs>
    </w:pPr>
  </w:style>
  <w:style w:type="paragraph" w:customStyle="1" w:styleId="MarginNote">
    <w:name w:val="Margin Note"/>
    <w:basedOn w:val="BodyText"/>
    <w:rsid w:val="00EB42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2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2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42BE"/>
    <w:rPr>
      <w:sz w:val="32"/>
    </w:rPr>
  </w:style>
  <w:style w:type="paragraph" w:customStyle="1" w:styleId="HeadingProcedure">
    <w:name w:val="Heading Procedure"/>
    <w:basedOn w:val="HeadingBase"/>
    <w:next w:val="Normal"/>
    <w:rsid w:val="00EB42BE"/>
    <w:pPr>
      <w:tabs>
        <w:tab w:val="left" w:pos="0"/>
      </w:tabs>
      <w:spacing w:before="120" w:after="60"/>
    </w:pPr>
    <w:rPr>
      <w:i/>
      <w:color w:val="918585"/>
      <w:sz w:val="22"/>
    </w:rPr>
  </w:style>
  <w:style w:type="paragraph" w:customStyle="1" w:styleId="TableBodyText">
    <w:name w:val="Table Body Text"/>
    <w:basedOn w:val="BodyText"/>
    <w:rsid w:val="00EB42BE"/>
    <w:pPr>
      <w:spacing w:before="60" w:after="60"/>
    </w:pPr>
  </w:style>
  <w:style w:type="paragraph" w:styleId="ListContinue">
    <w:name w:val="List Continue"/>
    <w:basedOn w:val="List"/>
    <w:rsid w:val="00EB42BE"/>
    <w:pPr>
      <w:ind w:firstLine="0"/>
    </w:pPr>
  </w:style>
  <w:style w:type="paragraph" w:customStyle="1" w:styleId="ListNote">
    <w:name w:val="List Note"/>
    <w:basedOn w:val="List"/>
    <w:rsid w:val="00EB42BE"/>
    <w:pPr>
      <w:pBdr>
        <w:top w:val="single" w:sz="6" w:space="2" w:color="918585"/>
        <w:bottom w:val="single" w:sz="6" w:space="2" w:color="918585"/>
      </w:pBdr>
      <w:tabs>
        <w:tab w:val="left" w:pos="1021"/>
      </w:tabs>
      <w:ind w:firstLine="0"/>
    </w:pPr>
  </w:style>
  <w:style w:type="paragraph" w:customStyle="1" w:styleId="Warning">
    <w:name w:val="Warning"/>
    <w:basedOn w:val="BodyText"/>
    <w:rsid w:val="00EB42BE"/>
    <w:pPr>
      <w:shd w:val="clear" w:color="auto" w:fill="D9D9D9"/>
      <w:tabs>
        <w:tab w:val="left" w:pos="992"/>
      </w:tabs>
      <w:ind w:left="119" w:right="119"/>
    </w:pPr>
    <w:rPr>
      <w:sz w:val="20"/>
    </w:rPr>
  </w:style>
  <w:style w:type="paragraph" w:customStyle="1" w:styleId="MarginIcons">
    <w:name w:val="Margin Icons"/>
    <w:basedOn w:val="BodyText"/>
    <w:rsid w:val="00EB42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2BE"/>
    <w:rPr>
      <w:rFonts w:ascii="Courier New" w:hAnsi="Courier New"/>
    </w:rPr>
  </w:style>
  <w:style w:type="paragraph" w:customStyle="1" w:styleId="NoteBullet">
    <w:name w:val="Note Bullet"/>
    <w:basedOn w:val="Note"/>
    <w:rsid w:val="00EB42BE"/>
    <w:pPr>
      <w:tabs>
        <w:tab w:val="clear" w:pos="680"/>
      </w:tabs>
      <w:spacing w:before="60" w:after="60"/>
    </w:pPr>
  </w:style>
  <w:style w:type="paragraph" w:customStyle="1" w:styleId="SubHeading2">
    <w:name w:val="SubHeading2"/>
    <w:basedOn w:val="HeadingBase"/>
    <w:rsid w:val="00EB42BE"/>
    <w:pPr>
      <w:spacing w:before="240" w:after="60"/>
    </w:pPr>
    <w:rPr>
      <w:sz w:val="20"/>
    </w:rPr>
  </w:style>
  <w:style w:type="paragraph" w:customStyle="1" w:styleId="SubHeading1">
    <w:name w:val="SubHeading1"/>
    <w:basedOn w:val="HeadingBase"/>
    <w:rsid w:val="00EB42BE"/>
    <w:pPr>
      <w:spacing w:before="240" w:after="60"/>
    </w:pPr>
    <w:rPr>
      <w:color w:val="918585"/>
      <w:sz w:val="22"/>
    </w:rPr>
  </w:style>
  <w:style w:type="paragraph" w:customStyle="1" w:styleId="SideHeading">
    <w:name w:val="Side Heading"/>
    <w:basedOn w:val="HeadingBase"/>
    <w:rsid w:val="00EB42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2BE"/>
    <w:pPr>
      <w:numPr>
        <w:numId w:val="10"/>
      </w:numPr>
    </w:pPr>
  </w:style>
  <w:style w:type="paragraph" w:styleId="PlainText">
    <w:name w:val="Plain Text"/>
    <w:basedOn w:val="Normal"/>
    <w:link w:val="PlainTextChar"/>
    <w:rsid w:val="00EB42BE"/>
    <w:rPr>
      <w:sz w:val="20"/>
    </w:rPr>
  </w:style>
  <w:style w:type="character" w:customStyle="1" w:styleId="PlainTextChar">
    <w:name w:val="Plain Text Char"/>
    <w:basedOn w:val="DefaultParagraphFont"/>
    <w:link w:val="PlainText"/>
    <w:rsid w:val="00EB42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42BE"/>
    <w:rPr>
      <w:b/>
      <w:smallCaps/>
    </w:rPr>
  </w:style>
  <w:style w:type="paragraph" w:customStyle="1" w:styleId="TableListNumber">
    <w:name w:val="Table List Number"/>
    <w:basedOn w:val="ListNumber"/>
    <w:rsid w:val="00EB42BE"/>
    <w:pPr>
      <w:numPr>
        <w:numId w:val="0"/>
      </w:numPr>
    </w:pPr>
  </w:style>
  <w:style w:type="paragraph" w:styleId="TOC4">
    <w:name w:val="toc 4"/>
    <w:basedOn w:val="TOCBase"/>
    <w:next w:val="Normal"/>
    <w:semiHidden/>
    <w:rsid w:val="00EB42BE"/>
    <w:pPr>
      <w:tabs>
        <w:tab w:val="right" w:leader="dot" w:pos="9071"/>
      </w:tabs>
      <w:ind w:left="1701"/>
    </w:pPr>
  </w:style>
  <w:style w:type="paragraph" w:customStyle="1" w:styleId="ListAlpha">
    <w:name w:val="List Alpha"/>
    <w:basedOn w:val="List"/>
    <w:rsid w:val="00EB42BE"/>
    <w:pPr>
      <w:numPr>
        <w:numId w:val="7"/>
      </w:numPr>
    </w:pPr>
  </w:style>
  <w:style w:type="paragraph" w:customStyle="1" w:styleId="ListAlpha2">
    <w:name w:val="List Alpha 2"/>
    <w:basedOn w:val="List2"/>
    <w:rsid w:val="00EB42BE"/>
    <w:pPr>
      <w:numPr>
        <w:numId w:val="6"/>
      </w:numPr>
    </w:pPr>
  </w:style>
  <w:style w:type="paragraph" w:styleId="List2">
    <w:name w:val="List 2"/>
    <w:basedOn w:val="BodyText"/>
    <w:rsid w:val="00EB42BE"/>
    <w:pPr>
      <w:tabs>
        <w:tab w:val="left" w:pos="680"/>
      </w:tabs>
      <w:spacing w:before="60" w:after="60"/>
      <w:ind w:left="680" w:hanging="340"/>
    </w:pPr>
  </w:style>
  <w:style w:type="paragraph" w:styleId="List3">
    <w:name w:val="List 3"/>
    <w:basedOn w:val="BodyText"/>
    <w:rsid w:val="00EB42BE"/>
    <w:pPr>
      <w:tabs>
        <w:tab w:val="left" w:pos="1021"/>
      </w:tabs>
      <w:spacing w:before="60" w:after="60"/>
      <w:ind w:left="1020" w:hanging="340"/>
    </w:pPr>
  </w:style>
  <w:style w:type="paragraph" w:styleId="List4">
    <w:name w:val="List 4"/>
    <w:basedOn w:val="BodyText"/>
    <w:rsid w:val="00EB42BE"/>
    <w:pPr>
      <w:tabs>
        <w:tab w:val="left" w:pos="1361"/>
      </w:tabs>
      <w:spacing w:before="60" w:after="60"/>
      <w:ind w:left="1361" w:hanging="340"/>
    </w:pPr>
  </w:style>
  <w:style w:type="paragraph" w:styleId="List5">
    <w:name w:val="List 5"/>
    <w:basedOn w:val="BodyText"/>
    <w:rsid w:val="00EB42BE"/>
    <w:pPr>
      <w:tabs>
        <w:tab w:val="left" w:pos="1701"/>
      </w:tabs>
      <w:spacing w:before="60" w:after="60"/>
      <w:ind w:left="1701" w:hanging="340"/>
    </w:pPr>
  </w:style>
  <w:style w:type="paragraph" w:styleId="ListBullet3">
    <w:name w:val="List Bullet 3"/>
    <w:basedOn w:val="List3"/>
    <w:rsid w:val="00EB42BE"/>
    <w:pPr>
      <w:numPr>
        <w:numId w:val="13"/>
      </w:numPr>
      <w:tabs>
        <w:tab w:val="clear" w:pos="1021"/>
      </w:tabs>
      <w:ind w:left="1037" w:hanging="357"/>
    </w:pPr>
  </w:style>
  <w:style w:type="paragraph" w:styleId="ListBullet4">
    <w:name w:val="List Bullet 4"/>
    <w:basedOn w:val="List4"/>
    <w:rsid w:val="00EB42BE"/>
    <w:pPr>
      <w:numPr>
        <w:numId w:val="1"/>
      </w:numPr>
    </w:pPr>
  </w:style>
  <w:style w:type="paragraph" w:styleId="ListBullet5">
    <w:name w:val="List Bullet 5"/>
    <w:basedOn w:val="List5"/>
    <w:rsid w:val="00EB42BE"/>
    <w:pPr>
      <w:numPr>
        <w:numId w:val="2"/>
      </w:numPr>
    </w:pPr>
  </w:style>
  <w:style w:type="paragraph" w:styleId="ListContinue2">
    <w:name w:val="List Continue 2"/>
    <w:basedOn w:val="List2"/>
    <w:rsid w:val="00EB42BE"/>
    <w:pPr>
      <w:ind w:firstLine="0"/>
    </w:pPr>
  </w:style>
  <w:style w:type="paragraph" w:styleId="ListContinue3">
    <w:name w:val="List Continue 3"/>
    <w:basedOn w:val="List3"/>
    <w:rsid w:val="00EB42BE"/>
    <w:pPr>
      <w:ind w:left="1021" w:firstLine="0"/>
    </w:pPr>
  </w:style>
  <w:style w:type="paragraph" w:styleId="ListContinue4">
    <w:name w:val="List Continue 4"/>
    <w:basedOn w:val="List4"/>
    <w:rsid w:val="00EB42BE"/>
    <w:pPr>
      <w:ind w:firstLine="0"/>
    </w:pPr>
  </w:style>
  <w:style w:type="paragraph" w:styleId="ListContinue5">
    <w:name w:val="List Continue 5"/>
    <w:basedOn w:val="List5"/>
    <w:rsid w:val="00EB42BE"/>
    <w:pPr>
      <w:ind w:firstLine="0"/>
    </w:pPr>
  </w:style>
  <w:style w:type="paragraph" w:styleId="ListNumber3">
    <w:name w:val="List Number 3"/>
    <w:basedOn w:val="List3"/>
    <w:rsid w:val="00EB42BE"/>
    <w:pPr>
      <w:numPr>
        <w:numId w:val="3"/>
      </w:numPr>
    </w:pPr>
  </w:style>
  <w:style w:type="paragraph" w:styleId="ListNumber4">
    <w:name w:val="List Number 4"/>
    <w:basedOn w:val="List4"/>
    <w:rsid w:val="00EB42BE"/>
    <w:pPr>
      <w:numPr>
        <w:numId w:val="4"/>
      </w:numPr>
    </w:pPr>
  </w:style>
  <w:style w:type="paragraph" w:styleId="ListNumber5">
    <w:name w:val="List Number 5"/>
    <w:basedOn w:val="List5"/>
    <w:rsid w:val="00EB42BE"/>
    <w:pPr>
      <w:numPr>
        <w:numId w:val="5"/>
      </w:numPr>
    </w:pPr>
  </w:style>
  <w:style w:type="paragraph" w:styleId="BlockText">
    <w:name w:val="Block Text"/>
    <w:basedOn w:val="Normal"/>
    <w:rsid w:val="00EB42BE"/>
    <w:pPr>
      <w:spacing w:after="120"/>
      <w:ind w:left="1440" w:right="1440"/>
    </w:pPr>
  </w:style>
  <w:style w:type="character" w:customStyle="1" w:styleId="Subscript">
    <w:name w:val="Subscript"/>
    <w:basedOn w:val="DefaultParagraphFont"/>
    <w:rsid w:val="00EB42BE"/>
    <w:rPr>
      <w:sz w:val="16"/>
      <w:vertAlign w:val="subscript"/>
    </w:rPr>
  </w:style>
  <w:style w:type="character" w:customStyle="1" w:styleId="Superscript">
    <w:name w:val="Superscript"/>
    <w:basedOn w:val="DefaultParagraphFont"/>
    <w:rsid w:val="00EB42BE"/>
    <w:rPr>
      <w:sz w:val="16"/>
      <w:vertAlign w:val="superscript"/>
    </w:rPr>
  </w:style>
  <w:style w:type="character" w:customStyle="1" w:styleId="Symbols">
    <w:name w:val="Symbols"/>
    <w:basedOn w:val="DefaultParagraphFont"/>
    <w:rsid w:val="00EB42BE"/>
    <w:rPr>
      <w:rFonts w:ascii="Symbol" w:hAnsi="Symbol"/>
    </w:rPr>
  </w:style>
  <w:style w:type="character" w:customStyle="1" w:styleId="MenuOptions">
    <w:name w:val="Menu Options"/>
    <w:basedOn w:val="DefaultParagraphFont"/>
    <w:rsid w:val="00EB42BE"/>
    <w:rPr>
      <w:rFonts w:ascii="Arial Narrow" w:hAnsi="Arial Narrow"/>
      <w:smallCaps/>
    </w:rPr>
  </w:style>
  <w:style w:type="character" w:customStyle="1" w:styleId="Buttons">
    <w:name w:val="Buttons"/>
    <w:basedOn w:val="DefaultParagraphFont"/>
    <w:rsid w:val="00EB42BE"/>
    <w:rPr>
      <w:b/>
    </w:rPr>
  </w:style>
  <w:style w:type="character" w:customStyle="1" w:styleId="Underlined">
    <w:name w:val="Underlined"/>
    <w:basedOn w:val="DefaultParagraphFont"/>
    <w:rsid w:val="00EB42BE"/>
    <w:rPr>
      <w:u w:val="single"/>
    </w:rPr>
  </w:style>
  <w:style w:type="paragraph" w:customStyle="1" w:styleId="TableBodyTextRight">
    <w:name w:val="Table Body Text Right"/>
    <w:basedOn w:val="TableBodyText"/>
    <w:rsid w:val="00EB42BE"/>
    <w:pPr>
      <w:widowControl w:val="0"/>
      <w:autoSpaceDE w:val="0"/>
      <w:autoSpaceDN w:val="0"/>
      <w:adjustRightInd w:val="0"/>
      <w:jc w:val="right"/>
    </w:pPr>
    <w:rPr>
      <w:rFonts w:cs="Arial"/>
      <w:szCs w:val="18"/>
    </w:rPr>
  </w:style>
  <w:style w:type="paragraph" w:customStyle="1" w:styleId="CopyrightText">
    <w:name w:val="Copyright Text"/>
    <w:basedOn w:val="BodyText"/>
    <w:rsid w:val="00EB42BE"/>
    <w:rPr>
      <w:sz w:val="18"/>
    </w:rPr>
  </w:style>
  <w:style w:type="paragraph" w:customStyle="1" w:styleId="BodySmallRight">
    <w:name w:val="Body Small Right"/>
    <w:basedOn w:val="BodyTextRight"/>
    <w:rsid w:val="00EB42BE"/>
    <w:rPr>
      <w:sz w:val="18"/>
      <w:szCs w:val="18"/>
    </w:rPr>
  </w:style>
  <w:style w:type="paragraph" w:customStyle="1" w:styleId="MarginEdition">
    <w:name w:val="Margin Edition"/>
    <w:basedOn w:val="MarginNote"/>
    <w:rsid w:val="00EB42BE"/>
    <w:pPr>
      <w:spacing w:before="0" w:after="0"/>
    </w:pPr>
    <w:rPr>
      <w:rFonts w:ascii="Times New Roman" w:hAnsi="Times New Roman"/>
      <w:color w:val="999999"/>
    </w:rPr>
  </w:style>
  <w:style w:type="paragraph" w:customStyle="1" w:styleId="Spacer">
    <w:name w:val="Spacer"/>
    <w:basedOn w:val="Normal"/>
    <w:rsid w:val="00EB42BE"/>
    <w:rPr>
      <w:sz w:val="2"/>
      <w:szCs w:val="2"/>
    </w:rPr>
  </w:style>
  <w:style w:type="character" w:customStyle="1" w:styleId="Small">
    <w:name w:val="Small"/>
    <w:basedOn w:val="DefaultParagraphFont"/>
    <w:rsid w:val="00EB42BE"/>
    <w:rPr>
      <w:sz w:val="16"/>
    </w:rPr>
  </w:style>
  <w:style w:type="paragraph" w:customStyle="1" w:styleId="WideTable">
    <w:name w:val="Wide Table"/>
    <w:basedOn w:val="Normal"/>
    <w:rsid w:val="00EB42BE"/>
    <w:pPr>
      <w:ind w:left="-1418"/>
    </w:pPr>
    <w:rPr>
      <w:sz w:val="2"/>
      <w:szCs w:val="2"/>
    </w:rPr>
  </w:style>
  <w:style w:type="character" w:styleId="PageNumber">
    <w:name w:val="page number"/>
    <w:basedOn w:val="DefaultParagraphFont"/>
    <w:rsid w:val="00EB42BE"/>
  </w:style>
  <w:style w:type="paragraph" w:styleId="Quote">
    <w:name w:val="Quote"/>
    <w:basedOn w:val="Heading1"/>
    <w:link w:val="QuoteChar"/>
    <w:qFormat/>
    <w:rsid w:val="00EB42BE"/>
    <w:rPr>
      <w:b w:val="0"/>
      <w:sz w:val="72"/>
      <w:szCs w:val="72"/>
      <w:lang w:val="en-NZ"/>
    </w:rPr>
  </w:style>
  <w:style w:type="character" w:customStyle="1" w:styleId="QuoteChar">
    <w:name w:val="Quote Char"/>
    <w:basedOn w:val="DefaultParagraphFont"/>
    <w:link w:val="Quote"/>
    <w:rsid w:val="00EB42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2BE"/>
    <w:pPr>
      <w:pageBreakBefore/>
    </w:pPr>
  </w:style>
  <w:style w:type="paragraph" w:customStyle="1" w:styleId="Border">
    <w:name w:val="Border"/>
    <w:basedOn w:val="Normal"/>
    <w:qFormat/>
    <w:rsid w:val="00EB42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2BE"/>
    <w:rPr>
      <w:b/>
      <w:bCs/>
      <w:i/>
      <w:iCs/>
      <w:color w:val="auto"/>
    </w:rPr>
  </w:style>
  <w:style w:type="paragraph" w:styleId="IntenseQuote">
    <w:name w:val="Intense Quote"/>
    <w:basedOn w:val="Normal"/>
    <w:next w:val="Normal"/>
    <w:link w:val="IntenseQuoteChar"/>
    <w:uiPriority w:val="30"/>
    <w:qFormat/>
    <w:rsid w:val="00EB42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2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42BE"/>
    <w:rPr>
      <w:smallCaps/>
      <w:color w:val="auto"/>
      <w:u w:val="single"/>
    </w:rPr>
  </w:style>
  <w:style w:type="character" w:styleId="IntenseReference">
    <w:name w:val="Intense Reference"/>
    <w:basedOn w:val="DefaultParagraphFont"/>
    <w:uiPriority w:val="32"/>
    <w:qFormat/>
    <w:rsid w:val="00EB42BE"/>
    <w:rPr>
      <w:b/>
      <w:bCs/>
      <w:smallCaps/>
      <w:color w:val="auto"/>
      <w:spacing w:val="5"/>
      <w:u w:val="single"/>
    </w:rPr>
  </w:style>
  <w:style w:type="paragraph" w:customStyle="1" w:styleId="2ColumnHeading">
    <w:name w:val="2Column Heading"/>
    <w:basedOn w:val="BodyText"/>
    <w:qFormat/>
    <w:rsid w:val="00EB42BE"/>
    <w:pPr>
      <w:spacing w:after="60"/>
      <w:ind w:left="-2268"/>
    </w:pPr>
    <w:rPr>
      <w:b/>
    </w:rPr>
  </w:style>
  <w:style w:type="paragraph" w:customStyle="1" w:styleId="Heading1TOC">
    <w:name w:val="Heading1 TOC"/>
    <w:basedOn w:val="Normal"/>
    <w:qFormat/>
    <w:rsid w:val="00EB42BE"/>
    <w:pPr>
      <w:spacing w:before="240" w:after="120"/>
    </w:pPr>
    <w:rPr>
      <w:rFonts w:ascii="Times New Roman" w:hAnsi="Times New Roman"/>
      <w:b/>
      <w:sz w:val="32"/>
    </w:rPr>
  </w:style>
  <w:style w:type="paragraph" w:customStyle="1" w:styleId="Heading2TOC">
    <w:name w:val="Heading2 TOC"/>
    <w:basedOn w:val="Normal"/>
    <w:qFormat/>
    <w:rsid w:val="00EB42BE"/>
    <w:pPr>
      <w:spacing w:before="240" w:after="60"/>
    </w:pPr>
    <w:rPr>
      <w:rFonts w:ascii="Times New Roman" w:hAnsi="Times New Roman"/>
      <w:b/>
      <w:sz w:val="28"/>
    </w:rPr>
  </w:style>
  <w:style w:type="character" w:customStyle="1" w:styleId="Underline">
    <w:name w:val="Underline"/>
    <w:basedOn w:val="DefaultParagraphFont"/>
    <w:qFormat/>
    <w:rsid w:val="00EB42BE"/>
    <w:rPr>
      <w:u w:val="single"/>
    </w:rPr>
  </w:style>
  <w:style w:type="character" w:customStyle="1" w:styleId="BoldandItalics">
    <w:name w:val="Bold and Italics"/>
    <w:qFormat/>
    <w:rsid w:val="00EB42BE"/>
    <w:rPr>
      <w:b/>
      <w:i/>
      <w:u w:val="none"/>
    </w:rPr>
  </w:style>
  <w:style w:type="paragraph" w:styleId="BalloonText">
    <w:name w:val="Balloon Text"/>
    <w:basedOn w:val="Normal"/>
    <w:link w:val="BalloonTextChar"/>
    <w:rsid w:val="00EB42BE"/>
    <w:rPr>
      <w:rFonts w:ascii="Tahoma" w:hAnsi="Tahoma" w:cs="Tahoma"/>
      <w:sz w:val="16"/>
      <w:szCs w:val="16"/>
    </w:rPr>
  </w:style>
  <w:style w:type="character" w:customStyle="1" w:styleId="BalloonTextChar">
    <w:name w:val="Balloon Text Char"/>
    <w:basedOn w:val="DefaultParagraphFont"/>
    <w:link w:val="BalloonText"/>
    <w:rsid w:val="00EB42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42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42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1944</Words>
  <Characters>12562</Characters>
  <Application>Microsoft Office Word</Application>
  <DocSecurity>0</DocSecurity>
  <Lines>483</Lines>
  <Paragraphs>202</Paragraphs>
  <ScaleCrop>false</ScaleCrop>
  <Company>Author-it Software Corporation Ltd.</Company>
  <LinksUpToDate>false</LinksUpToDate>
  <CharactersWithSpaces>14359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FPIHAR2206A Operate a mobile chipper/mulcher</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2012-05-26T07:13:00Z</dcterms:created>
  <dcterms:modified xsi:type="dcterms:W3CDTF">2012-05-26T07:13:00Z</dcterms:modified>
</cp:coreProperties>
</file>