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71E7" w:rsidP="00A571E7">
      <w:pPr>
        <w:pStyle w:val="Title"/>
      </w:pPr>
      <w:r>
        <w:fldChar w:fldCharType="begin"/>
      </w:r>
      <w:r>
        <w:instrText xml:space="preserve"> TITLE   \* MERGEFORMAT </w:instrText>
      </w:r>
      <w:r>
        <w:fldChar w:fldCharType="separate"/>
      </w:r>
      <w:r>
        <w:t>FPICOT3263 Maintain and contribute to energy efficiency</w:t>
      </w:r>
      <w:r>
        <w:fldChar w:fldCharType="end"/>
      </w:r>
    </w:p>
    <w:p w:rsidR="00A571E7" w:rsidP="00A571E7">
      <w:pPr>
        <w:pStyle w:val="Version"/>
        <w:sectPr w:rsidSect="004324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24D6" w:rsidP="004324D6">
      <w:pPr>
        <w:pStyle w:val="SuperHeading"/>
      </w:pPr>
      <w:r w:rsidRPr="004324D6">
        <w:t>FPICOT3263 Maintain and contribute to energy efficiency</w:t>
      </w:r>
    </w:p>
    <w:p w:rsidR="00000000" w:rsidRPr="004324D6" w:rsidP="004324D6">
      <w:pPr>
        <w:pStyle w:val="Heading1"/>
      </w:pPr>
      <w:bookmarkStart w:id="1" w:name="O_583916"/>
      <w:bookmarkEnd w:id="1"/>
      <w:r w:rsidRPr="004324D6">
        <w:t>Modification History</w:t>
      </w:r>
    </w:p>
    <w:p w:rsidR="00000000" w:rsidRPr="004324D6" w:rsidP="004324D6">
      <w:pPr>
        <w:pStyle w:val="BodyText"/>
      </w:pPr>
      <w:r w:rsidRPr="004324D6">
        <w:t>Version 1.0 No equivalent unit.</w:t>
      </w:r>
    </w:p>
    <w:p w:rsidR="00000000" w:rsidRPr="004324D6" w:rsidP="004324D6">
      <w:pPr>
        <w:pStyle w:val="AllowPageBreak"/>
      </w:pPr>
    </w:p>
    <w:p w:rsidR="00000000" w:rsidRPr="004324D6" w:rsidP="004324D6">
      <w:pPr>
        <w:pStyle w:val="Heading1"/>
      </w:pPr>
      <w:bookmarkStart w:id="2" w:name="O_583917"/>
      <w:bookmarkEnd w:id="2"/>
      <w:r w:rsidRPr="004324D6">
        <w:t>Unit Descriptor</w:t>
      </w:r>
    </w:p>
    <w:tbl>
      <w:tblPr>
        <w:tblW w:w="0" w:type="auto"/>
        <w:tblLayout w:type="fixed"/>
        <w:tblCellMar>
          <w:left w:w="62" w:type="dxa"/>
          <w:right w:w="62" w:type="dxa"/>
        </w:tblCellMar>
        <w:tblLook w:val="0000"/>
      </w:tblPr>
      <w:tblGrid>
        <w:gridCol w:w="2602"/>
        <w:gridCol w:w="5858"/>
      </w:tblGrid>
      <w:tr w:rsidTr="004324D6">
        <w:tblPrEx>
          <w:tblW w:w="0" w:type="auto"/>
          <w:tblLayout w:type="fixed"/>
          <w:tblCellMar>
            <w:left w:w="62" w:type="dxa"/>
            <w:right w:w="62" w:type="dxa"/>
          </w:tblCellMar>
          <w:tblLook w:val="0000"/>
        </w:tblPrEx>
        <w:tc>
          <w:tcPr>
            <w:tcW w:w="2602" w:type="dxa"/>
            <w:tcBorders>
              <w:top w:val="nil"/>
              <w:left w:val="nil"/>
              <w:bottom w:val="nil"/>
              <w:right w:val="nil"/>
            </w:tcBorders>
            <w:tcMar>
              <w:top w:w="0" w:type="dxa"/>
              <w:left w:w="62" w:type="dxa"/>
              <w:bottom w:w="0" w:type="dxa"/>
              <w:right w:w="62" w:type="dxa"/>
            </w:tcMar>
          </w:tcPr>
          <w:p w:rsidR="00000000" w:rsidP="004324D6">
            <w:pPr>
              <w:pStyle w:val="BodyText"/>
              <w:rPr>
                <w:lang w:val="en-NZ"/>
              </w:rPr>
            </w:pPr>
            <w:r w:rsidRPr="004324D6">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4324D6" w:rsidP="004324D6">
            <w:pPr>
              <w:pStyle w:val="BodyText"/>
            </w:pPr>
            <w:r w:rsidRPr="004324D6">
              <w:t>This unit describes the outcomes required to maintain energy efficient work practices and contribute to systems improvement with regard to</w:t>
            </w:r>
            <w:r w:rsidRPr="004324D6">
              <w:t xml:space="preserve"> energy efficiency in the forest and timber products industry.</w:t>
            </w:r>
          </w:p>
          <w:p w:rsidR="00000000" w:rsidRPr="004324D6" w:rsidP="004324D6">
            <w:pPr>
              <w:pStyle w:val="BodyText"/>
            </w:pPr>
            <w:r w:rsidRPr="004324D6">
              <w:t>It also includes developing an understanding of the positive benefits of the forest and wood products industry in reducing greenhouse emissions, and promoting them to stakeholders.</w:t>
            </w:r>
          </w:p>
          <w:p w:rsidR="00000000" w:rsidRPr="004324D6" w:rsidP="004324D6">
            <w:pPr>
              <w:pStyle w:val="BodyText"/>
            </w:pPr>
            <w:r w:rsidRPr="004324D6">
              <w:t>These work f</w:t>
            </w:r>
            <w:r w:rsidRPr="004324D6">
              <w:t>unctions would be carried out under routine supervision and within organisational guidelines.</w:t>
            </w:r>
          </w:p>
        </w:tc>
      </w:tr>
    </w:tbl>
    <w:p w:rsidR="00000000" w:rsidRPr="004324D6" w:rsidP="004324D6">
      <w:pPr>
        <w:pStyle w:val="BodyText"/>
      </w:pPr>
    </w:p>
    <w:p w:rsidR="00000000" w:rsidRPr="004324D6" w:rsidP="004324D6">
      <w:pPr>
        <w:pStyle w:val="AllowPageBreak"/>
      </w:pPr>
    </w:p>
    <w:p w:rsidR="00000000" w:rsidRPr="004324D6" w:rsidP="004324D6">
      <w:pPr>
        <w:pStyle w:val="Heading1"/>
      </w:pPr>
      <w:bookmarkStart w:id="3" w:name="O_583918"/>
      <w:bookmarkEnd w:id="3"/>
      <w:r w:rsidRPr="004324D6">
        <w:t>Application of the Unit</w:t>
      </w:r>
    </w:p>
    <w:tbl>
      <w:tblPr>
        <w:tblW w:w="0" w:type="auto"/>
        <w:tblLayout w:type="fixed"/>
        <w:tblCellMar>
          <w:left w:w="62" w:type="dxa"/>
          <w:right w:w="62" w:type="dxa"/>
        </w:tblCellMar>
        <w:tblLook w:val="0000"/>
      </w:tblPr>
      <w:tblGrid>
        <w:gridCol w:w="2689"/>
        <w:gridCol w:w="5771"/>
      </w:tblGrid>
      <w:tr w:rsidTr="004324D6">
        <w:tblPrEx>
          <w:tblW w:w="0" w:type="auto"/>
          <w:tblLayout w:type="fixed"/>
          <w:tblCellMar>
            <w:left w:w="62" w:type="dxa"/>
            <w:right w:w="62" w:type="dxa"/>
          </w:tblCellMar>
          <w:tblLook w:val="0000"/>
        </w:tblPrEx>
        <w:tc>
          <w:tcPr>
            <w:tcW w:w="2689" w:type="dxa"/>
            <w:tcBorders>
              <w:top w:val="nil"/>
              <w:left w:val="nil"/>
              <w:bottom w:val="nil"/>
              <w:right w:val="nil"/>
            </w:tcBorders>
            <w:tcMar>
              <w:top w:w="0" w:type="dxa"/>
              <w:left w:w="62" w:type="dxa"/>
              <w:bottom w:w="0" w:type="dxa"/>
              <w:right w:w="62" w:type="dxa"/>
            </w:tcMar>
          </w:tcPr>
          <w:p w:rsidR="00000000" w:rsidP="004324D6">
            <w:pPr>
              <w:pStyle w:val="BodyText"/>
              <w:rPr>
                <w:lang w:val="en-NZ"/>
              </w:rPr>
            </w:pPr>
            <w:r w:rsidRPr="004324D6">
              <w:rPr>
                <w:rStyle w:val="SpecialBold"/>
              </w:rPr>
              <w:t>Application of the unit</w:t>
            </w:r>
          </w:p>
        </w:tc>
        <w:tc>
          <w:tcPr>
            <w:tcW w:w="5771" w:type="dxa"/>
            <w:tcBorders>
              <w:top w:val="nil"/>
              <w:left w:val="nil"/>
              <w:bottom w:val="nil"/>
              <w:right w:val="nil"/>
            </w:tcBorders>
            <w:tcMar>
              <w:top w:w="0" w:type="dxa"/>
              <w:left w:w="62" w:type="dxa"/>
              <w:bottom w:w="0" w:type="dxa"/>
              <w:right w:w="62" w:type="dxa"/>
            </w:tcMar>
          </w:tcPr>
          <w:p w:rsidR="00000000" w:rsidRPr="004324D6" w:rsidP="004324D6">
            <w:pPr>
              <w:pStyle w:val="BodyText"/>
            </w:pPr>
            <w:r w:rsidRPr="004324D6">
              <w:t>The unit involves maintaining and contributing to energy efficient work practices in the forest</w:t>
            </w:r>
            <w:r w:rsidRPr="004324D6">
              <w:t xml:space="preserve"> and forest products industry across a range of operations and work settings.</w:t>
            </w:r>
          </w:p>
          <w:p w:rsidR="00000000" w:rsidRPr="004324D6" w:rsidP="004324D6">
            <w:pPr>
              <w:pStyle w:val="BodyText"/>
            </w:pPr>
            <w:r w:rsidRPr="004324D6">
              <w:t>The skills and knowledge required for competent workplace performance are to be used within the scope of the person's job and authority.</w:t>
            </w:r>
          </w:p>
        </w:tc>
      </w:tr>
    </w:tbl>
    <w:p w:rsidR="00000000" w:rsidRPr="004324D6" w:rsidP="004324D6">
      <w:pPr>
        <w:pStyle w:val="BodyText"/>
      </w:pPr>
    </w:p>
    <w:p w:rsidR="00000000" w:rsidRPr="004324D6" w:rsidP="004324D6">
      <w:pPr>
        <w:pStyle w:val="AllowPageBreak"/>
      </w:pPr>
    </w:p>
    <w:p w:rsidR="00000000" w:rsidRPr="004324D6" w:rsidP="004324D6">
      <w:pPr>
        <w:pStyle w:val="Heading1"/>
      </w:pPr>
      <w:bookmarkStart w:id="4" w:name="O_583919"/>
      <w:bookmarkEnd w:id="4"/>
      <w:r w:rsidRPr="004324D6">
        <w:t>Licensing/Regulatory Information</w:t>
      </w:r>
    </w:p>
    <w:p w:rsidR="00000000" w:rsidRPr="004324D6" w:rsidP="004324D6">
      <w:pPr>
        <w:pStyle w:val="BodyText"/>
      </w:pPr>
      <w:r w:rsidRPr="004324D6">
        <w:t>General workplace legislative and regulatory requirements apply to this unit; however there are no specific licensing or certification requirements at the time of publication.</w:t>
      </w:r>
    </w:p>
    <w:p w:rsidR="00000000" w:rsidRPr="004324D6" w:rsidP="004324D6">
      <w:pPr>
        <w:pStyle w:val="AllowPageBreak"/>
      </w:pPr>
    </w:p>
    <w:p w:rsidR="00000000" w:rsidRPr="004324D6" w:rsidP="004324D6">
      <w:pPr>
        <w:pStyle w:val="Heading1"/>
      </w:pPr>
      <w:bookmarkStart w:id="5" w:name="O_583920"/>
      <w:bookmarkEnd w:id="5"/>
      <w:r w:rsidRPr="004324D6">
        <w:t>Pre-Requisites</w:t>
      </w:r>
    </w:p>
    <w:p w:rsidR="00000000" w:rsidRPr="004324D6" w:rsidP="004324D6">
      <w:pPr>
        <w:pStyle w:val="BodyText"/>
      </w:pPr>
      <w:r w:rsidRPr="004324D6">
        <w:t>Nil.</w:t>
      </w:r>
    </w:p>
    <w:p w:rsidR="00000000" w:rsidRPr="004324D6" w:rsidP="004324D6">
      <w:pPr>
        <w:pStyle w:val="AllowPageBreak"/>
      </w:pPr>
    </w:p>
    <w:p w:rsidR="00000000" w:rsidRPr="004324D6" w:rsidP="004324D6">
      <w:pPr>
        <w:pStyle w:val="Heading1"/>
      </w:pPr>
      <w:bookmarkStart w:id="6" w:name="O_583921"/>
      <w:bookmarkEnd w:id="6"/>
      <w:r w:rsidRPr="004324D6">
        <w:t>Employability Skills Information</w:t>
      </w:r>
    </w:p>
    <w:tbl>
      <w:tblPr>
        <w:tblW w:w="0" w:type="auto"/>
        <w:tblLayout w:type="fixed"/>
        <w:tblCellMar>
          <w:left w:w="62" w:type="dxa"/>
          <w:right w:w="62" w:type="dxa"/>
        </w:tblCellMar>
        <w:tblLook w:val="0000"/>
      </w:tblPr>
      <w:tblGrid>
        <w:gridCol w:w="2740"/>
        <w:gridCol w:w="5720"/>
      </w:tblGrid>
      <w:tr w:rsidTr="004324D6">
        <w:tblPrEx>
          <w:tblW w:w="0" w:type="auto"/>
          <w:tblLayout w:type="fixed"/>
          <w:tblCellMar>
            <w:left w:w="62" w:type="dxa"/>
            <w:right w:w="62" w:type="dxa"/>
          </w:tblCellMar>
          <w:tblLook w:val="0000"/>
        </w:tblPrEx>
        <w:trPr>
          <w:tblHeader/>
        </w:trPr>
        <w:tc>
          <w:tcPr>
            <w:tcW w:w="2740" w:type="dxa"/>
            <w:tcBorders>
              <w:top w:val="nil"/>
              <w:left w:val="nil"/>
              <w:bottom w:val="nil"/>
              <w:right w:val="nil"/>
            </w:tcBorders>
            <w:tcMar>
              <w:top w:w="0" w:type="dxa"/>
              <w:left w:w="62" w:type="dxa"/>
              <w:bottom w:w="0" w:type="dxa"/>
              <w:right w:w="62" w:type="dxa"/>
            </w:tcMar>
          </w:tcPr>
          <w:p w:rsidR="00000000" w:rsidP="004324D6">
            <w:pPr>
              <w:pStyle w:val="BodyText"/>
              <w:rPr>
                <w:lang w:val="en-NZ"/>
              </w:rPr>
            </w:pPr>
            <w:r w:rsidRPr="004324D6">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4324D6" w:rsidP="004324D6">
            <w:pPr>
              <w:pStyle w:val="BodyText"/>
            </w:pPr>
            <w:r w:rsidRPr="004324D6">
              <w:t>This unit contains employability skills</w:t>
            </w:r>
          </w:p>
        </w:tc>
      </w:tr>
    </w:tbl>
    <w:p w:rsidR="00000000" w:rsidRPr="004324D6" w:rsidP="004324D6">
      <w:pPr>
        <w:pStyle w:val="BodyText"/>
      </w:pPr>
    </w:p>
    <w:p w:rsidR="00000000" w:rsidRPr="004324D6" w:rsidP="004324D6">
      <w:pPr>
        <w:pStyle w:val="AllowPageBreak"/>
      </w:pPr>
    </w:p>
    <w:p w:rsidR="00000000" w:rsidRPr="004324D6" w:rsidP="004324D6">
      <w:pPr>
        <w:pStyle w:val="Heading1"/>
      </w:pPr>
      <w:bookmarkStart w:id="7" w:name="O_583922"/>
      <w:bookmarkEnd w:id="7"/>
      <w:r w:rsidRPr="004324D6">
        <w:t>Elements and Performance Criteria Pre-Content</w:t>
      </w:r>
    </w:p>
    <w:tbl>
      <w:tblPr>
        <w:tblW w:w="0" w:type="auto"/>
        <w:tblLayout w:type="fixed"/>
        <w:tblCellMar>
          <w:left w:w="62" w:type="dxa"/>
          <w:right w:w="62" w:type="dxa"/>
        </w:tblCellMar>
        <w:tblLook w:val="0000"/>
      </w:tblPr>
      <w:tblGrid>
        <w:gridCol w:w="2511"/>
        <w:gridCol w:w="5949"/>
      </w:tblGrid>
      <w:tr w:rsidTr="004324D6">
        <w:tblPrEx>
          <w:tblW w:w="0" w:type="auto"/>
          <w:tblLayout w:type="fixed"/>
          <w:tblCellMar>
            <w:left w:w="62" w:type="dxa"/>
            <w:right w:w="62" w:type="dxa"/>
          </w:tblCellMar>
          <w:tblLook w:val="0000"/>
        </w:tblPrEx>
        <w:tc>
          <w:tcPr>
            <w:tcW w:w="2511" w:type="dxa"/>
            <w:tcBorders>
              <w:top w:val="nil"/>
              <w:left w:val="nil"/>
              <w:bottom w:val="nil"/>
              <w:right w:val="nil"/>
            </w:tcBorders>
            <w:tcMar>
              <w:top w:w="0" w:type="dxa"/>
              <w:left w:w="62" w:type="dxa"/>
              <w:bottom w:w="0" w:type="dxa"/>
              <w:right w:w="62" w:type="dxa"/>
            </w:tcMar>
          </w:tcPr>
          <w:p w:rsidR="00000000" w:rsidP="004324D6">
            <w:pPr>
              <w:pStyle w:val="BodyText"/>
              <w:rPr>
                <w:lang w:val="en-NZ"/>
              </w:rPr>
            </w:pPr>
            <w:r w:rsidRPr="004324D6">
              <w:t>Elements describe the essential outcomes of a unit of competency.</w:t>
            </w:r>
          </w:p>
        </w:tc>
        <w:tc>
          <w:tcPr>
            <w:tcW w:w="5949" w:type="dxa"/>
            <w:tcBorders>
              <w:top w:val="nil"/>
              <w:left w:val="nil"/>
              <w:bottom w:val="nil"/>
              <w:right w:val="nil"/>
            </w:tcBorders>
            <w:tcMar>
              <w:top w:w="0" w:type="dxa"/>
              <w:left w:w="62" w:type="dxa"/>
              <w:bottom w:w="0" w:type="dxa"/>
              <w:right w:w="62" w:type="dxa"/>
            </w:tcMar>
          </w:tcPr>
          <w:p w:rsidR="00000000" w:rsidRPr="004324D6" w:rsidP="004324D6">
            <w:pPr>
              <w:pStyle w:val="BodyText"/>
            </w:pPr>
            <w:r w:rsidRPr="004324D6">
              <w:t>Performance criteria describe the performance needed to demonstrate achievement of the element. Where bold italicised text is used, further information is detailed in the required skills and knowledge section and the range statement. Assessment of performa</w:t>
            </w:r>
            <w:r w:rsidRPr="004324D6">
              <w:t>nce is to be consistent with the evidence guide.</w:t>
            </w:r>
          </w:p>
        </w:tc>
      </w:tr>
    </w:tbl>
    <w:p w:rsidR="00000000" w:rsidRPr="004324D6" w:rsidP="004324D6">
      <w:pPr>
        <w:pStyle w:val="BodyText"/>
      </w:pPr>
    </w:p>
    <w:p w:rsidR="00000000" w:rsidRPr="004324D6" w:rsidP="004324D6">
      <w:pPr>
        <w:pStyle w:val="AllowPageBreak"/>
      </w:pPr>
    </w:p>
    <w:p w:rsidR="00000000" w:rsidRPr="004324D6" w:rsidP="004324D6">
      <w:pPr>
        <w:pStyle w:val="Heading1"/>
      </w:pPr>
      <w:bookmarkStart w:id="8" w:name="O_583923"/>
      <w:bookmarkEnd w:id="8"/>
      <w:r w:rsidRPr="004324D6">
        <w:t>Elements and Performance Criteria</w:t>
      </w:r>
    </w:p>
    <w:tbl>
      <w:tblPr>
        <w:tblW w:w="9260" w:type="dxa"/>
        <w:tblLayout w:type="fixed"/>
        <w:tblCellMar>
          <w:left w:w="62" w:type="dxa"/>
          <w:right w:w="62" w:type="dxa"/>
        </w:tblCellMar>
        <w:tblLook w:val="0000"/>
      </w:tblPr>
      <w:tblGrid>
        <w:gridCol w:w="2675"/>
        <w:gridCol w:w="6585"/>
      </w:tblGrid>
      <w:tr w:rsidTr="004324D6">
        <w:tblPrEx>
          <w:tblW w:w="9260" w:type="dxa"/>
          <w:tblLayout w:type="fixed"/>
          <w:tblCellMar>
            <w:left w:w="62" w:type="dxa"/>
            <w:right w:w="62" w:type="dxa"/>
          </w:tblCellMar>
          <w:tblLook w:val="0000"/>
        </w:tblPrEx>
        <w:trPr>
          <w:tblHeader/>
        </w:trPr>
        <w:tc>
          <w:tcPr>
            <w:tcW w:w="2675" w:type="dxa"/>
            <w:tcBorders>
              <w:top w:val="nil"/>
              <w:left w:val="nil"/>
              <w:bottom w:val="nil"/>
              <w:right w:val="nil"/>
            </w:tcBorders>
            <w:tcMar>
              <w:top w:w="0" w:type="dxa"/>
              <w:left w:w="62" w:type="dxa"/>
              <w:bottom w:w="0" w:type="dxa"/>
              <w:right w:w="62" w:type="dxa"/>
            </w:tcMar>
          </w:tcPr>
          <w:p w:rsidR="00000000" w:rsidRPr="004324D6" w:rsidP="004324D6">
            <w:pPr>
              <w:pStyle w:val="BodyText"/>
            </w:pPr>
            <w:r w:rsidRPr="004324D6">
              <w:rPr>
                <w:rStyle w:val="SpecialBold"/>
              </w:rPr>
              <w:t>NEW ELEMENT</w:t>
            </w:r>
          </w:p>
        </w:tc>
        <w:tc>
          <w:tcPr>
            <w:tcW w:w="6585" w:type="dxa"/>
            <w:tcBorders>
              <w:top w:val="nil"/>
              <w:left w:val="nil"/>
              <w:bottom w:val="nil"/>
              <w:right w:val="nil"/>
            </w:tcBorders>
            <w:tcMar>
              <w:top w:w="0" w:type="dxa"/>
              <w:left w:w="62" w:type="dxa"/>
              <w:bottom w:w="0" w:type="dxa"/>
              <w:right w:w="62" w:type="dxa"/>
            </w:tcMar>
          </w:tcPr>
          <w:p w:rsidR="00000000" w:rsidP="004324D6">
            <w:pPr>
              <w:pStyle w:val="BodyText"/>
              <w:rPr>
                <w:lang w:val="en-NZ"/>
              </w:rPr>
            </w:pPr>
            <w:r w:rsidRPr="004324D6">
              <w:rPr>
                <w:rStyle w:val="SpecialBold"/>
              </w:rPr>
              <w:t>NEW PERFORMANCE CRITERIA</w:t>
            </w:r>
          </w:p>
        </w:tc>
      </w:tr>
      <w:tr w:rsidTr="004324D6">
        <w:tblPrEx>
          <w:tblW w:w="9260" w:type="dxa"/>
          <w:tblLayout w:type="fixed"/>
          <w:tblCellMar>
            <w:left w:w="62" w:type="dxa"/>
            <w:right w:w="62" w:type="dxa"/>
          </w:tblCellMar>
          <w:tblLook w:val="0000"/>
        </w:tblPrEx>
        <w:tc>
          <w:tcPr>
            <w:tcW w:w="2675" w:type="dxa"/>
            <w:tcBorders>
              <w:top w:val="nil"/>
              <w:left w:val="nil"/>
              <w:bottom w:val="nil"/>
              <w:right w:val="nil"/>
            </w:tcBorders>
            <w:tcMar>
              <w:top w:w="0" w:type="dxa"/>
              <w:left w:w="62" w:type="dxa"/>
              <w:bottom w:w="0" w:type="dxa"/>
              <w:right w:w="62" w:type="dxa"/>
            </w:tcMar>
          </w:tcPr>
          <w:p w:rsidR="00000000" w:rsidP="004324D6">
            <w:pPr>
              <w:pStyle w:val="List"/>
              <w:rPr>
                <w:lang w:val="en-NZ"/>
              </w:rPr>
            </w:pPr>
            <w:r w:rsidRPr="004324D6">
              <w:t>1.</w:t>
            </w:r>
            <w:r w:rsidRPr="004324D6">
              <w:tab/>
              <w:t>Identify requirements to maintain and contribute to energy efficiency</w:t>
            </w:r>
          </w:p>
        </w:tc>
        <w:tc>
          <w:tcPr>
            <w:tcW w:w="6585" w:type="dxa"/>
            <w:tcBorders>
              <w:top w:val="nil"/>
              <w:left w:val="nil"/>
              <w:bottom w:val="nil"/>
              <w:right w:val="nil"/>
            </w:tcBorders>
            <w:tcMar>
              <w:top w:w="0" w:type="dxa"/>
              <w:left w:w="62" w:type="dxa"/>
              <w:bottom w:w="0" w:type="dxa"/>
              <w:right w:w="62" w:type="dxa"/>
            </w:tcMar>
          </w:tcPr>
          <w:p w:rsidR="00000000" w:rsidRPr="004324D6" w:rsidP="004324D6">
            <w:pPr>
              <w:pStyle w:val="List2"/>
            </w:pPr>
            <w:r w:rsidRPr="004324D6">
              <w:t>1.1</w:t>
            </w:r>
            <w:r w:rsidRPr="004324D6">
              <w:tab/>
              <w:t xml:space="preserve">Appropriate </w:t>
            </w:r>
            <w:r w:rsidRPr="004324D6">
              <w:rPr>
                <w:rStyle w:val="BoldandItalics"/>
              </w:rPr>
              <w:t>work/occupational health an</w:t>
            </w:r>
            <w:r w:rsidRPr="004324D6">
              <w:rPr>
                <w:rStyle w:val="BoldandItalics"/>
              </w:rPr>
              <w:t>d safety (WHS/OHS)</w:t>
            </w:r>
            <w:r w:rsidRPr="004324D6">
              <w:t xml:space="preserve">, </w:t>
            </w:r>
            <w:r w:rsidRPr="004324D6">
              <w:rPr>
                <w:rStyle w:val="BoldandItalics"/>
              </w:rPr>
              <w:t>environmental</w:t>
            </w:r>
            <w:r w:rsidRPr="004324D6">
              <w:t xml:space="preserve">, and </w:t>
            </w:r>
            <w:r w:rsidRPr="004324D6">
              <w:rPr>
                <w:rStyle w:val="BoldandItalics"/>
              </w:rPr>
              <w:t xml:space="preserve">organisational policies and procedures </w:t>
            </w:r>
            <w:r w:rsidRPr="004324D6">
              <w:t xml:space="preserve">relevant to maintaining and contributing to energy efficiency are identified and followed </w:t>
            </w:r>
          </w:p>
          <w:p w:rsidR="00000000" w:rsidRPr="004324D6" w:rsidP="004324D6">
            <w:pPr>
              <w:pStyle w:val="List2"/>
            </w:pPr>
            <w:r w:rsidRPr="004324D6">
              <w:t>1.2</w:t>
            </w:r>
            <w:r w:rsidRPr="004324D6">
              <w:tab/>
              <w:t>Requirements to maintain energy efficiency are identified and reviewed</w:t>
            </w:r>
          </w:p>
          <w:p w:rsidR="00000000" w:rsidRPr="004324D6" w:rsidP="004324D6">
            <w:pPr>
              <w:pStyle w:val="List2"/>
            </w:pPr>
            <w:r w:rsidRPr="004324D6">
              <w:t>1.3</w:t>
            </w:r>
            <w:r w:rsidRPr="004324D6">
              <w:tab/>
              <w:t>Benefits</w:t>
            </w:r>
            <w:r w:rsidRPr="004324D6">
              <w:t xml:space="preserve"> relating to the forest and wood products industry and energy efficiency are identified </w:t>
            </w:r>
          </w:p>
          <w:p w:rsidR="00000000" w:rsidP="004324D6">
            <w:pPr>
              <w:pStyle w:val="List2"/>
              <w:rPr>
                <w:lang w:val="en-NZ"/>
              </w:rPr>
            </w:pPr>
            <w:r w:rsidRPr="004324D6">
              <w:t>1.4</w:t>
            </w:r>
            <w:r w:rsidRPr="004324D6">
              <w:tab/>
              <w:t xml:space="preserve">Benefits of using forest and timber products, in comparison to other building materials, are identified through a life cycle analysis </w:t>
            </w:r>
          </w:p>
        </w:tc>
      </w:tr>
      <w:tr w:rsidTr="004324D6">
        <w:tblPrEx>
          <w:tblW w:w="9260" w:type="dxa"/>
          <w:tblLayout w:type="fixed"/>
          <w:tblCellMar>
            <w:left w:w="62" w:type="dxa"/>
            <w:right w:w="62" w:type="dxa"/>
          </w:tblCellMar>
          <w:tblLook w:val="0000"/>
        </w:tblPrEx>
        <w:tc>
          <w:tcPr>
            <w:tcW w:w="2675" w:type="dxa"/>
            <w:tcBorders>
              <w:top w:val="nil"/>
              <w:left w:val="nil"/>
              <w:bottom w:val="nil"/>
              <w:right w:val="nil"/>
            </w:tcBorders>
            <w:tcMar>
              <w:top w:w="0" w:type="dxa"/>
              <w:left w:w="62" w:type="dxa"/>
              <w:bottom w:w="0" w:type="dxa"/>
              <w:right w:w="62" w:type="dxa"/>
            </w:tcMar>
          </w:tcPr>
          <w:p w:rsidR="00000000" w:rsidP="004324D6">
            <w:pPr>
              <w:pStyle w:val="List"/>
              <w:rPr>
                <w:lang w:val="en-NZ"/>
              </w:rPr>
            </w:pPr>
            <w:r w:rsidRPr="004324D6">
              <w:t>2.</w:t>
            </w:r>
            <w:r w:rsidRPr="004324D6">
              <w:tab/>
            </w:r>
            <w:r w:rsidRPr="004324D6">
              <w:t>Follow and promote energy efficient work practices</w:t>
            </w:r>
          </w:p>
        </w:tc>
        <w:tc>
          <w:tcPr>
            <w:tcW w:w="6585" w:type="dxa"/>
            <w:tcBorders>
              <w:top w:val="nil"/>
              <w:left w:val="nil"/>
              <w:bottom w:val="nil"/>
              <w:right w:val="nil"/>
            </w:tcBorders>
            <w:tcMar>
              <w:top w:w="0" w:type="dxa"/>
              <w:left w:w="62" w:type="dxa"/>
              <w:bottom w:w="0" w:type="dxa"/>
              <w:right w:w="62" w:type="dxa"/>
            </w:tcMar>
          </w:tcPr>
          <w:p w:rsidR="00000000" w:rsidRPr="004324D6" w:rsidP="004324D6">
            <w:pPr>
              <w:pStyle w:val="List2"/>
            </w:pPr>
            <w:r w:rsidRPr="004324D6">
              <w:t>2.1</w:t>
            </w:r>
            <w:r w:rsidRPr="004324D6">
              <w:tab/>
              <w:t>Site energy efficiency policy and procedures, including those relating to recycling and waste management, are adhered to</w:t>
            </w:r>
          </w:p>
          <w:p w:rsidR="00000000" w:rsidRPr="004324D6" w:rsidP="004324D6">
            <w:pPr>
              <w:pStyle w:val="List2"/>
            </w:pPr>
            <w:r w:rsidRPr="004324D6">
              <w:t xml:space="preserve">2.2 </w:t>
            </w:r>
            <w:r w:rsidRPr="004324D6">
              <w:tab/>
            </w:r>
            <w:r w:rsidRPr="004324D6">
              <w:rPr>
                <w:rStyle w:val="BoldandItalics"/>
              </w:rPr>
              <w:t>Equipment</w:t>
            </w:r>
            <w:r w:rsidRPr="004324D6">
              <w:t xml:space="preserve"> is operated to ensure maximum </w:t>
            </w:r>
            <w:r w:rsidRPr="004324D6">
              <w:rPr>
                <w:rStyle w:val="BoldandItalics"/>
              </w:rPr>
              <w:t>energy efficiency</w:t>
            </w:r>
          </w:p>
          <w:p w:rsidR="00000000" w:rsidRPr="004324D6" w:rsidP="004324D6">
            <w:pPr>
              <w:pStyle w:val="List2"/>
            </w:pPr>
            <w:r w:rsidRPr="004324D6">
              <w:t>2.3</w:t>
            </w:r>
            <w:r w:rsidRPr="004324D6">
              <w:tab/>
              <w:t xml:space="preserve">Own </w:t>
            </w:r>
            <w:r w:rsidRPr="004324D6">
              <w:rPr>
                <w:rStyle w:val="BoldandItalics"/>
              </w:rPr>
              <w:t>work prac</w:t>
            </w:r>
            <w:r w:rsidRPr="004324D6">
              <w:rPr>
                <w:rStyle w:val="BoldandItalics"/>
              </w:rPr>
              <w:t>tices</w:t>
            </w:r>
            <w:r w:rsidRPr="004324D6">
              <w:t xml:space="preserve"> are monitored to maintain energy efficiency</w:t>
            </w:r>
          </w:p>
          <w:p w:rsidR="00000000" w:rsidP="004324D6">
            <w:pPr>
              <w:pStyle w:val="List2"/>
              <w:rPr>
                <w:lang w:val="en-NZ"/>
              </w:rPr>
            </w:pPr>
            <w:r w:rsidRPr="004324D6">
              <w:t>2.4</w:t>
            </w:r>
            <w:r w:rsidRPr="004324D6">
              <w:tab/>
            </w:r>
            <w:r w:rsidRPr="004324D6">
              <w:rPr>
                <w:rStyle w:val="BoldandItalics"/>
              </w:rPr>
              <w:t>Positive aspects</w:t>
            </w:r>
            <w:r w:rsidRPr="004324D6">
              <w:t xml:space="preserve"> of the forest and timber products industry, and the benefits of forest and timber products in comparison to other building materials, are promoted with internal and external stakeholder</w:t>
            </w:r>
            <w:r w:rsidRPr="004324D6">
              <w:t>s</w:t>
            </w:r>
          </w:p>
        </w:tc>
      </w:tr>
      <w:tr w:rsidTr="004324D6">
        <w:tblPrEx>
          <w:tblW w:w="9260" w:type="dxa"/>
          <w:tblLayout w:type="fixed"/>
          <w:tblCellMar>
            <w:left w:w="62" w:type="dxa"/>
            <w:right w:w="62" w:type="dxa"/>
          </w:tblCellMar>
          <w:tblLook w:val="0000"/>
        </w:tblPrEx>
        <w:tc>
          <w:tcPr>
            <w:tcW w:w="2675" w:type="dxa"/>
            <w:tcBorders>
              <w:top w:val="nil"/>
              <w:left w:val="nil"/>
              <w:bottom w:val="nil"/>
              <w:right w:val="nil"/>
            </w:tcBorders>
            <w:tcMar>
              <w:top w:w="0" w:type="dxa"/>
              <w:left w:w="62" w:type="dxa"/>
              <w:bottom w:w="0" w:type="dxa"/>
              <w:right w:w="62" w:type="dxa"/>
            </w:tcMar>
          </w:tcPr>
          <w:p w:rsidR="00000000" w:rsidP="004324D6">
            <w:pPr>
              <w:pStyle w:val="List"/>
              <w:rPr>
                <w:lang w:val="en-NZ"/>
              </w:rPr>
            </w:pPr>
            <w:r w:rsidRPr="004324D6">
              <w:t>3.</w:t>
            </w:r>
            <w:r w:rsidRPr="004324D6">
              <w:tab/>
              <w:t>Contribute to systems improvement with regard to energy efficiency</w:t>
            </w:r>
          </w:p>
        </w:tc>
        <w:tc>
          <w:tcPr>
            <w:tcW w:w="6585" w:type="dxa"/>
            <w:tcBorders>
              <w:top w:val="nil"/>
              <w:left w:val="nil"/>
              <w:bottom w:val="nil"/>
              <w:right w:val="nil"/>
            </w:tcBorders>
            <w:tcMar>
              <w:top w:w="0" w:type="dxa"/>
              <w:left w:w="62" w:type="dxa"/>
              <w:bottom w:w="0" w:type="dxa"/>
              <w:right w:w="62" w:type="dxa"/>
            </w:tcMar>
          </w:tcPr>
          <w:p w:rsidR="00000000" w:rsidRPr="004324D6" w:rsidP="004324D6">
            <w:pPr>
              <w:pStyle w:val="List2"/>
            </w:pPr>
            <w:r w:rsidRPr="004324D6">
              <w:t>3.1</w:t>
            </w:r>
            <w:r w:rsidRPr="004324D6">
              <w:tab/>
              <w:t>Reviews of operations for improvement in energy efficiency are contributed to and supported</w:t>
            </w:r>
          </w:p>
          <w:p w:rsidR="00000000" w:rsidRPr="004324D6" w:rsidP="004324D6">
            <w:pPr>
              <w:pStyle w:val="List2"/>
            </w:pPr>
            <w:r w:rsidRPr="004324D6">
              <w:t>3.2</w:t>
            </w:r>
            <w:r w:rsidRPr="004324D6">
              <w:tab/>
              <w:t>Opportunities for efficiencies in consumption of raw materials are identified and p</w:t>
            </w:r>
            <w:r w:rsidRPr="004324D6">
              <w:t xml:space="preserve">rogressed through </w:t>
            </w:r>
            <w:r w:rsidRPr="004324D6">
              <w:rPr>
                <w:rStyle w:val="BoldandItalics"/>
              </w:rPr>
              <w:t>appropriate personnel</w:t>
            </w:r>
          </w:p>
          <w:p w:rsidR="00000000" w:rsidRPr="004324D6" w:rsidP="004324D6">
            <w:pPr>
              <w:pStyle w:val="List2"/>
            </w:pPr>
            <w:r w:rsidRPr="004324D6">
              <w:t>3.3</w:t>
            </w:r>
            <w:r w:rsidRPr="004324D6">
              <w:tab/>
              <w:t xml:space="preserve">Opportunities for innovation in energy efficiency are identified and progressed through established channels  </w:t>
            </w:r>
          </w:p>
        </w:tc>
      </w:tr>
    </w:tbl>
    <w:p w:rsidR="00000000" w:rsidRPr="004324D6" w:rsidP="004324D6">
      <w:pPr>
        <w:pStyle w:val="BodyText"/>
      </w:pPr>
    </w:p>
    <w:p w:rsidR="00000000" w:rsidRPr="004324D6" w:rsidP="004324D6">
      <w:pPr>
        <w:pStyle w:val="AllowPageBreak"/>
      </w:pPr>
    </w:p>
    <w:p w:rsidR="00000000" w:rsidRPr="004324D6" w:rsidP="004324D6">
      <w:pPr>
        <w:pStyle w:val="Heading1"/>
      </w:pPr>
      <w:bookmarkStart w:id="9" w:name="O_583924"/>
      <w:bookmarkEnd w:id="9"/>
      <w:r w:rsidRPr="004324D6">
        <w:t>Required Skills and Knowledge</w:t>
      </w:r>
    </w:p>
    <w:tbl>
      <w:tblPr>
        <w:tblW w:w="0" w:type="auto"/>
        <w:tblLayout w:type="fixed"/>
        <w:tblCellMar>
          <w:left w:w="62" w:type="dxa"/>
          <w:right w:w="62" w:type="dxa"/>
        </w:tblCellMar>
        <w:tblLook w:val="0000"/>
      </w:tblPr>
      <w:tblGrid>
        <w:gridCol w:w="8460"/>
      </w:tblGrid>
      <w:tr w:rsidTr="004324D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324D6">
            <w:pPr>
              <w:pStyle w:val="BodyText"/>
              <w:rPr>
                <w:lang w:val="en-NZ"/>
              </w:rPr>
            </w:pPr>
            <w:r w:rsidRPr="004324D6">
              <w:rPr>
                <w:rStyle w:val="SpecialBold"/>
              </w:rPr>
              <w:t>REQUIRED SKILLS AND KNOWLEDGE</w:t>
            </w:r>
          </w:p>
        </w:tc>
      </w:tr>
      <w:tr w:rsidTr="004324D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324D6">
            <w:pPr>
              <w:pStyle w:val="BodyText"/>
              <w:rPr>
                <w:lang w:val="en-NZ"/>
              </w:rPr>
            </w:pPr>
            <w:r w:rsidRPr="004324D6">
              <w:t>This describes the essential skills and knowledge and their level required for this unit</w:t>
            </w:r>
          </w:p>
        </w:tc>
      </w:tr>
      <w:tr w:rsidTr="004324D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324D6">
            <w:pPr>
              <w:pStyle w:val="BodyText"/>
              <w:rPr>
                <w:lang w:val="en-NZ"/>
              </w:rPr>
            </w:pPr>
            <w:r w:rsidRPr="004324D6">
              <w:rPr>
                <w:rStyle w:val="SpecialBold"/>
              </w:rPr>
              <w:t>Required skills</w:t>
            </w:r>
          </w:p>
        </w:tc>
      </w:tr>
      <w:tr w:rsidTr="004324D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324D6" w:rsidP="004324D6">
            <w:pPr>
              <w:pStyle w:val="ListBullet"/>
            </w:pPr>
            <w:r w:rsidRPr="004324D6">
              <w:t>Technical skills to use relevant equipment</w:t>
            </w:r>
          </w:p>
          <w:p w:rsidR="00000000" w:rsidRPr="004324D6" w:rsidP="004324D6">
            <w:pPr>
              <w:pStyle w:val="ListBullet"/>
            </w:pPr>
            <w:r w:rsidRPr="004324D6">
              <w:t>Communication and interpersonal skills to interact appropriately with colleagues and others in the workpl</w:t>
            </w:r>
            <w:r w:rsidRPr="004324D6">
              <w:t>ace</w:t>
            </w:r>
          </w:p>
          <w:p w:rsidR="00000000" w:rsidP="004324D6">
            <w:pPr>
              <w:pStyle w:val="ListBullet"/>
              <w:rPr>
                <w:lang w:val="en-NZ"/>
              </w:rPr>
            </w:pPr>
            <w:r w:rsidRPr="004324D6">
              <w:t>Numeracy skills to estimate, measure and calculate various factors relating to energy usage and efficiency improvements</w:t>
            </w:r>
          </w:p>
        </w:tc>
      </w:tr>
      <w:tr w:rsidTr="004324D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324D6">
            <w:pPr>
              <w:pStyle w:val="BodyText"/>
              <w:rPr>
                <w:lang w:val="en-NZ"/>
              </w:rPr>
            </w:pPr>
            <w:r w:rsidRPr="004324D6">
              <w:rPr>
                <w:rStyle w:val="SpecialBold"/>
              </w:rPr>
              <w:t>Required knowledge</w:t>
            </w:r>
          </w:p>
        </w:tc>
      </w:tr>
      <w:tr w:rsidTr="004324D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324D6" w:rsidP="004324D6">
            <w:pPr>
              <w:pStyle w:val="ListBullet"/>
            </w:pPr>
            <w:r w:rsidRPr="004324D6">
              <w:t xml:space="preserve">Organisational and site standards, requirements, policies and procedures relevant </w:t>
            </w:r>
            <w:r w:rsidRPr="004324D6">
              <w:t xml:space="preserve">to maintaining and contributing to energy efficiency </w:t>
            </w:r>
          </w:p>
          <w:p w:rsidR="00000000" w:rsidRPr="004324D6" w:rsidP="004324D6">
            <w:pPr>
              <w:pStyle w:val="ListBullet"/>
            </w:pPr>
            <w:r w:rsidRPr="004324D6">
              <w:t>Environmental protection requirements, including the safe disposal of waste material and site recycling, recovery and waste management procedures</w:t>
            </w:r>
          </w:p>
          <w:p w:rsidR="00000000" w:rsidRPr="004324D6" w:rsidP="004324D6">
            <w:pPr>
              <w:pStyle w:val="ListBullet"/>
            </w:pPr>
            <w:r w:rsidRPr="004324D6">
              <w:t>Workplace communication channels, protocols and procedur</w:t>
            </w:r>
            <w:r w:rsidRPr="004324D6">
              <w:t>es</w:t>
            </w:r>
          </w:p>
          <w:p w:rsidR="00000000" w:rsidRPr="004324D6" w:rsidP="004324D6">
            <w:pPr>
              <w:pStyle w:val="ListBullet"/>
            </w:pPr>
            <w:r w:rsidRPr="004324D6">
              <w:t>Role of forests, forestry and forest products in carbon capture and storage</w:t>
            </w:r>
          </w:p>
          <w:p w:rsidR="00000000" w:rsidRPr="004324D6" w:rsidP="004324D6">
            <w:pPr>
              <w:pStyle w:val="ListBullet"/>
            </w:pPr>
            <w:r w:rsidRPr="004324D6">
              <w:t>Role of the forest and timber products industry in minimising greenhouse emissions</w:t>
            </w:r>
          </w:p>
          <w:p w:rsidR="00000000" w:rsidRPr="004324D6" w:rsidP="004324D6">
            <w:pPr>
              <w:pStyle w:val="ListBullet"/>
            </w:pPr>
            <w:r w:rsidRPr="004324D6">
              <w:t>Life cycle analysis of forests and forest products in comparison to other building materials</w:t>
            </w:r>
          </w:p>
        </w:tc>
      </w:tr>
    </w:tbl>
    <w:p w:rsidR="00A571E7" w:rsidP="004324D6">
      <w:pPr>
        <w:pStyle w:val="BodyText"/>
      </w:pPr>
    </w:p>
    <w:p w:rsidR="00A571E7" w:rsidP="004324D6">
      <w:pPr>
        <w:pStyle w:val="BodyText"/>
      </w:pPr>
    </w:p>
    <w:p w:rsidR="00000000" w:rsidRPr="004324D6" w:rsidP="004324D6">
      <w:pPr>
        <w:pStyle w:val="Heading1"/>
      </w:pPr>
      <w:bookmarkStart w:id="10" w:name="O_583925"/>
      <w:bookmarkEnd w:id="10"/>
      <w:r w:rsidRPr="004324D6">
        <w:t>Evidence Guide</w:t>
      </w:r>
    </w:p>
    <w:tbl>
      <w:tblPr>
        <w:tblW w:w="0" w:type="auto"/>
        <w:tblLayout w:type="fixed"/>
        <w:tblCellMar>
          <w:left w:w="62" w:type="dxa"/>
          <w:right w:w="62" w:type="dxa"/>
        </w:tblCellMar>
        <w:tblLook w:val="0000"/>
      </w:tblPr>
      <w:tblGrid>
        <w:gridCol w:w="4505"/>
        <w:gridCol w:w="4135"/>
      </w:tblGrid>
      <w:tr w:rsidTr="004324D6">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4324D6">
            <w:pPr>
              <w:pStyle w:val="BodyText"/>
              <w:rPr>
                <w:lang w:val="en-NZ"/>
              </w:rPr>
            </w:pPr>
            <w:r w:rsidRPr="004324D6">
              <w:rPr>
                <w:rStyle w:val="SpecialBold"/>
              </w:rPr>
              <w:t>EVIDENCE GUIDE</w:t>
            </w:r>
          </w:p>
        </w:tc>
      </w:tr>
      <w:tr w:rsidTr="004324D6">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4324D6">
            <w:pPr>
              <w:pStyle w:val="BodyText"/>
              <w:rPr>
                <w:lang w:val="en-NZ"/>
              </w:rPr>
            </w:pPr>
            <w:r w:rsidRPr="004324D6">
              <w:t>The evidence guide provides advice on assessment and must be read in conjunction with the performance criteria, required skills and knowledge, range statement and the Assessment Guidelines for the Traini</w:t>
            </w:r>
            <w:r w:rsidRPr="004324D6">
              <w:t>ng Package.</w:t>
            </w:r>
          </w:p>
        </w:tc>
      </w:tr>
      <w:tr w:rsidTr="004324D6">
        <w:tblPrEx>
          <w:tblW w:w="0" w:type="auto"/>
          <w:tblLayout w:type="fixed"/>
          <w:tblCellMar>
            <w:left w:w="62" w:type="dxa"/>
            <w:right w:w="62" w:type="dxa"/>
          </w:tblCellMar>
          <w:tblLook w:val="0000"/>
        </w:tblPrEx>
        <w:tc>
          <w:tcPr>
            <w:tcW w:w="4505" w:type="dxa"/>
            <w:tcBorders>
              <w:top w:val="nil"/>
              <w:left w:val="nil"/>
              <w:bottom w:val="nil"/>
              <w:right w:val="nil"/>
            </w:tcBorders>
            <w:tcMar>
              <w:top w:w="0" w:type="dxa"/>
              <w:left w:w="62" w:type="dxa"/>
              <w:bottom w:w="0" w:type="dxa"/>
              <w:right w:w="62" w:type="dxa"/>
            </w:tcMar>
          </w:tcPr>
          <w:p w:rsidR="00000000" w:rsidP="004324D6">
            <w:pPr>
              <w:pStyle w:val="BodyText"/>
              <w:rPr>
                <w:lang w:val="en-NZ"/>
              </w:rPr>
            </w:pPr>
            <w:r w:rsidRPr="004324D6">
              <w:rPr>
                <w:rStyle w:val="SpecialBold"/>
              </w:rPr>
              <w:t>Overview of assessment</w:t>
            </w:r>
          </w:p>
        </w:tc>
        <w:tc>
          <w:tcPr>
            <w:tcW w:w="4135" w:type="dxa"/>
            <w:tcBorders>
              <w:top w:val="nil"/>
              <w:left w:val="nil"/>
              <w:bottom w:val="nil"/>
              <w:right w:val="nil"/>
            </w:tcBorders>
            <w:tcMar>
              <w:top w:w="0" w:type="dxa"/>
              <w:left w:w="62" w:type="dxa"/>
              <w:bottom w:w="0" w:type="dxa"/>
              <w:right w:w="62" w:type="dxa"/>
            </w:tcMar>
          </w:tcPr>
          <w:p w:rsidR="00000000" w:rsidP="004324D6">
            <w:pPr>
              <w:pStyle w:val="BodyText"/>
              <w:rPr>
                <w:lang w:val="en-NZ"/>
              </w:rPr>
            </w:pPr>
            <w:r w:rsidRPr="004324D6">
              <w:t xml:space="preserve">A person who demonstrates competency in this unit must be able to provide evidence that they can maintain and contribute to energy efficient work practices </w:t>
            </w:r>
          </w:p>
        </w:tc>
      </w:tr>
      <w:tr w:rsidTr="004324D6">
        <w:tblPrEx>
          <w:tblW w:w="0" w:type="auto"/>
          <w:tblLayout w:type="fixed"/>
          <w:tblCellMar>
            <w:left w:w="62" w:type="dxa"/>
            <w:right w:w="62" w:type="dxa"/>
          </w:tblCellMar>
          <w:tblLook w:val="0000"/>
        </w:tblPrEx>
        <w:tc>
          <w:tcPr>
            <w:tcW w:w="4505" w:type="dxa"/>
            <w:tcBorders>
              <w:top w:val="nil"/>
              <w:left w:val="nil"/>
              <w:bottom w:val="nil"/>
              <w:right w:val="nil"/>
            </w:tcBorders>
            <w:tcMar>
              <w:top w:w="0" w:type="dxa"/>
              <w:left w:w="62" w:type="dxa"/>
              <w:bottom w:w="0" w:type="dxa"/>
              <w:right w:w="62" w:type="dxa"/>
            </w:tcMar>
          </w:tcPr>
          <w:p w:rsidR="00000000" w:rsidP="004324D6">
            <w:pPr>
              <w:pStyle w:val="BodyText"/>
              <w:rPr>
                <w:lang w:val="en-NZ"/>
              </w:rPr>
            </w:pPr>
            <w:r w:rsidRPr="004324D6">
              <w:rPr>
                <w:rStyle w:val="SpecialBold"/>
              </w:rPr>
              <w:t>Critical aspects for assessment and evidence required to demo</w:t>
            </w:r>
            <w:r w:rsidRPr="004324D6">
              <w:rPr>
                <w:rStyle w:val="SpecialBold"/>
              </w:rPr>
              <w:t>nstrate competency in this unit</w:t>
            </w:r>
          </w:p>
        </w:tc>
        <w:tc>
          <w:tcPr>
            <w:tcW w:w="4135" w:type="dxa"/>
            <w:tcBorders>
              <w:top w:val="nil"/>
              <w:left w:val="nil"/>
              <w:bottom w:val="nil"/>
              <w:right w:val="nil"/>
            </w:tcBorders>
            <w:tcMar>
              <w:top w:w="0" w:type="dxa"/>
              <w:left w:w="62" w:type="dxa"/>
              <w:bottom w:w="0" w:type="dxa"/>
              <w:right w:w="62" w:type="dxa"/>
            </w:tcMar>
          </w:tcPr>
          <w:p w:rsidR="00000000" w:rsidRPr="004324D6" w:rsidP="004324D6">
            <w:pPr>
              <w:pStyle w:val="BodyText"/>
            </w:pPr>
            <w:r w:rsidRPr="004324D6">
              <w:t xml:space="preserve">The evidence required to demonstrate competency in this unit must be relevant to and satisfy all of the requirements of the elements of this unit and include demonstration of: </w:t>
            </w:r>
          </w:p>
          <w:p w:rsidR="00000000" w:rsidRPr="004324D6" w:rsidP="004324D6">
            <w:pPr>
              <w:pStyle w:val="ListBullet"/>
            </w:pPr>
            <w:r w:rsidRPr="004324D6">
              <w:t>following organisational policies and procedur</w:t>
            </w:r>
            <w:r w:rsidRPr="004324D6">
              <w:t xml:space="preserve">es relevant to maintaining and contributing to energy efficiency </w:t>
            </w:r>
          </w:p>
          <w:p w:rsidR="00000000" w:rsidRPr="004324D6" w:rsidP="004324D6">
            <w:pPr>
              <w:pStyle w:val="ListBullet"/>
            </w:pPr>
            <w:r w:rsidRPr="004324D6">
              <w:t>the safe use of relevant equipment to complete work tasks while optimising energy efficiency</w:t>
            </w:r>
          </w:p>
          <w:p w:rsidR="00000000" w:rsidP="004324D6">
            <w:pPr>
              <w:pStyle w:val="ListBullet"/>
              <w:rPr>
                <w:lang w:val="en-NZ"/>
              </w:rPr>
            </w:pPr>
            <w:r w:rsidRPr="004324D6">
              <w:t>participating in processes to improve energy efficiency.</w:t>
            </w:r>
          </w:p>
        </w:tc>
      </w:tr>
      <w:tr w:rsidTr="004324D6">
        <w:tblPrEx>
          <w:tblW w:w="0" w:type="auto"/>
          <w:tblLayout w:type="fixed"/>
          <w:tblCellMar>
            <w:left w:w="62" w:type="dxa"/>
            <w:right w:w="62" w:type="dxa"/>
          </w:tblCellMar>
          <w:tblLook w:val="0000"/>
        </w:tblPrEx>
        <w:tc>
          <w:tcPr>
            <w:tcW w:w="4505" w:type="dxa"/>
            <w:tcBorders>
              <w:top w:val="nil"/>
              <w:left w:val="nil"/>
              <w:bottom w:val="nil"/>
              <w:right w:val="nil"/>
            </w:tcBorders>
            <w:tcMar>
              <w:top w:w="0" w:type="dxa"/>
              <w:left w:w="62" w:type="dxa"/>
              <w:bottom w:w="0" w:type="dxa"/>
              <w:right w:w="62" w:type="dxa"/>
            </w:tcMar>
          </w:tcPr>
          <w:p w:rsidR="00000000" w:rsidP="004324D6">
            <w:pPr>
              <w:pStyle w:val="BodyText"/>
              <w:rPr>
                <w:lang w:val="en-NZ"/>
              </w:rPr>
            </w:pPr>
            <w:r w:rsidRPr="004324D6">
              <w:rPr>
                <w:rStyle w:val="SpecialBold"/>
              </w:rPr>
              <w:t>Context of and specific resources for assessment</w:t>
            </w:r>
          </w:p>
        </w:tc>
        <w:tc>
          <w:tcPr>
            <w:tcW w:w="4135" w:type="dxa"/>
            <w:tcBorders>
              <w:top w:val="nil"/>
              <w:left w:val="nil"/>
              <w:bottom w:val="nil"/>
              <w:right w:val="nil"/>
            </w:tcBorders>
            <w:tcMar>
              <w:top w:w="0" w:type="dxa"/>
              <w:left w:w="62" w:type="dxa"/>
              <w:bottom w:w="0" w:type="dxa"/>
              <w:right w:w="62" w:type="dxa"/>
            </w:tcMar>
          </w:tcPr>
          <w:p w:rsidR="00000000" w:rsidRPr="004324D6" w:rsidP="004324D6">
            <w:pPr>
              <w:pStyle w:val="ListBullet"/>
            </w:pPr>
            <w:r w:rsidRPr="004324D6">
              <w:t>Competency is to be assessed in the workplace or realistically simulated workplace</w:t>
            </w:r>
          </w:p>
          <w:p w:rsidR="00000000" w:rsidRPr="004324D6" w:rsidP="004324D6">
            <w:pPr>
              <w:pStyle w:val="ListBullet"/>
            </w:pPr>
            <w:r w:rsidRPr="004324D6">
              <w:t>Assessment is to occur under standard and authorised work practices, safety requirements and environmental constraints</w:t>
            </w:r>
          </w:p>
          <w:p w:rsidR="00000000" w:rsidRPr="004324D6" w:rsidP="004324D6">
            <w:pPr>
              <w:pStyle w:val="ListBullet"/>
            </w:pPr>
            <w:r w:rsidRPr="004324D6">
              <w:t>Asse</w:t>
            </w:r>
            <w:r w:rsidRPr="004324D6">
              <w:t>ssment of required knowledge, other than confirmatory questions, will usually be conducted in an off-site context</w:t>
            </w:r>
          </w:p>
          <w:p w:rsidR="00000000" w:rsidRPr="004324D6" w:rsidP="004324D6">
            <w:pPr>
              <w:pStyle w:val="ListBullet"/>
            </w:pPr>
            <w:r w:rsidRPr="004324D6">
              <w:t>Assessment is to follow relevant regulatory or Australian Standards requirements</w:t>
            </w:r>
          </w:p>
          <w:p w:rsidR="00000000" w:rsidRPr="004324D6" w:rsidP="004324D6">
            <w:pPr>
              <w:pStyle w:val="ListBullet"/>
            </w:pPr>
            <w:r w:rsidRPr="004324D6">
              <w:t>The following resources should be made available:</w:t>
            </w:r>
          </w:p>
          <w:p w:rsidR="00000000" w:rsidRPr="004324D6" w:rsidP="004324D6">
            <w:pPr>
              <w:pStyle w:val="ListBullet2"/>
            </w:pPr>
            <w:r w:rsidRPr="004324D6">
              <w:t xml:space="preserve">workplace </w:t>
            </w:r>
            <w:r w:rsidRPr="004324D6">
              <w:t>location or simulated workplace</w:t>
            </w:r>
          </w:p>
          <w:p w:rsidR="00000000" w:rsidRPr="004324D6" w:rsidP="004324D6">
            <w:pPr>
              <w:pStyle w:val="ListBullet2"/>
            </w:pPr>
            <w:r w:rsidRPr="004324D6">
              <w:t>materials and equipment relevant to undertaking work applicable to this unit</w:t>
            </w:r>
          </w:p>
          <w:p w:rsidR="00000000" w:rsidP="004324D6">
            <w:pPr>
              <w:pStyle w:val="ListBullet2"/>
              <w:rPr>
                <w:lang w:val="en-NZ"/>
              </w:rPr>
            </w:pPr>
            <w:r w:rsidRPr="004324D6">
              <w:t>organisational policies and procedures that contribute to energy efficient work practices</w:t>
            </w:r>
          </w:p>
        </w:tc>
      </w:tr>
      <w:tr w:rsidTr="004324D6">
        <w:tblPrEx>
          <w:tblW w:w="0" w:type="auto"/>
          <w:tblLayout w:type="fixed"/>
          <w:tblCellMar>
            <w:left w:w="62" w:type="dxa"/>
            <w:right w:w="62" w:type="dxa"/>
          </w:tblCellMar>
          <w:tblLook w:val="0000"/>
        </w:tblPrEx>
        <w:tc>
          <w:tcPr>
            <w:tcW w:w="4505" w:type="dxa"/>
            <w:tcBorders>
              <w:top w:val="nil"/>
              <w:left w:val="nil"/>
              <w:bottom w:val="nil"/>
              <w:right w:val="nil"/>
            </w:tcBorders>
            <w:tcMar>
              <w:top w:w="0" w:type="dxa"/>
              <w:left w:w="62" w:type="dxa"/>
              <w:bottom w:w="0" w:type="dxa"/>
              <w:right w:w="62" w:type="dxa"/>
            </w:tcMar>
          </w:tcPr>
          <w:p w:rsidR="00000000" w:rsidP="004324D6">
            <w:pPr>
              <w:pStyle w:val="BodyText"/>
              <w:rPr>
                <w:lang w:val="en-NZ"/>
              </w:rPr>
            </w:pPr>
            <w:r w:rsidRPr="004324D6">
              <w:rPr>
                <w:rStyle w:val="SpecialBold"/>
              </w:rPr>
              <w:t>Method of assessment</w:t>
            </w:r>
          </w:p>
        </w:tc>
        <w:tc>
          <w:tcPr>
            <w:tcW w:w="4135" w:type="dxa"/>
            <w:tcBorders>
              <w:top w:val="nil"/>
              <w:left w:val="nil"/>
              <w:bottom w:val="nil"/>
              <w:right w:val="nil"/>
            </w:tcBorders>
            <w:tcMar>
              <w:top w:w="0" w:type="dxa"/>
              <w:left w:w="62" w:type="dxa"/>
              <w:bottom w:w="0" w:type="dxa"/>
              <w:right w:w="62" w:type="dxa"/>
            </w:tcMar>
          </w:tcPr>
          <w:p w:rsidR="00000000" w:rsidRPr="004324D6" w:rsidP="004324D6">
            <w:pPr>
              <w:pStyle w:val="ListBullet"/>
            </w:pPr>
            <w:r w:rsidRPr="004324D6">
              <w:t>Assessment must satisfy the endorsed Assessment Guidelines of the FPI11 Training Package</w:t>
            </w:r>
          </w:p>
          <w:p w:rsidR="00000000" w:rsidRPr="004324D6" w:rsidP="004324D6">
            <w:pPr>
              <w:pStyle w:val="ListBullet"/>
            </w:pPr>
            <w:r w:rsidRPr="004324D6">
              <w:t>Assessment methods must confirm consistency and accuracy of performance (over time and in a range of workplace relevant contexts) together with application of required</w:t>
            </w:r>
            <w:r w:rsidRPr="004324D6">
              <w:t xml:space="preserve"> knowledge</w:t>
            </w:r>
          </w:p>
          <w:p w:rsidR="00000000" w:rsidRPr="004324D6" w:rsidP="004324D6">
            <w:pPr>
              <w:pStyle w:val="ListBullet"/>
            </w:pPr>
            <w:r w:rsidRPr="004324D6">
              <w:t>Assessment must be by direct observation of tasks, with questioning on required knowledge and it must also reinforce the integration of employability skills</w:t>
            </w:r>
          </w:p>
          <w:p w:rsidR="00000000" w:rsidRPr="004324D6" w:rsidP="004324D6">
            <w:pPr>
              <w:pStyle w:val="ListBullet"/>
            </w:pPr>
            <w:r w:rsidRPr="004324D6">
              <w:t>Assessment methods must confirm the ability to access and correctly interpret and apply the required knowledge</w:t>
            </w:r>
          </w:p>
          <w:p w:rsidR="00000000" w:rsidRPr="004324D6" w:rsidP="004324D6">
            <w:pPr>
              <w:pStyle w:val="ListBullet"/>
            </w:pPr>
            <w:r w:rsidRPr="004324D6">
              <w:t>Assessment may be applied under project-related conditions (real or simulated) and require evidence of process</w:t>
            </w:r>
          </w:p>
          <w:p w:rsidR="00000000" w:rsidRPr="004324D6" w:rsidP="004324D6">
            <w:pPr>
              <w:pStyle w:val="ListBullet"/>
            </w:pPr>
            <w:r w:rsidRPr="004324D6">
              <w:t>Assessment must confirm a reasonab</w:t>
            </w:r>
            <w:r w:rsidRPr="004324D6">
              <w:t>le inference that competency is able not only to be satisfied under the particular circumstance, but is able to be transferred to other circumstances</w:t>
            </w:r>
          </w:p>
          <w:p w:rsidR="00000000" w:rsidRPr="004324D6" w:rsidP="004324D6">
            <w:pPr>
              <w:pStyle w:val="ListBullet"/>
            </w:pPr>
            <w:r w:rsidRPr="004324D6">
              <w:t>Assessment may be in conjunction with assessment of other units of competency</w:t>
            </w:r>
          </w:p>
          <w:p w:rsidR="00000000" w:rsidRPr="004324D6" w:rsidP="004324D6">
            <w:pPr>
              <w:pStyle w:val="ListBullet"/>
            </w:pPr>
            <w:r w:rsidRPr="004324D6">
              <w:t>The assessment environment s</w:t>
            </w:r>
            <w:r w:rsidRPr="004324D6">
              <w:t>hould not disadvantage the candidate</w:t>
            </w:r>
          </w:p>
          <w:p w:rsidR="00000000" w:rsidRPr="004324D6" w:rsidP="004324D6">
            <w:pPr>
              <w:pStyle w:val="ListBullet"/>
            </w:pPr>
            <w:r w:rsidRPr="004324D6">
              <w:t>Assessment practices should take into account any relevant language or cultural issues related to Aboriginality, gender or language backgrounds other than English</w:t>
            </w:r>
          </w:p>
          <w:p w:rsidR="00000000" w:rsidRPr="004324D6" w:rsidP="004324D6">
            <w:pPr>
              <w:pStyle w:val="ListBullet"/>
            </w:pPr>
            <w:r w:rsidRPr="004324D6">
              <w:t>Where the participant has a disability, reasonable adjus</w:t>
            </w:r>
            <w:r w:rsidRPr="004324D6">
              <w:t>tment may be applied during assessment</w:t>
            </w:r>
          </w:p>
          <w:p w:rsidR="00000000" w:rsidRPr="004324D6" w:rsidP="004324D6">
            <w:pPr>
              <w:pStyle w:val="ListBullet"/>
            </w:pPr>
            <w:r w:rsidRPr="004324D6">
              <w:t>Language and literacy demands of the assessment task should not be higher than those of the work role</w:t>
            </w:r>
          </w:p>
        </w:tc>
      </w:tr>
    </w:tbl>
    <w:p w:rsidR="00000000" w:rsidRPr="004324D6" w:rsidP="004324D6">
      <w:pPr>
        <w:pStyle w:val="BodyText"/>
      </w:pPr>
    </w:p>
    <w:p w:rsidR="00000000" w:rsidRPr="004324D6" w:rsidP="004324D6">
      <w:pPr>
        <w:pStyle w:val="AllowPageBreak"/>
      </w:pPr>
    </w:p>
    <w:p w:rsidR="00000000" w:rsidRPr="004324D6" w:rsidP="004324D6">
      <w:pPr>
        <w:pStyle w:val="Heading1"/>
      </w:pPr>
      <w:bookmarkStart w:id="11" w:name="O_583926"/>
      <w:bookmarkEnd w:id="11"/>
      <w:r w:rsidRPr="004324D6">
        <w:t>Range Statement</w:t>
      </w:r>
    </w:p>
    <w:tbl>
      <w:tblPr>
        <w:tblW w:w="9275" w:type="dxa"/>
        <w:tblLayout w:type="fixed"/>
        <w:tblCellMar>
          <w:left w:w="62" w:type="dxa"/>
          <w:right w:w="62" w:type="dxa"/>
        </w:tblCellMar>
        <w:tblLook w:val="0000"/>
      </w:tblPr>
      <w:tblGrid>
        <w:gridCol w:w="3188"/>
        <w:gridCol w:w="6087"/>
      </w:tblGrid>
      <w:tr w:rsidTr="004324D6">
        <w:tblPrEx>
          <w:tblW w:w="9275" w:type="dxa"/>
          <w:tblLayout w:type="fixed"/>
          <w:tblCellMar>
            <w:left w:w="62" w:type="dxa"/>
            <w:right w:w="62" w:type="dxa"/>
          </w:tblCellMar>
          <w:tblLook w:val="0000"/>
        </w:tblPrEx>
        <w:trPr>
          <w:tblHeader/>
        </w:trPr>
        <w:tc>
          <w:tcPr>
            <w:tcW w:w="9275" w:type="dxa"/>
            <w:gridSpan w:val="2"/>
            <w:tcBorders>
              <w:top w:val="nil"/>
              <w:left w:val="nil"/>
              <w:bottom w:val="nil"/>
              <w:right w:val="nil"/>
            </w:tcBorders>
            <w:tcMar>
              <w:top w:w="0" w:type="dxa"/>
              <w:left w:w="62" w:type="dxa"/>
              <w:bottom w:w="0" w:type="dxa"/>
              <w:right w:w="62" w:type="dxa"/>
            </w:tcMar>
          </w:tcPr>
          <w:p w:rsidR="00000000" w:rsidP="004324D6">
            <w:pPr>
              <w:pStyle w:val="BodyText"/>
              <w:rPr>
                <w:lang w:val="en-NZ"/>
              </w:rPr>
            </w:pPr>
            <w:r w:rsidRPr="004324D6">
              <w:rPr>
                <w:rStyle w:val="SpecialBold"/>
              </w:rPr>
              <w:t>RANGE STATEMENT</w:t>
            </w:r>
          </w:p>
        </w:tc>
      </w:tr>
      <w:tr w:rsidTr="004324D6">
        <w:tblPrEx>
          <w:tblW w:w="9275" w:type="dxa"/>
          <w:tblLayout w:type="fixed"/>
          <w:tblCellMar>
            <w:left w:w="62" w:type="dxa"/>
            <w:right w:w="62" w:type="dxa"/>
          </w:tblCellMar>
          <w:tblLook w:val="0000"/>
        </w:tblPrEx>
        <w:tc>
          <w:tcPr>
            <w:tcW w:w="9275" w:type="dxa"/>
            <w:gridSpan w:val="2"/>
            <w:tcBorders>
              <w:top w:val="nil"/>
              <w:left w:val="nil"/>
              <w:bottom w:val="nil"/>
              <w:right w:val="nil"/>
            </w:tcBorders>
            <w:tcMar>
              <w:top w:w="0" w:type="dxa"/>
              <w:left w:w="62" w:type="dxa"/>
              <w:bottom w:w="0" w:type="dxa"/>
              <w:right w:w="62" w:type="dxa"/>
            </w:tcMar>
          </w:tcPr>
          <w:p w:rsidR="00000000" w:rsidP="004324D6">
            <w:pPr>
              <w:pStyle w:val="BodyText"/>
              <w:rPr>
                <w:lang w:val="en-NZ"/>
              </w:rPr>
            </w:pPr>
            <w:r w:rsidRPr="004324D6">
              <w:t>The range statement relates to the unit of competency as a whole. It allows for different work environments and situations that may affect performance. Bold italicised wording, if used in the performance criteria, is detailed below. Essential operating con</w:t>
            </w:r>
            <w:r w:rsidRPr="004324D6">
              <w:t>ditions that may be present with training and assessment (depending on the work situation, needs of the candidate, accessibility of the item, and local industry and regional contexts) may also be included.</w:t>
            </w:r>
          </w:p>
        </w:tc>
      </w:tr>
      <w:tr w:rsidTr="004324D6">
        <w:tblPrEx>
          <w:tblW w:w="9275" w:type="dxa"/>
          <w:tblLayout w:type="fixed"/>
          <w:tblCellMar>
            <w:left w:w="62" w:type="dxa"/>
            <w:right w:w="62" w:type="dxa"/>
          </w:tblCellMar>
          <w:tblLook w:val="0000"/>
        </w:tblPrEx>
        <w:tc>
          <w:tcPr>
            <w:tcW w:w="3188" w:type="dxa"/>
            <w:tcBorders>
              <w:top w:val="nil"/>
              <w:left w:val="nil"/>
              <w:bottom w:val="nil"/>
              <w:right w:val="nil"/>
            </w:tcBorders>
            <w:tcMar>
              <w:top w:w="0" w:type="dxa"/>
              <w:left w:w="62" w:type="dxa"/>
              <w:bottom w:w="0" w:type="dxa"/>
              <w:right w:w="62" w:type="dxa"/>
            </w:tcMar>
          </w:tcPr>
          <w:p w:rsidR="00000000" w:rsidP="004324D6">
            <w:pPr>
              <w:pStyle w:val="BodyText"/>
              <w:rPr>
                <w:lang w:val="en-NZ"/>
              </w:rPr>
            </w:pPr>
            <w:r w:rsidRPr="004324D6">
              <w:rPr>
                <w:rStyle w:val="SpecialBold"/>
              </w:rPr>
              <w:t>WHS/OHS policies and procedures</w:t>
            </w:r>
            <w:r w:rsidRPr="004324D6">
              <w:t>:</w:t>
            </w:r>
          </w:p>
        </w:tc>
        <w:tc>
          <w:tcPr>
            <w:tcW w:w="6087" w:type="dxa"/>
            <w:tcBorders>
              <w:top w:val="nil"/>
              <w:left w:val="nil"/>
              <w:bottom w:val="nil"/>
              <w:right w:val="nil"/>
            </w:tcBorders>
            <w:tcMar>
              <w:top w:w="0" w:type="dxa"/>
              <w:left w:w="62" w:type="dxa"/>
              <w:bottom w:w="0" w:type="dxa"/>
              <w:right w:w="62" w:type="dxa"/>
            </w:tcMar>
          </w:tcPr>
          <w:p w:rsidR="00000000" w:rsidRPr="004324D6" w:rsidP="004324D6">
            <w:pPr>
              <w:pStyle w:val="ListBullet"/>
            </w:pPr>
            <w:r w:rsidRPr="004324D6">
              <w:t>are to be in l</w:t>
            </w:r>
            <w:r w:rsidRPr="004324D6">
              <w:t>ine with applicable commonwealth, state or territory legislation and regulations, and organisational safety policies and procedures, and may include:</w:t>
            </w:r>
          </w:p>
          <w:p w:rsidR="00000000" w:rsidRPr="004324D6" w:rsidP="004324D6">
            <w:pPr>
              <w:pStyle w:val="ListBullet2"/>
            </w:pPr>
            <w:r w:rsidRPr="004324D6">
              <w:t>personal protective equipment and clothing</w:t>
            </w:r>
          </w:p>
          <w:p w:rsidR="00000000" w:rsidRPr="004324D6" w:rsidP="004324D6">
            <w:pPr>
              <w:pStyle w:val="ListBullet2"/>
            </w:pPr>
            <w:r w:rsidRPr="004324D6">
              <w:t>safety equipment</w:t>
            </w:r>
          </w:p>
          <w:p w:rsidR="00000000" w:rsidRPr="004324D6" w:rsidP="004324D6">
            <w:pPr>
              <w:pStyle w:val="ListBullet2"/>
            </w:pPr>
            <w:r w:rsidRPr="004324D6">
              <w:t>first-aid equipment</w:t>
            </w:r>
          </w:p>
          <w:p w:rsidR="00000000" w:rsidRPr="004324D6" w:rsidP="004324D6">
            <w:pPr>
              <w:pStyle w:val="ListBullet2"/>
            </w:pPr>
            <w:r w:rsidRPr="004324D6">
              <w:t>hazard and risk control</w:t>
            </w:r>
          </w:p>
          <w:p w:rsidR="00000000" w:rsidRPr="004324D6" w:rsidP="004324D6">
            <w:pPr>
              <w:pStyle w:val="ListBullet2"/>
            </w:pPr>
            <w:r w:rsidRPr="004324D6">
              <w:t>fatigue management</w:t>
            </w:r>
          </w:p>
          <w:p w:rsidR="00000000" w:rsidRPr="004324D6" w:rsidP="004324D6">
            <w:pPr>
              <w:pStyle w:val="ListBullet2"/>
            </w:pPr>
            <w:r w:rsidRPr="004324D6">
              <w:t>elimination of hazardous materials and substances</w:t>
            </w:r>
          </w:p>
          <w:p w:rsidR="00000000" w:rsidRPr="004324D6" w:rsidP="004324D6">
            <w:pPr>
              <w:pStyle w:val="ListBullet2"/>
            </w:pPr>
            <w:r w:rsidRPr="004324D6">
              <w:t>safe forest practices, including required actions relating to forest fire</w:t>
            </w:r>
          </w:p>
          <w:p w:rsidR="00000000" w:rsidP="004324D6">
            <w:pPr>
              <w:pStyle w:val="ListBullet2"/>
              <w:rPr>
                <w:lang w:val="en-NZ"/>
              </w:rPr>
            </w:pPr>
            <w:r w:rsidRPr="004324D6">
              <w:t>machine guarding</w:t>
            </w:r>
          </w:p>
        </w:tc>
      </w:tr>
      <w:tr w:rsidTr="004324D6">
        <w:tblPrEx>
          <w:tblW w:w="9275" w:type="dxa"/>
          <w:tblLayout w:type="fixed"/>
          <w:tblCellMar>
            <w:left w:w="62" w:type="dxa"/>
            <w:right w:w="62" w:type="dxa"/>
          </w:tblCellMar>
          <w:tblLook w:val="0000"/>
        </w:tblPrEx>
        <w:tc>
          <w:tcPr>
            <w:tcW w:w="3188" w:type="dxa"/>
            <w:tcBorders>
              <w:top w:val="nil"/>
              <w:left w:val="nil"/>
              <w:bottom w:val="nil"/>
              <w:right w:val="nil"/>
            </w:tcBorders>
            <w:tcMar>
              <w:top w:w="0" w:type="dxa"/>
              <w:left w:w="62" w:type="dxa"/>
              <w:bottom w:w="0" w:type="dxa"/>
              <w:right w:w="62" w:type="dxa"/>
            </w:tcMar>
          </w:tcPr>
          <w:p w:rsidR="00000000" w:rsidP="004324D6">
            <w:pPr>
              <w:pStyle w:val="BodyText"/>
              <w:rPr>
                <w:lang w:val="en-NZ"/>
              </w:rPr>
            </w:pPr>
            <w:r w:rsidRPr="004324D6">
              <w:rPr>
                <w:rStyle w:val="SpecialBold"/>
              </w:rPr>
              <w:t xml:space="preserve">Environmental policies and procedures </w:t>
            </w:r>
            <w:r w:rsidRPr="004324D6">
              <w:t>must include:</w:t>
            </w:r>
          </w:p>
        </w:tc>
        <w:tc>
          <w:tcPr>
            <w:tcW w:w="6087" w:type="dxa"/>
            <w:tcBorders>
              <w:top w:val="nil"/>
              <w:left w:val="nil"/>
              <w:bottom w:val="nil"/>
              <w:right w:val="nil"/>
            </w:tcBorders>
            <w:tcMar>
              <w:top w:w="0" w:type="dxa"/>
              <w:left w:w="62" w:type="dxa"/>
              <w:bottom w:w="0" w:type="dxa"/>
              <w:right w:w="62" w:type="dxa"/>
            </w:tcMar>
          </w:tcPr>
          <w:p w:rsidR="00000000" w:rsidRPr="004324D6" w:rsidP="004324D6">
            <w:pPr>
              <w:pStyle w:val="ListBullet"/>
            </w:pPr>
            <w:r w:rsidRPr="004324D6">
              <w:t>workplace practices</w:t>
            </w:r>
          </w:p>
          <w:p w:rsidR="00000000" w:rsidP="004324D6">
            <w:pPr>
              <w:pStyle w:val="ListBullet"/>
              <w:rPr>
                <w:lang w:val="en-NZ"/>
              </w:rPr>
            </w:pPr>
            <w:r w:rsidRPr="004324D6">
              <w:t>environmenta</w:t>
            </w:r>
            <w:r w:rsidRPr="004324D6">
              <w:t>l management requirements (waste minimisation and disposal, recycling and re-use guidelines)</w:t>
            </w:r>
          </w:p>
        </w:tc>
      </w:tr>
      <w:tr w:rsidTr="004324D6">
        <w:tblPrEx>
          <w:tblW w:w="9275" w:type="dxa"/>
          <w:tblLayout w:type="fixed"/>
          <w:tblCellMar>
            <w:left w:w="62" w:type="dxa"/>
            <w:right w:w="62" w:type="dxa"/>
          </w:tblCellMar>
          <w:tblLook w:val="0000"/>
        </w:tblPrEx>
        <w:tc>
          <w:tcPr>
            <w:tcW w:w="3188" w:type="dxa"/>
            <w:tcBorders>
              <w:top w:val="nil"/>
              <w:left w:val="nil"/>
              <w:bottom w:val="nil"/>
              <w:right w:val="nil"/>
            </w:tcBorders>
            <w:tcMar>
              <w:top w:w="0" w:type="dxa"/>
              <w:left w:w="62" w:type="dxa"/>
              <w:bottom w:w="0" w:type="dxa"/>
              <w:right w:w="62" w:type="dxa"/>
            </w:tcMar>
          </w:tcPr>
          <w:p w:rsidR="00000000" w:rsidP="004324D6">
            <w:pPr>
              <w:pStyle w:val="BodyText"/>
              <w:rPr>
                <w:lang w:val="en-NZ"/>
              </w:rPr>
            </w:pPr>
            <w:r w:rsidRPr="004324D6">
              <w:rPr>
                <w:rStyle w:val="SpecialBold"/>
              </w:rPr>
              <w:t>Organisational policies and procedures</w:t>
            </w:r>
            <w:r w:rsidRPr="004324D6">
              <w:t>:</w:t>
            </w:r>
          </w:p>
        </w:tc>
        <w:tc>
          <w:tcPr>
            <w:tcW w:w="6087" w:type="dxa"/>
            <w:tcBorders>
              <w:top w:val="nil"/>
              <w:left w:val="nil"/>
              <w:bottom w:val="nil"/>
              <w:right w:val="nil"/>
            </w:tcBorders>
            <w:tcMar>
              <w:top w:w="0" w:type="dxa"/>
              <w:left w:w="62" w:type="dxa"/>
              <w:bottom w:w="0" w:type="dxa"/>
              <w:right w:w="62" w:type="dxa"/>
            </w:tcMar>
          </w:tcPr>
          <w:p w:rsidR="00000000" w:rsidRPr="004324D6" w:rsidP="004324D6">
            <w:pPr>
              <w:pStyle w:val="ListBullet"/>
            </w:pPr>
            <w:r w:rsidRPr="004324D6">
              <w:t>are to be in line with applicable commonwealth, state or territory legislation, regulations, certification requirements a</w:t>
            </w:r>
            <w:r w:rsidRPr="004324D6">
              <w:t>nd codes of practice and may include:</w:t>
            </w:r>
          </w:p>
          <w:p w:rsidR="00000000" w:rsidRPr="004324D6" w:rsidP="004324D6">
            <w:pPr>
              <w:pStyle w:val="ListBullet2"/>
            </w:pPr>
            <w:r w:rsidRPr="004324D6">
              <w:t>Australian standards</w:t>
            </w:r>
          </w:p>
          <w:p w:rsidR="00000000" w:rsidRPr="004324D6" w:rsidP="004324D6">
            <w:pPr>
              <w:pStyle w:val="ListBullet2"/>
            </w:pPr>
            <w:r w:rsidRPr="004324D6">
              <w:t>processes and standards</w:t>
            </w:r>
          </w:p>
          <w:p w:rsidR="00000000" w:rsidRPr="004324D6" w:rsidP="004324D6">
            <w:pPr>
              <w:pStyle w:val="ListBullet2"/>
            </w:pPr>
            <w:r w:rsidRPr="004324D6">
              <w:t>WHS/OHS, emergency and evacuation procedures</w:t>
            </w:r>
          </w:p>
          <w:p w:rsidR="00000000" w:rsidRPr="004324D6" w:rsidP="004324D6">
            <w:pPr>
              <w:pStyle w:val="ListBullet2"/>
            </w:pPr>
            <w:r w:rsidRPr="004324D6">
              <w:t>relevant industry codes of practice</w:t>
            </w:r>
          </w:p>
          <w:p w:rsidR="00000000" w:rsidRPr="004324D6" w:rsidP="004324D6">
            <w:pPr>
              <w:pStyle w:val="ListBullet2"/>
            </w:pPr>
            <w:r w:rsidRPr="004324D6">
              <w:t>duty of care</w:t>
            </w:r>
          </w:p>
          <w:p w:rsidR="00000000" w:rsidRPr="004324D6" w:rsidP="004324D6">
            <w:pPr>
              <w:pStyle w:val="ListBullet2"/>
            </w:pPr>
            <w:r w:rsidRPr="004324D6">
              <w:t>heritage and traditional land owner issues</w:t>
            </w:r>
          </w:p>
          <w:p w:rsidR="00000000" w:rsidRPr="004324D6" w:rsidP="004324D6">
            <w:pPr>
              <w:pStyle w:val="ListBullet2"/>
            </w:pPr>
            <w:r w:rsidRPr="004324D6">
              <w:t>or</w:t>
            </w:r>
            <w:r w:rsidRPr="004324D6">
              <w:t>ganisational and site guidelines regarding energy efficiency</w:t>
            </w:r>
          </w:p>
          <w:p w:rsidR="00000000" w:rsidRPr="004324D6" w:rsidP="004324D6">
            <w:pPr>
              <w:pStyle w:val="ListBullet2"/>
            </w:pPr>
            <w:r w:rsidRPr="004324D6">
              <w:t>policies and procedures relating to own role and responsibility</w:t>
            </w:r>
          </w:p>
          <w:p w:rsidR="00000000" w:rsidRPr="004324D6" w:rsidP="004324D6">
            <w:pPr>
              <w:pStyle w:val="ListBullet2"/>
            </w:pPr>
            <w:r w:rsidRPr="004324D6">
              <w:t xml:space="preserve">quality and continuous improvement </w:t>
            </w:r>
          </w:p>
          <w:p w:rsidR="00000000" w:rsidRPr="004324D6" w:rsidP="004324D6">
            <w:pPr>
              <w:pStyle w:val="ListBullet2"/>
            </w:pPr>
            <w:r w:rsidRPr="004324D6">
              <w:t>recording and reporting requirements</w:t>
            </w:r>
          </w:p>
          <w:p w:rsidR="00000000" w:rsidP="004324D6">
            <w:pPr>
              <w:pStyle w:val="ListBullet2"/>
              <w:rPr>
                <w:lang w:val="en-NZ"/>
              </w:rPr>
            </w:pPr>
            <w:r w:rsidRPr="004324D6">
              <w:t>equipment use, maintenance and storage requirements</w:t>
            </w:r>
          </w:p>
        </w:tc>
      </w:tr>
      <w:tr w:rsidTr="004324D6">
        <w:tblPrEx>
          <w:tblW w:w="9275" w:type="dxa"/>
          <w:tblLayout w:type="fixed"/>
          <w:tblCellMar>
            <w:left w:w="62" w:type="dxa"/>
            <w:right w:w="62" w:type="dxa"/>
          </w:tblCellMar>
          <w:tblLook w:val="0000"/>
        </w:tblPrEx>
        <w:tc>
          <w:tcPr>
            <w:tcW w:w="3188" w:type="dxa"/>
            <w:tcBorders>
              <w:top w:val="nil"/>
              <w:left w:val="nil"/>
              <w:bottom w:val="nil"/>
              <w:right w:val="nil"/>
            </w:tcBorders>
            <w:tcMar>
              <w:top w:w="0" w:type="dxa"/>
              <w:left w:w="62" w:type="dxa"/>
              <w:bottom w:w="0" w:type="dxa"/>
              <w:right w:w="62" w:type="dxa"/>
            </w:tcMar>
          </w:tcPr>
          <w:p w:rsidR="00000000" w:rsidP="004324D6">
            <w:pPr>
              <w:pStyle w:val="BodyText"/>
              <w:rPr>
                <w:lang w:val="en-NZ"/>
              </w:rPr>
            </w:pPr>
            <w:r w:rsidRPr="004324D6">
              <w:rPr>
                <w:rStyle w:val="SpecialBold"/>
              </w:rPr>
              <w:t>Equip</w:t>
            </w:r>
            <w:r w:rsidRPr="004324D6">
              <w:rPr>
                <w:rStyle w:val="SpecialBold"/>
              </w:rPr>
              <w:t>ment</w:t>
            </w:r>
            <w:r w:rsidRPr="004324D6">
              <w:t>:</w:t>
            </w:r>
          </w:p>
        </w:tc>
        <w:tc>
          <w:tcPr>
            <w:tcW w:w="6087" w:type="dxa"/>
            <w:tcBorders>
              <w:top w:val="nil"/>
              <w:left w:val="nil"/>
              <w:bottom w:val="nil"/>
              <w:right w:val="nil"/>
            </w:tcBorders>
            <w:tcMar>
              <w:top w:w="0" w:type="dxa"/>
              <w:left w:w="62" w:type="dxa"/>
              <w:bottom w:w="0" w:type="dxa"/>
              <w:right w:w="62" w:type="dxa"/>
            </w:tcMar>
          </w:tcPr>
          <w:p w:rsidR="00000000" w:rsidRPr="004324D6" w:rsidP="004324D6">
            <w:pPr>
              <w:pStyle w:val="ListBullet"/>
            </w:pPr>
            <w:r w:rsidRPr="004324D6">
              <w:t>is to include:</w:t>
            </w:r>
          </w:p>
          <w:p w:rsidR="00000000" w:rsidRPr="004324D6" w:rsidP="004324D6">
            <w:pPr>
              <w:pStyle w:val="ListBullet2"/>
            </w:pPr>
            <w:r w:rsidRPr="004324D6">
              <w:t>equipment necessary to complete work tasks</w:t>
            </w:r>
          </w:p>
          <w:p w:rsidR="00000000" w:rsidRPr="004324D6" w:rsidP="004324D6">
            <w:pPr>
              <w:pStyle w:val="ListBullet"/>
            </w:pPr>
            <w:r w:rsidRPr="004324D6">
              <w:t>and may include:</w:t>
            </w:r>
          </w:p>
          <w:p w:rsidR="00000000" w:rsidRPr="004324D6" w:rsidP="004324D6">
            <w:pPr>
              <w:pStyle w:val="ListBullet2"/>
            </w:pPr>
            <w:r w:rsidRPr="004324D6">
              <w:t>telephones or communications equipment</w:t>
            </w:r>
          </w:p>
          <w:p w:rsidR="00000000" w:rsidRPr="004324D6" w:rsidP="004324D6">
            <w:pPr>
              <w:pStyle w:val="ListBullet2"/>
            </w:pPr>
            <w:r w:rsidRPr="004324D6">
              <w:t>tools</w:t>
            </w:r>
          </w:p>
          <w:p w:rsidR="00000000" w:rsidRPr="004324D6" w:rsidP="004324D6">
            <w:pPr>
              <w:pStyle w:val="ListBullet2"/>
            </w:pPr>
            <w:r w:rsidRPr="004324D6">
              <w:t>machinery</w:t>
            </w:r>
          </w:p>
          <w:p w:rsidR="00000000" w:rsidRPr="004324D6" w:rsidP="004324D6">
            <w:pPr>
              <w:pStyle w:val="ListBullet2"/>
            </w:pPr>
            <w:r w:rsidRPr="004324D6">
              <w:t>vehicles</w:t>
            </w:r>
          </w:p>
          <w:p w:rsidR="00000000" w:rsidRPr="004324D6" w:rsidP="004324D6">
            <w:pPr>
              <w:pStyle w:val="ListBullet2"/>
            </w:pPr>
            <w:r w:rsidRPr="004324D6">
              <w:t>instruments</w:t>
            </w:r>
          </w:p>
          <w:p w:rsidR="00000000" w:rsidRPr="004324D6" w:rsidP="004324D6">
            <w:pPr>
              <w:pStyle w:val="ListBullet2"/>
            </w:pPr>
            <w:r w:rsidRPr="004324D6">
              <w:t>computers and printers</w:t>
            </w:r>
          </w:p>
          <w:p w:rsidR="00000000" w:rsidRPr="004324D6" w:rsidP="004324D6">
            <w:pPr>
              <w:pStyle w:val="ListBullet2"/>
            </w:pPr>
            <w:r w:rsidRPr="004324D6">
              <w:t>facsimile machines and photocopiers</w:t>
            </w:r>
          </w:p>
          <w:p w:rsidR="00000000" w:rsidP="004324D6">
            <w:pPr>
              <w:pStyle w:val="ListBullet2"/>
              <w:rPr>
                <w:lang w:val="en-NZ"/>
              </w:rPr>
            </w:pPr>
            <w:r w:rsidRPr="004324D6">
              <w:t>lighting and air conditioning</w:t>
            </w:r>
          </w:p>
        </w:tc>
      </w:tr>
      <w:tr w:rsidTr="004324D6">
        <w:tblPrEx>
          <w:tblW w:w="9275" w:type="dxa"/>
          <w:tblLayout w:type="fixed"/>
          <w:tblCellMar>
            <w:left w:w="62" w:type="dxa"/>
            <w:right w:w="62" w:type="dxa"/>
          </w:tblCellMar>
          <w:tblLook w:val="0000"/>
        </w:tblPrEx>
        <w:tc>
          <w:tcPr>
            <w:tcW w:w="3188" w:type="dxa"/>
            <w:tcBorders>
              <w:top w:val="nil"/>
              <w:left w:val="nil"/>
              <w:bottom w:val="nil"/>
              <w:right w:val="nil"/>
            </w:tcBorders>
            <w:tcMar>
              <w:top w:w="0" w:type="dxa"/>
              <w:left w:w="62" w:type="dxa"/>
              <w:bottom w:w="0" w:type="dxa"/>
              <w:right w:w="62" w:type="dxa"/>
            </w:tcMar>
          </w:tcPr>
          <w:p w:rsidR="00000000" w:rsidP="004324D6">
            <w:pPr>
              <w:pStyle w:val="BodyText"/>
              <w:rPr>
                <w:lang w:val="en-NZ"/>
              </w:rPr>
            </w:pPr>
            <w:r w:rsidRPr="004324D6">
              <w:rPr>
                <w:rStyle w:val="SpecialBold"/>
              </w:rPr>
              <w:t>Energy efficiency</w:t>
            </w:r>
            <w:r w:rsidRPr="004324D6">
              <w:t xml:space="preserve"> may include:</w:t>
            </w:r>
          </w:p>
        </w:tc>
        <w:tc>
          <w:tcPr>
            <w:tcW w:w="6087" w:type="dxa"/>
            <w:tcBorders>
              <w:top w:val="nil"/>
              <w:left w:val="nil"/>
              <w:bottom w:val="nil"/>
              <w:right w:val="nil"/>
            </w:tcBorders>
            <w:tcMar>
              <w:top w:w="0" w:type="dxa"/>
              <w:left w:w="62" w:type="dxa"/>
              <w:bottom w:w="0" w:type="dxa"/>
              <w:right w:w="62" w:type="dxa"/>
            </w:tcMar>
          </w:tcPr>
          <w:p w:rsidR="00000000" w:rsidRPr="004324D6" w:rsidP="004324D6">
            <w:pPr>
              <w:pStyle w:val="ListBullet"/>
            </w:pPr>
            <w:r w:rsidRPr="004324D6">
              <w:t>maximising resource use</w:t>
            </w:r>
          </w:p>
          <w:p w:rsidR="00000000" w:rsidRPr="004324D6" w:rsidP="004324D6">
            <w:pPr>
              <w:pStyle w:val="ListBullet"/>
            </w:pPr>
            <w:r w:rsidRPr="004324D6">
              <w:t>minimising waste</w:t>
            </w:r>
          </w:p>
          <w:p w:rsidR="00000000" w:rsidRPr="004324D6" w:rsidP="004324D6">
            <w:pPr>
              <w:pStyle w:val="ListBullet"/>
            </w:pPr>
            <w:r w:rsidRPr="004324D6">
              <w:t>maximising recycling</w:t>
            </w:r>
          </w:p>
          <w:p w:rsidR="00000000" w:rsidP="004324D6">
            <w:pPr>
              <w:pStyle w:val="ListBullet"/>
              <w:rPr>
                <w:lang w:val="en-NZ"/>
              </w:rPr>
            </w:pPr>
            <w:r w:rsidRPr="004324D6">
              <w:t>reducing landfill</w:t>
            </w:r>
          </w:p>
        </w:tc>
      </w:tr>
      <w:tr w:rsidTr="004324D6">
        <w:tblPrEx>
          <w:tblW w:w="9275" w:type="dxa"/>
          <w:tblLayout w:type="fixed"/>
          <w:tblCellMar>
            <w:left w:w="62" w:type="dxa"/>
            <w:right w:w="62" w:type="dxa"/>
          </w:tblCellMar>
          <w:tblLook w:val="0000"/>
        </w:tblPrEx>
        <w:tc>
          <w:tcPr>
            <w:tcW w:w="3188" w:type="dxa"/>
            <w:tcBorders>
              <w:top w:val="nil"/>
              <w:left w:val="nil"/>
              <w:bottom w:val="nil"/>
              <w:right w:val="nil"/>
            </w:tcBorders>
            <w:tcMar>
              <w:top w:w="0" w:type="dxa"/>
              <w:left w:w="62" w:type="dxa"/>
              <w:bottom w:w="0" w:type="dxa"/>
              <w:right w:w="62" w:type="dxa"/>
            </w:tcMar>
          </w:tcPr>
          <w:p w:rsidR="00000000" w:rsidP="004324D6">
            <w:pPr>
              <w:pStyle w:val="BodyText"/>
              <w:rPr>
                <w:lang w:val="en-NZ"/>
              </w:rPr>
            </w:pPr>
            <w:r w:rsidRPr="004324D6">
              <w:rPr>
                <w:rStyle w:val="SpecialBold"/>
              </w:rPr>
              <w:t xml:space="preserve">Work practices </w:t>
            </w:r>
            <w:r w:rsidRPr="004324D6">
              <w:t>may include:</w:t>
            </w:r>
          </w:p>
        </w:tc>
        <w:tc>
          <w:tcPr>
            <w:tcW w:w="6087" w:type="dxa"/>
            <w:tcBorders>
              <w:top w:val="nil"/>
              <w:left w:val="nil"/>
              <w:bottom w:val="nil"/>
              <w:right w:val="nil"/>
            </w:tcBorders>
            <w:tcMar>
              <w:top w:w="0" w:type="dxa"/>
              <w:left w:w="62" w:type="dxa"/>
              <w:bottom w:w="0" w:type="dxa"/>
              <w:right w:w="62" w:type="dxa"/>
            </w:tcMar>
          </w:tcPr>
          <w:p w:rsidR="00000000" w:rsidRPr="004324D6" w:rsidP="004324D6">
            <w:pPr>
              <w:pStyle w:val="ListBullet"/>
            </w:pPr>
            <w:r w:rsidRPr="004324D6">
              <w:t>equipment use</w:t>
            </w:r>
          </w:p>
          <w:p w:rsidR="00000000" w:rsidRPr="004324D6" w:rsidP="004324D6">
            <w:pPr>
              <w:pStyle w:val="ListBullet"/>
            </w:pPr>
            <w:r w:rsidRPr="004324D6">
              <w:t>energy use</w:t>
            </w:r>
          </w:p>
          <w:p w:rsidR="00000000" w:rsidRPr="004324D6" w:rsidP="004324D6">
            <w:pPr>
              <w:pStyle w:val="ListBullet"/>
            </w:pPr>
            <w:r w:rsidRPr="004324D6">
              <w:t>reduced carbon emissions</w:t>
            </w:r>
          </w:p>
          <w:p w:rsidR="00000000" w:rsidRPr="004324D6" w:rsidP="004324D6">
            <w:pPr>
              <w:pStyle w:val="ListBullet"/>
            </w:pPr>
            <w:r w:rsidRPr="004324D6">
              <w:t>use of non-renewable resources</w:t>
            </w:r>
          </w:p>
          <w:p w:rsidR="00000000" w:rsidRPr="004324D6" w:rsidP="004324D6">
            <w:pPr>
              <w:pStyle w:val="ListBullet"/>
            </w:pPr>
            <w:r w:rsidRPr="004324D6">
              <w:t>re-using and recycling</w:t>
            </w:r>
          </w:p>
          <w:p w:rsidR="00000000" w:rsidRPr="004324D6" w:rsidP="004324D6">
            <w:pPr>
              <w:pStyle w:val="ListBullet"/>
            </w:pPr>
            <w:r w:rsidRPr="004324D6">
              <w:t>reduced wa</w:t>
            </w:r>
            <w:r w:rsidRPr="004324D6">
              <w:t>ste generation and material consumption</w:t>
            </w:r>
          </w:p>
          <w:p w:rsidR="00000000" w:rsidRPr="004324D6" w:rsidP="004324D6">
            <w:pPr>
              <w:pStyle w:val="ListBullet"/>
            </w:pPr>
            <w:r w:rsidRPr="004324D6">
              <w:t>the use of hazardous and toxic materials</w:t>
            </w:r>
          </w:p>
          <w:p w:rsidR="00000000" w:rsidP="004324D6">
            <w:pPr>
              <w:pStyle w:val="ListBullet"/>
              <w:rPr>
                <w:lang w:val="en-NZ"/>
              </w:rPr>
            </w:pPr>
            <w:r w:rsidRPr="004324D6">
              <w:t>chemical use</w:t>
            </w:r>
          </w:p>
        </w:tc>
      </w:tr>
      <w:tr w:rsidTr="004324D6">
        <w:tblPrEx>
          <w:tblW w:w="9275" w:type="dxa"/>
          <w:tblLayout w:type="fixed"/>
          <w:tblCellMar>
            <w:left w:w="62" w:type="dxa"/>
            <w:right w:w="62" w:type="dxa"/>
          </w:tblCellMar>
          <w:tblLook w:val="0000"/>
        </w:tblPrEx>
        <w:tc>
          <w:tcPr>
            <w:tcW w:w="3188" w:type="dxa"/>
            <w:tcBorders>
              <w:top w:val="nil"/>
              <w:left w:val="nil"/>
              <w:bottom w:val="nil"/>
              <w:right w:val="nil"/>
            </w:tcBorders>
            <w:tcMar>
              <w:top w:w="0" w:type="dxa"/>
              <w:left w:w="62" w:type="dxa"/>
              <w:bottom w:w="0" w:type="dxa"/>
              <w:right w:w="62" w:type="dxa"/>
            </w:tcMar>
          </w:tcPr>
          <w:p w:rsidR="00000000" w:rsidP="004324D6">
            <w:pPr>
              <w:pStyle w:val="BodyText"/>
              <w:rPr>
                <w:lang w:val="en-NZ"/>
              </w:rPr>
            </w:pPr>
            <w:r w:rsidRPr="004324D6">
              <w:rPr>
                <w:rStyle w:val="SpecialBold"/>
              </w:rPr>
              <w:t>Positive aspects</w:t>
            </w:r>
            <w:r w:rsidRPr="004324D6">
              <w:t xml:space="preserve"> may include:</w:t>
            </w:r>
          </w:p>
        </w:tc>
        <w:tc>
          <w:tcPr>
            <w:tcW w:w="6087" w:type="dxa"/>
            <w:tcBorders>
              <w:top w:val="nil"/>
              <w:left w:val="nil"/>
              <w:bottom w:val="nil"/>
              <w:right w:val="nil"/>
            </w:tcBorders>
            <w:tcMar>
              <w:top w:w="0" w:type="dxa"/>
              <w:left w:w="62" w:type="dxa"/>
              <w:bottom w:w="0" w:type="dxa"/>
              <w:right w:w="62" w:type="dxa"/>
            </w:tcMar>
          </w:tcPr>
          <w:p w:rsidR="00000000" w:rsidRPr="004324D6" w:rsidP="004324D6">
            <w:pPr>
              <w:pStyle w:val="ListBullet"/>
            </w:pPr>
            <w:r w:rsidRPr="004324D6">
              <w:t>carbon sequestration in trees</w:t>
            </w:r>
          </w:p>
          <w:p w:rsidR="00000000" w:rsidRPr="004324D6" w:rsidP="004324D6">
            <w:pPr>
              <w:pStyle w:val="ListBullet"/>
            </w:pPr>
            <w:r w:rsidRPr="004324D6">
              <w:t>storage of carbon in trees, wood, timber and paper products</w:t>
            </w:r>
          </w:p>
          <w:p w:rsidR="00000000" w:rsidP="004324D6">
            <w:pPr>
              <w:pStyle w:val="ListBullet"/>
              <w:rPr>
                <w:lang w:val="en-NZ"/>
              </w:rPr>
            </w:pPr>
            <w:r w:rsidRPr="004324D6">
              <w:t>neutral or positive carbon footprints</w:t>
            </w:r>
          </w:p>
        </w:tc>
      </w:tr>
      <w:tr w:rsidTr="004324D6">
        <w:tblPrEx>
          <w:tblW w:w="9275" w:type="dxa"/>
          <w:tblLayout w:type="fixed"/>
          <w:tblCellMar>
            <w:left w:w="62" w:type="dxa"/>
            <w:right w:w="62" w:type="dxa"/>
          </w:tblCellMar>
          <w:tblLook w:val="0000"/>
        </w:tblPrEx>
        <w:tc>
          <w:tcPr>
            <w:tcW w:w="3188" w:type="dxa"/>
            <w:tcBorders>
              <w:top w:val="nil"/>
              <w:left w:val="nil"/>
              <w:bottom w:val="nil"/>
              <w:right w:val="nil"/>
            </w:tcBorders>
            <w:tcMar>
              <w:top w:w="0" w:type="dxa"/>
              <w:left w:w="62" w:type="dxa"/>
              <w:bottom w:w="0" w:type="dxa"/>
              <w:right w:w="62" w:type="dxa"/>
            </w:tcMar>
          </w:tcPr>
          <w:p w:rsidR="00000000" w:rsidP="004324D6">
            <w:pPr>
              <w:pStyle w:val="BodyText"/>
              <w:rPr>
                <w:lang w:val="en-NZ"/>
              </w:rPr>
            </w:pPr>
            <w:r w:rsidRPr="004324D6">
              <w:rPr>
                <w:rStyle w:val="SpecialBold"/>
              </w:rPr>
              <w:t>Appropriate personnel</w:t>
            </w:r>
            <w:r w:rsidRPr="004324D6">
              <w:t xml:space="preserve"> may include:</w:t>
            </w:r>
          </w:p>
        </w:tc>
        <w:tc>
          <w:tcPr>
            <w:tcW w:w="6087" w:type="dxa"/>
            <w:tcBorders>
              <w:top w:val="nil"/>
              <w:left w:val="nil"/>
              <w:bottom w:val="nil"/>
              <w:right w:val="nil"/>
            </w:tcBorders>
            <w:tcMar>
              <w:top w:w="0" w:type="dxa"/>
              <w:left w:w="62" w:type="dxa"/>
              <w:bottom w:w="0" w:type="dxa"/>
              <w:right w:w="62" w:type="dxa"/>
            </w:tcMar>
          </w:tcPr>
          <w:p w:rsidR="00000000" w:rsidRPr="004324D6" w:rsidP="004324D6">
            <w:pPr>
              <w:pStyle w:val="ListBullet"/>
            </w:pPr>
            <w:r w:rsidRPr="004324D6">
              <w:t>supervisors</w:t>
            </w:r>
          </w:p>
          <w:p w:rsidR="00000000" w:rsidRPr="004324D6" w:rsidP="004324D6">
            <w:pPr>
              <w:pStyle w:val="ListBullet"/>
            </w:pPr>
            <w:r w:rsidRPr="004324D6">
              <w:t>suppliers</w:t>
            </w:r>
          </w:p>
          <w:p w:rsidR="00000000" w:rsidRPr="004324D6" w:rsidP="004324D6">
            <w:pPr>
              <w:pStyle w:val="ListBullet"/>
            </w:pPr>
            <w:r w:rsidRPr="004324D6">
              <w:t>clients</w:t>
            </w:r>
          </w:p>
          <w:p w:rsidR="00000000" w:rsidRPr="004324D6" w:rsidP="004324D6">
            <w:pPr>
              <w:pStyle w:val="ListBullet"/>
            </w:pPr>
            <w:r w:rsidRPr="004324D6">
              <w:t>colleagues</w:t>
            </w:r>
          </w:p>
          <w:p w:rsidR="00000000" w:rsidRPr="004324D6" w:rsidP="004324D6">
            <w:pPr>
              <w:pStyle w:val="ListBullet"/>
            </w:pPr>
            <w:r w:rsidRPr="004324D6">
              <w:t>managers</w:t>
            </w:r>
          </w:p>
        </w:tc>
      </w:tr>
    </w:tbl>
    <w:p w:rsidR="00000000" w:rsidRPr="004324D6" w:rsidP="004324D6">
      <w:pPr>
        <w:pStyle w:val="BodyText"/>
      </w:pPr>
    </w:p>
    <w:p w:rsidR="00000000" w:rsidRPr="004324D6" w:rsidP="004324D6">
      <w:pPr>
        <w:pStyle w:val="AllowPageBreak"/>
      </w:pPr>
    </w:p>
    <w:p w:rsidR="00000000" w:rsidRPr="004324D6" w:rsidP="004324D6">
      <w:pPr>
        <w:pStyle w:val="Heading1"/>
      </w:pPr>
      <w:bookmarkStart w:id="12" w:name="O_583927"/>
      <w:bookmarkEnd w:id="12"/>
      <w:r w:rsidRPr="004324D6">
        <w:t>Unit Sector(s)</w:t>
      </w:r>
    </w:p>
    <w:p w:rsidR="00000000" w:rsidRPr="004324D6" w:rsidP="004324D6">
      <w:pPr>
        <w:pStyle w:val="BodyText"/>
      </w:pPr>
      <w:r w:rsidRPr="004324D6">
        <w:t>Not applicable.</w:t>
      </w:r>
    </w:p>
    <w:p w:rsidR="00000000" w:rsidRPr="004324D6" w:rsidP="004324D6">
      <w:pPr>
        <w:pStyle w:val="AllowPageBreak"/>
      </w:pPr>
    </w:p>
    <w:p w:rsidR="00000000" w:rsidRPr="004324D6" w:rsidP="004324D6">
      <w:pPr>
        <w:pStyle w:val="Heading1"/>
      </w:pPr>
      <w:bookmarkStart w:id="13" w:name="O_583928"/>
      <w:bookmarkEnd w:id="13"/>
      <w:r w:rsidRPr="004324D6">
        <w:t>Custom Content Section</w:t>
      </w:r>
    </w:p>
    <w:p w:rsidR="00000000" w:rsidRPr="004324D6" w:rsidP="004324D6">
      <w:pPr>
        <w:pStyle w:val="BodyText"/>
      </w:pPr>
      <w:r w:rsidRPr="004324D6">
        <w:t>Not applicable.</w:t>
      </w:r>
    </w:p>
    <w:p w:rsidR="00000000" w:rsidRPr="004324D6" w:rsidP="004324D6"/>
    <w:sectPr w:rsidSect="004324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4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4D6" w:rsidRPr="00A571E7" w:rsidP="00A571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4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1E7" w:rsidP="004324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571E7" w:rsidP="004324D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A571E7" w:rsidP="004324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4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4D6" w:rsidRPr="00A571E7" w:rsidP="00A571E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4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1E7" w:rsidRPr="002D2AF8" w:rsidP="004324D6">
    <w:pPr>
      <w:pStyle w:val="Header"/>
      <w:framePr w:wrap="around"/>
    </w:pPr>
    <w:r>
      <w:fldChar w:fldCharType="begin"/>
    </w:r>
    <w:r>
      <w:instrText xml:space="preserve"> TITLE   \* MERGEFORMAT </w:instrText>
    </w:r>
    <w:r>
      <w:fldChar w:fldCharType="separate"/>
    </w:r>
    <w:r>
      <w:t>FPICOT3263 Maintain and contribute to energy efficiency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August 2013</w:t>
    </w:r>
    <w:r>
      <w:fldChar w:fldCharType="end"/>
    </w:r>
  </w:p>
  <w:p w:rsidR="00A571E7" w:rsidP="004324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70F5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90C0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2472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4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24D6"/>
    <w:pPr>
      <w:spacing w:before="360" w:after="60"/>
      <w:outlineLvl w:val="0"/>
    </w:pPr>
    <w:rPr>
      <w:sz w:val="32"/>
    </w:rPr>
  </w:style>
  <w:style w:type="paragraph" w:styleId="Heading2">
    <w:name w:val="heading 2"/>
    <w:basedOn w:val="HeadingBase"/>
    <w:next w:val="BodyText"/>
    <w:link w:val="Heading2Char"/>
    <w:qFormat/>
    <w:rsid w:val="004324D6"/>
    <w:pPr>
      <w:keepLines/>
      <w:spacing w:before="240" w:after="120"/>
      <w:outlineLvl w:val="1"/>
    </w:pPr>
    <w:rPr>
      <w:sz w:val="28"/>
      <w:szCs w:val="40"/>
    </w:rPr>
  </w:style>
  <w:style w:type="paragraph" w:styleId="Heading3">
    <w:name w:val="heading 3"/>
    <w:basedOn w:val="HeadingBase"/>
    <w:next w:val="BodyText"/>
    <w:link w:val="Heading3Char"/>
    <w:qFormat/>
    <w:rsid w:val="004324D6"/>
    <w:pPr>
      <w:spacing w:before="180" w:after="120"/>
      <w:outlineLvl w:val="2"/>
    </w:pPr>
    <w:rPr>
      <w:spacing w:val="-10"/>
      <w:kern w:val="32"/>
    </w:rPr>
  </w:style>
  <w:style w:type="paragraph" w:styleId="Heading4">
    <w:name w:val="heading 4"/>
    <w:basedOn w:val="HeadingBase"/>
    <w:next w:val="BodyText"/>
    <w:link w:val="Heading4Char"/>
    <w:qFormat/>
    <w:rsid w:val="004324D6"/>
    <w:pPr>
      <w:spacing w:before="160" w:after="120"/>
      <w:outlineLvl w:val="3"/>
    </w:pPr>
    <w:rPr>
      <w:sz w:val="22"/>
    </w:rPr>
  </w:style>
  <w:style w:type="paragraph" w:styleId="Heading5">
    <w:name w:val="heading 5"/>
    <w:basedOn w:val="HeadingBase"/>
    <w:next w:val="Normal"/>
    <w:link w:val="Heading5Char"/>
    <w:qFormat/>
    <w:rsid w:val="004324D6"/>
    <w:pPr>
      <w:spacing w:before="80"/>
      <w:outlineLvl w:val="4"/>
    </w:pPr>
    <w:rPr>
      <w:color w:val="918585"/>
      <w:sz w:val="20"/>
    </w:rPr>
  </w:style>
  <w:style w:type="paragraph" w:styleId="Heading6">
    <w:name w:val="heading 6"/>
    <w:basedOn w:val="HeadingBase"/>
    <w:next w:val="Normal"/>
    <w:link w:val="Heading6Char"/>
    <w:qFormat/>
    <w:rsid w:val="004324D6"/>
    <w:pPr>
      <w:spacing w:before="60"/>
      <w:outlineLvl w:val="5"/>
    </w:pPr>
    <w:rPr>
      <w:color w:val="918585"/>
      <w:sz w:val="20"/>
    </w:rPr>
  </w:style>
  <w:style w:type="paragraph" w:styleId="Heading7">
    <w:name w:val="heading 7"/>
    <w:basedOn w:val="Normal"/>
    <w:next w:val="Normal"/>
    <w:link w:val="Heading7Char"/>
    <w:qFormat/>
    <w:rsid w:val="004324D6"/>
    <w:pPr>
      <w:ind w:left="720"/>
      <w:outlineLvl w:val="6"/>
    </w:pPr>
    <w:rPr>
      <w:i/>
    </w:rPr>
  </w:style>
  <w:style w:type="paragraph" w:styleId="Heading8">
    <w:name w:val="heading 8"/>
    <w:basedOn w:val="Normal"/>
    <w:next w:val="Normal"/>
    <w:link w:val="Heading8Char"/>
    <w:qFormat/>
    <w:rsid w:val="004324D6"/>
    <w:pPr>
      <w:ind w:left="720"/>
      <w:outlineLvl w:val="7"/>
    </w:pPr>
    <w:rPr>
      <w:i/>
    </w:rPr>
  </w:style>
  <w:style w:type="paragraph" w:styleId="Heading9">
    <w:name w:val="heading 9"/>
    <w:basedOn w:val="Normal"/>
    <w:next w:val="Normal"/>
    <w:link w:val="Heading9Char"/>
    <w:qFormat/>
    <w:rsid w:val="004324D6"/>
    <w:pPr>
      <w:ind w:left="720"/>
      <w:outlineLvl w:val="8"/>
    </w:pPr>
    <w:rPr>
      <w:i/>
    </w:rPr>
  </w:style>
  <w:style w:type="character" w:default="1" w:styleId="DefaultParagraphFont">
    <w:name w:val="Default Paragraph Font"/>
    <w:uiPriority w:val="1"/>
    <w:unhideWhenUsed/>
    <w:rsid w:val="004324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24D6"/>
  </w:style>
  <w:style w:type="character" w:customStyle="1" w:styleId="Heading1Char">
    <w:name w:val="Heading 1 Char"/>
    <w:basedOn w:val="DefaultParagraphFont"/>
    <w:link w:val="Heading1"/>
    <w:rsid w:val="004324D6"/>
    <w:rPr>
      <w:rFonts w:ascii="Times New Roman" w:eastAsia="Times New Roman" w:hAnsi="Times New Roman" w:cs="Times New Roman"/>
      <w:b/>
      <w:sz w:val="32"/>
      <w:szCs w:val="20"/>
      <w:lang w:eastAsia="en-US"/>
    </w:rPr>
  </w:style>
  <w:style w:type="paragraph" w:styleId="BodyText">
    <w:name w:val="Body Text"/>
    <w:basedOn w:val="Normal"/>
    <w:link w:val="BodyTextChar"/>
    <w:rsid w:val="004324D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324D6"/>
    <w:rPr>
      <w:rFonts w:ascii="Times New Roman" w:eastAsia="Times New Roman" w:hAnsi="Times New Roman" w:cs="Times New Roman"/>
      <w:sz w:val="24"/>
      <w:lang w:eastAsia="en-US"/>
    </w:rPr>
  </w:style>
  <w:style w:type="paragraph" w:styleId="List">
    <w:name w:val="List"/>
    <w:basedOn w:val="BodyText"/>
    <w:next w:val="BodyText"/>
    <w:rsid w:val="004324D6"/>
    <w:pPr>
      <w:tabs>
        <w:tab w:val="left" w:pos="340"/>
      </w:tabs>
      <w:spacing w:before="60" w:after="60"/>
      <w:ind w:left="340" w:hanging="340"/>
    </w:pPr>
  </w:style>
  <w:style w:type="paragraph" w:styleId="ListBullet">
    <w:name w:val="List Bullet"/>
    <w:basedOn w:val="List"/>
    <w:rsid w:val="004324D6"/>
    <w:pPr>
      <w:numPr>
        <w:numId w:val="13"/>
      </w:numPr>
      <w:tabs>
        <w:tab w:val="clear" w:pos="340"/>
      </w:tabs>
      <w:spacing w:before="40" w:after="40"/>
    </w:pPr>
  </w:style>
  <w:style w:type="character" w:customStyle="1" w:styleId="SpecialBold">
    <w:name w:val="Special Bold"/>
    <w:basedOn w:val="DefaultParagraphFont"/>
    <w:rsid w:val="004324D6"/>
    <w:rPr>
      <w:b/>
      <w:spacing w:val="0"/>
    </w:rPr>
  </w:style>
  <w:style w:type="paragraph" w:styleId="ListBullet2">
    <w:name w:val="List Bullet 2"/>
    <w:basedOn w:val="List2"/>
    <w:rsid w:val="004324D6"/>
    <w:pPr>
      <w:numPr>
        <w:numId w:val="14"/>
      </w:numPr>
      <w:tabs>
        <w:tab w:val="clear" w:pos="680"/>
      </w:tabs>
    </w:pPr>
  </w:style>
  <w:style w:type="paragraph" w:customStyle="1" w:styleId="SuperHeading">
    <w:name w:val="SuperHeading"/>
    <w:basedOn w:val="Normal"/>
    <w:rsid w:val="004324D6"/>
    <w:pPr>
      <w:spacing w:before="240" w:after="120"/>
      <w:outlineLvl w:val="0"/>
    </w:pPr>
    <w:rPr>
      <w:rFonts w:ascii="Times New Roman" w:hAnsi="Times New Roman"/>
      <w:b/>
      <w:sz w:val="32"/>
    </w:rPr>
  </w:style>
  <w:style w:type="paragraph" w:customStyle="1" w:styleId="AllowPageBreak">
    <w:name w:val="AllowPageBreak"/>
    <w:rsid w:val="004324D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324D6"/>
    <w:pPr>
      <w:tabs>
        <w:tab w:val="left" w:pos="680"/>
      </w:tabs>
      <w:spacing w:before="60" w:after="60"/>
      <w:ind w:left="680" w:hanging="340"/>
    </w:pPr>
  </w:style>
  <w:style w:type="character" w:customStyle="1" w:styleId="BoldandItalics">
    <w:name w:val="Bold and Italics"/>
    <w:qFormat/>
    <w:rsid w:val="004324D6"/>
    <w:rPr>
      <w:b/>
      <w:i/>
      <w:u w:val="none"/>
    </w:rPr>
  </w:style>
  <w:style w:type="character" w:customStyle="1" w:styleId="Heading2Char">
    <w:name w:val="Heading 2 Char"/>
    <w:basedOn w:val="DefaultParagraphFont"/>
    <w:link w:val="Heading2"/>
    <w:rsid w:val="004324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24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24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24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24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24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24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24D6"/>
    <w:rPr>
      <w:rFonts w:ascii="Courier New" w:eastAsia="Times New Roman" w:hAnsi="Courier New" w:cs="Times New Roman"/>
      <w:i/>
      <w:szCs w:val="20"/>
      <w:lang w:eastAsia="en-US"/>
    </w:rPr>
  </w:style>
  <w:style w:type="paragraph" w:customStyle="1" w:styleId="HeadingBase">
    <w:name w:val="Heading Base"/>
    <w:rsid w:val="004324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24D6"/>
    <w:pPr>
      <w:tabs>
        <w:tab w:val="right" w:leader="dot" w:pos="9072"/>
      </w:tabs>
      <w:ind w:left="567"/>
    </w:pPr>
    <w:rPr>
      <w:szCs w:val="22"/>
    </w:rPr>
  </w:style>
  <w:style w:type="paragraph" w:customStyle="1" w:styleId="TOCBase">
    <w:name w:val="TOC Base"/>
    <w:rsid w:val="004324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24D6"/>
    <w:pPr>
      <w:tabs>
        <w:tab w:val="right" w:leader="dot" w:pos="9072"/>
      </w:tabs>
      <w:spacing w:before="40" w:after="40"/>
      <w:ind w:left="284"/>
    </w:pPr>
    <w:rPr>
      <w:rFonts w:ascii="Times New Roman" w:hAnsi="Times New Roman"/>
    </w:rPr>
  </w:style>
  <w:style w:type="paragraph" w:styleId="TOC1">
    <w:name w:val="toc 1"/>
    <w:basedOn w:val="TOCBase"/>
    <w:next w:val="Normal"/>
    <w:rsid w:val="004324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24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24D6"/>
    <w:rPr>
      <w:rFonts w:ascii="Times New Roman" w:eastAsia="Times New Roman" w:hAnsi="Times New Roman" w:cs="Times New Roman"/>
      <w:sz w:val="16"/>
      <w:lang w:eastAsia="en-US"/>
    </w:rPr>
  </w:style>
  <w:style w:type="paragraph" w:styleId="Title">
    <w:name w:val="Title"/>
    <w:basedOn w:val="HeadingBase"/>
    <w:link w:val="TitleChar"/>
    <w:qFormat/>
    <w:rsid w:val="004324D6"/>
    <w:pPr>
      <w:spacing w:before="5040"/>
      <w:jc w:val="center"/>
    </w:pPr>
    <w:rPr>
      <w:sz w:val="48"/>
      <w:szCs w:val="72"/>
      <w:lang w:val="en-US"/>
    </w:rPr>
  </w:style>
  <w:style w:type="character" w:customStyle="1" w:styleId="TitleChar">
    <w:name w:val="Title Char"/>
    <w:basedOn w:val="DefaultParagraphFont"/>
    <w:link w:val="Title"/>
    <w:rsid w:val="004324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24D6"/>
    <w:pPr>
      <w:tabs>
        <w:tab w:val="left" w:pos="3600"/>
        <w:tab w:val="left" w:pos="3958"/>
      </w:tabs>
    </w:pPr>
  </w:style>
  <w:style w:type="paragraph" w:customStyle="1" w:styleId="Note">
    <w:name w:val="Note"/>
    <w:basedOn w:val="BodyText"/>
    <w:rsid w:val="004324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24D6"/>
    <w:pPr>
      <w:framePr w:wrap="auto" w:hAnchor="text" w:y="6049"/>
    </w:pPr>
    <w:rPr>
      <w:color w:val="000000"/>
      <w:sz w:val="40"/>
    </w:rPr>
  </w:style>
  <w:style w:type="paragraph" w:customStyle="1" w:styleId="TOCTitle">
    <w:name w:val="TOCTitle"/>
    <w:basedOn w:val="Heading1"/>
    <w:rsid w:val="004324D6"/>
    <w:pPr>
      <w:spacing w:after="240"/>
      <w:jc w:val="center"/>
      <w:outlineLvl w:val="9"/>
    </w:pPr>
    <w:rPr>
      <w:caps/>
    </w:rPr>
  </w:style>
  <w:style w:type="paragraph" w:customStyle="1" w:styleId="Version">
    <w:name w:val="Version"/>
    <w:rsid w:val="004324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24D6"/>
    <w:pPr>
      <w:keepNext w:val="0"/>
      <w:tabs>
        <w:tab w:val="right" w:pos="4176"/>
      </w:tabs>
      <w:ind w:left="198" w:hanging="198"/>
    </w:pPr>
    <w:rPr>
      <w:rFonts w:ascii="Garamond" w:hAnsi="Garamond"/>
    </w:rPr>
  </w:style>
  <w:style w:type="paragraph" w:styleId="IndexHeading">
    <w:name w:val="index heading"/>
    <w:basedOn w:val="Normal"/>
    <w:next w:val="Index1"/>
    <w:semiHidden/>
    <w:rsid w:val="004324D6"/>
    <w:pPr>
      <w:spacing w:before="120" w:after="120"/>
    </w:pPr>
    <w:rPr>
      <w:rFonts w:ascii="Arial" w:hAnsi="Arial"/>
      <w:b/>
      <w:color w:val="918585"/>
      <w:sz w:val="24"/>
    </w:rPr>
  </w:style>
  <w:style w:type="paragraph" w:styleId="Header">
    <w:name w:val="header"/>
    <w:basedOn w:val="Normal"/>
    <w:link w:val="HeaderChar"/>
    <w:rsid w:val="004324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24D6"/>
    <w:rPr>
      <w:rFonts w:ascii="Times New Roman" w:eastAsia="Times New Roman" w:hAnsi="Times New Roman" w:cs="Times New Roman"/>
      <w:sz w:val="16"/>
      <w:szCs w:val="20"/>
      <w:lang w:val="en-GB" w:eastAsia="en-US"/>
    </w:rPr>
  </w:style>
  <w:style w:type="paragraph" w:customStyle="1" w:styleId="Chapter">
    <w:name w:val="Chapter"/>
    <w:basedOn w:val="Normal"/>
    <w:rsid w:val="004324D6"/>
    <w:pPr>
      <w:spacing w:before="240"/>
    </w:pPr>
    <w:rPr>
      <w:rFonts w:ascii="Times New Roman" w:hAnsi="Times New Roman"/>
      <w:smallCaps/>
      <w:spacing w:val="80"/>
      <w:sz w:val="28"/>
    </w:rPr>
  </w:style>
  <w:style w:type="paragraph" w:customStyle="1" w:styleId="InChapter">
    <w:name w:val="InChapter"/>
    <w:basedOn w:val="Heading3"/>
    <w:rsid w:val="004324D6"/>
    <w:pPr>
      <w:spacing w:after="240"/>
      <w:outlineLvl w:val="9"/>
    </w:pPr>
    <w:rPr>
      <w:noProof/>
    </w:rPr>
  </w:style>
  <w:style w:type="paragraph" w:styleId="Index2">
    <w:name w:val="index 2"/>
    <w:basedOn w:val="Normal"/>
    <w:next w:val="Normal"/>
    <w:semiHidden/>
    <w:rsid w:val="004324D6"/>
    <w:pPr>
      <w:tabs>
        <w:tab w:val="right" w:pos="4176"/>
      </w:tabs>
      <w:ind w:left="568" w:hanging="284"/>
    </w:pPr>
    <w:rPr>
      <w:rFonts w:ascii="Garamond" w:hAnsi="Garamond"/>
    </w:rPr>
  </w:style>
  <w:style w:type="paragraph" w:customStyle="1" w:styleId="Byline">
    <w:name w:val="Byline"/>
    <w:rsid w:val="004324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24D6"/>
    <w:pPr>
      <w:tabs>
        <w:tab w:val="clear" w:pos="3600"/>
        <w:tab w:val="clear" w:pos="3958"/>
      </w:tabs>
      <w:jc w:val="right"/>
    </w:pPr>
  </w:style>
  <w:style w:type="character" w:styleId="Emphasis">
    <w:name w:val="Emphasis"/>
    <w:basedOn w:val="DefaultParagraphFont"/>
    <w:qFormat/>
    <w:rsid w:val="004324D6"/>
    <w:rPr>
      <w:i/>
    </w:rPr>
  </w:style>
  <w:style w:type="paragraph" w:styleId="Caption">
    <w:name w:val="caption"/>
    <w:basedOn w:val="BodyText"/>
    <w:next w:val="Normal"/>
    <w:qFormat/>
    <w:rsid w:val="004324D6"/>
    <w:pPr>
      <w:framePr w:w="2268" w:hSpace="181" w:vSpace="181" w:wrap="around" w:vAnchor="text" w:hAnchor="page" w:x="1135" w:y="285" w:anchorLock="1"/>
    </w:pPr>
    <w:rPr>
      <w:i/>
    </w:rPr>
  </w:style>
  <w:style w:type="paragraph" w:customStyle="1" w:styleId="MiniTOCTitle">
    <w:name w:val="MiniTOCTitle"/>
    <w:basedOn w:val="Heading4"/>
    <w:rsid w:val="004324D6"/>
    <w:pPr>
      <w:spacing w:before="240"/>
      <w:outlineLvl w:val="9"/>
    </w:pPr>
    <w:rPr>
      <w:noProof/>
      <w:sz w:val="24"/>
    </w:rPr>
  </w:style>
  <w:style w:type="paragraph" w:customStyle="1" w:styleId="MiniTOCItem">
    <w:name w:val="MiniTOCItem"/>
    <w:basedOn w:val="ListBullet"/>
    <w:rsid w:val="004324D6"/>
    <w:pPr>
      <w:numPr>
        <w:numId w:val="0"/>
      </w:numPr>
      <w:tabs>
        <w:tab w:val="right" w:leader="dot" w:pos="6521"/>
      </w:tabs>
      <w:spacing w:before="0" w:after="0"/>
    </w:pPr>
  </w:style>
  <w:style w:type="paragraph" w:customStyle="1" w:styleId="TOFTitle">
    <w:name w:val="TOFTitle"/>
    <w:basedOn w:val="TOCTitle"/>
    <w:rsid w:val="004324D6"/>
  </w:style>
  <w:style w:type="paragraph" w:styleId="TableofFigures">
    <w:name w:val="table of figures"/>
    <w:basedOn w:val="Normal"/>
    <w:next w:val="Normal"/>
    <w:semiHidden/>
    <w:rsid w:val="004324D6"/>
    <w:pPr>
      <w:tabs>
        <w:tab w:val="right" w:leader="dot" w:pos="9072"/>
      </w:tabs>
      <w:ind w:left="970" w:hanging="403"/>
    </w:pPr>
    <w:rPr>
      <w:rFonts w:ascii="Times New Roman" w:hAnsi="Times New Roman"/>
      <w:b/>
    </w:rPr>
  </w:style>
  <w:style w:type="paragraph" w:styleId="ListNumber">
    <w:name w:val="List Number"/>
    <w:basedOn w:val="List"/>
    <w:rsid w:val="004324D6"/>
    <w:pPr>
      <w:numPr>
        <w:numId w:val="11"/>
      </w:numPr>
    </w:pPr>
  </w:style>
  <w:style w:type="character" w:customStyle="1" w:styleId="WingdingSymbols">
    <w:name w:val="Wingding Symbols"/>
    <w:rsid w:val="004324D6"/>
    <w:rPr>
      <w:rFonts w:ascii="Wingdings" w:hAnsi="Wingdings"/>
    </w:rPr>
  </w:style>
  <w:style w:type="paragraph" w:customStyle="1" w:styleId="TableHeading">
    <w:name w:val="Table Heading"/>
    <w:basedOn w:val="HeadingBase"/>
    <w:rsid w:val="004324D6"/>
    <w:pPr>
      <w:keepLines/>
      <w:pBdr>
        <w:bottom w:val="single" w:sz="6" w:space="1" w:color="918585"/>
      </w:pBdr>
      <w:spacing w:before="240"/>
    </w:pPr>
  </w:style>
  <w:style w:type="character" w:customStyle="1" w:styleId="HotSpot">
    <w:name w:val="HotSpot"/>
    <w:rsid w:val="004324D6"/>
    <w:rPr>
      <w:color w:val="0033CC"/>
      <w:u w:val="none"/>
    </w:rPr>
  </w:style>
  <w:style w:type="paragraph" w:customStyle="1" w:styleId="BodyTextRight">
    <w:name w:val="Body Text Right"/>
    <w:basedOn w:val="BodyText"/>
    <w:rsid w:val="004324D6"/>
    <w:pPr>
      <w:spacing w:before="0" w:after="0"/>
      <w:jc w:val="right"/>
    </w:pPr>
  </w:style>
  <w:style w:type="paragraph" w:styleId="Index3">
    <w:name w:val="index 3"/>
    <w:basedOn w:val="ListNumber2"/>
    <w:next w:val="Normal"/>
    <w:semiHidden/>
    <w:rsid w:val="004324D6"/>
    <w:pPr>
      <w:numPr>
        <w:numId w:val="0"/>
      </w:numPr>
      <w:tabs>
        <w:tab w:val="right" w:leader="dot" w:pos="4176"/>
      </w:tabs>
    </w:pPr>
  </w:style>
  <w:style w:type="paragraph" w:styleId="ListNumber2">
    <w:name w:val="List Number 2"/>
    <w:basedOn w:val="List2"/>
    <w:rsid w:val="004324D6"/>
    <w:pPr>
      <w:numPr>
        <w:numId w:val="10"/>
      </w:numPr>
      <w:tabs>
        <w:tab w:val="clear" w:pos="1060"/>
      </w:tabs>
    </w:pPr>
  </w:style>
  <w:style w:type="paragraph" w:customStyle="1" w:styleId="MarginNote">
    <w:name w:val="Margin Note"/>
    <w:basedOn w:val="BodyText"/>
    <w:rsid w:val="004324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24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24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24D6"/>
    <w:rPr>
      <w:sz w:val="32"/>
    </w:rPr>
  </w:style>
  <w:style w:type="paragraph" w:customStyle="1" w:styleId="HeadingProcedure">
    <w:name w:val="Heading Procedure"/>
    <w:basedOn w:val="HeadingBase"/>
    <w:next w:val="Normal"/>
    <w:rsid w:val="004324D6"/>
    <w:pPr>
      <w:tabs>
        <w:tab w:val="left" w:pos="0"/>
      </w:tabs>
      <w:spacing w:before="120" w:after="60"/>
    </w:pPr>
    <w:rPr>
      <w:i/>
      <w:color w:val="918585"/>
      <w:sz w:val="22"/>
    </w:rPr>
  </w:style>
  <w:style w:type="paragraph" w:customStyle="1" w:styleId="TableBodyText">
    <w:name w:val="Table Body Text"/>
    <w:basedOn w:val="BodyText"/>
    <w:rsid w:val="004324D6"/>
    <w:pPr>
      <w:spacing w:before="60" w:after="60"/>
    </w:pPr>
  </w:style>
  <w:style w:type="paragraph" w:styleId="ListContinue">
    <w:name w:val="List Continue"/>
    <w:basedOn w:val="List"/>
    <w:rsid w:val="004324D6"/>
    <w:pPr>
      <w:ind w:firstLine="0"/>
    </w:pPr>
  </w:style>
  <w:style w:type="paragraph" w:customStyle="1" w:styleId="ListNote">
    <w:name w:val="List Note"/>
    <w:basedOn w:val="List"/>
    <w:rsid w:val="004324D6"/>
    <w:pPr>
      <w:pBdr>
        <w:top w:val="single" w:sz="6" w:space="2" w:color="918585"/>
        <w:bottom w:val="single" w:sz="6" w:space="2" w:color="918585"/>
      </w:pBdr>
      <w:tabs>
        <w:tab w:val="left" w:pos="1021"/>
      </w:tabs>
      <w:ind w:firstLine="0"/>
    </w:pPr>
  </w:style>
  <w:style w:type="paragraph" w:customStyle="1" w:styleId="Warning">
    <w:name w:val="Warning"/>
    <w:basedOn w:val="BodyText"/>
    <w:rsid w:val="004324D6"/>
    <w:pPr>
      <w:shd w:val="clear" w:color="auto" w:fill="D9D9D9"/>
      <w:tabs>
        <w:tab w:val="left" w:pos="992"/>
      </w:tabs>
      <w:ind w:left="119" w:right="119"/>
    </w:pPr>
    <w:rPr>
      <w:sz w:val="20"/>
    </w:rPr>
  </w:style>
  <w:style w:type="paragraph" w:customStyle="1" w:styleId="MarginIcons">
    <w:name w:val="Margin Icons"/>
    <w:basedOn w:val="BodyText"/>
    <w:rsid w:val="004324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24D6"/>
    <w:rPr>
      <w:rFonts w:ascii="Courier New" w:hAnsi="Courier New"/>
    </w:rPr>
  </w:style>
  <w:style w:type="paragraph" w:customStyle="1" w:styleId="NoteBullet">
    <w:name w:val="Note Bullet"/>
    <w:basedOn w:val="Note"/>
    <w:rsid w:val="004324D6"/>
    <w:pPr>
      <w:tabs>
        <w:tab w:val="clear" w:pos="680"/>
      </w:tabs>
      <w:spacing w:before="60" w:after="60"/>
    </w:pPr>
  </w:style>
  <w:style w:type="paragraph" w:customStyle="1" w:styleId="SubHeading2">
    <w:name w:val="SubHeading2"/>
    <w:basedOn w:val="HeadingBase"/>
    <w:rsid w:val="004324D6"/>
    <w:pPr>
      <w:spacing w:before="240" w:after="60"/>
    </w:pPr>
    <w:rPr>
      <w:sz w:val="20"/>
    </w:rPr>
  </w:style>
  <w:style w:type="paragraph" w:customStyle="1" w:styleId="SubHeading1">
    <w:name w:val="SubHeading1"/>
    <w:basedOn w:val="HeadingBase"/>
    <w:rsid w:val="004324D6"/>
    <w:pPr>
      <w:spacing w:before="240" w:after="60"/>
    </w:pPr>
    <w:rPr>
      <w:color w:val="918585"/>
      <w:sz w:val="22"/>
    </w:rPr>
  </w:style>
  <w:style w:type="paragraph" w:customStyle="1" w:styleId="SideHeading">
    <w:name w:val="Side Heading"/>
    <w:basedOn w:val="HeadingBase"/>
    <w:rsid w:val="004324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24D6"/>
    <w:pPr>
      <w:numPr>
        <w:numId w:val="12"/>
      </w:numPr>
    </w:pPr>
  </w:style>
  <w:style w:type="paragraph" w:styleId="PlainText">
    <w:name w:val="Plain Text"/>
    <w:basedOn w:val="Normal"/>
    <w:link w:val="PlainTextChar"/>
    <w:rsid w:val="004324D6"/>
    <w:rPr>
      <w:sz w:val="20"/>
    </w:rPr>
  </w:style>
  <w:style w:type="character" w:customStyle="1" w:styleId="PlainTextChar">
    <w:name w:val="Plain Text Char"/>
    <w:basedOn w:val="DefaultParagraphFont"/>
    <w:link w:val="PlainText"/>
    <w:rsid w:val="004324D6"/>
    <w:rPr>
      <w:rFonts w:ascii="Courier New" w:eastAsia="Times New Roman" w:hAnsi="Courier New" w:cs="Times New Roman"/>
      <w:sz w:val="20"/>
      <w:szCs w:val="20"/>
      <w:lang w:eastAsia="en-US"/>
    </w:rPr>
  </w:style>
  <w:style w:type="character" w:customStyle="1" w:styleId="MenuOption">
    <w:name w:val="Menu Option"/>
    <w:basedOn w:val="DefaultParagraphFont"/>
    <w:rsid w:val="004324D6"/>
    <w:rPr>
      <w:b/>
      <w:smallCaps/>
    </w:rPr>
  </w:style>
  <w:style w:type="paragraph" w:customStyle="1" w:styleId="TableListNumber">
    <w:name w:val="Table List Number"/>
    <w:basedOn w:val="ListNumber"/>
    <w:rsid w:val="004324D6"/>
    <w:pPr>
      <w:numPr>
        <w:numId w:val="0"/>
      </w:numPr>
    </w:pPr>
  </w:style>
  <w:style w:type="paragraph" w:styleId="TOC4">
    <w:name w:val="toc 4"/>
    <w:basedOn w:val="TOCBase"/>
    <w:next w:val="Normal"/>
    <w:semiHidden/>
    <w:rsid w:val="004324D6"/>
    <w:pPr>
      <w:tabs>
        <w:tab w:val="right" w:leader="dot" w:pos="9071"/>
      </w:tabs>
      <w:ind w:left="1701"/>
    </w:pPr>
  </w:style>
  <w:style w:type="paragraph" w:customStyle="1" w:styleId="ListAlpha">
    <w:name w:val="List Alpha"/>
    <w:basedOn w:val="List"/>
    <w:rsid w:val="004324D6"/>
    <w:pPr>
      <w:numPr>
        <w:numId w:val="9"/>
      </w:numPr>
    </w:pPr>
  </w:style>
  <w:style w:type="paragraph" w:customStyle="1" w:styleId="ListAlpha2">
    <w:name w:val="List Alpha 2"/>
    <w:basedOn w:val="List2"/>
    <w:rsid w:val="004324D6"/>
    <w:pPr>
      <w:numPr>
        <w:numId w:val="8"/>
      </w:numPr>
    </w:pPr>
  </w:style>
  <w:style w:type="paragraph" w:styleId="List3">
    <w:name w:val="List 3"/>
    <w:basedOn w:val="BodyText"/>
    <w:rsid w:val="004324D6"/>
    <w:pPr>
      <w:tabs>
        <w:tab w:val="left" w:pos="1021"/>
      </w:tabs>
      <w:spacing w:before="60" w:after="60"/>
      <w:ind w:left="1020" w:hanging="340"/>
    </w:pPr>
  </w:style>
  <w:style w:type="paragraph" w:styleId="List4">
    <w:name w:val="List 4"/>
    <w:basedOn w:val="BodyText"/>
    <w:rsid w:val="004324D6"/>
    <w:pPr>
      <w:tabs>
        <w:tab w:val="left" w:pos="1361"/>
      </w:tabs>
      <w:spacing w:before="60" w:after="60"/>
      <w:ind w:left="1361" w:hanging="340"/>
    </w:pPr>
  </w:style>
  <w:style w:type="paragraph" w:styleId="List5">
    <w:name w:val="List 5"/>
    <w:basedOn w:val="BodyText"/>
    <w:rsid w:val="004324D6"/>
    <w:pPr>
      <w:tabs>
        <w:tab w:val="left" w:pos="1701"/>
      </w:tabs>
      <w:spacing w:before="60" w:after="60"/>
      <w:ind w:left="1701" w:hanging="340"/>
    </w:pPr>
  </w:style>
  <w:style w:type="paragraph" w:styleId="ListBullet3">
    <w:name w:val="List Bullet 3"/>
    <w:basedOn w:val="List3"/>
    <w:rsid w:val="004324D6"/>
    <w:pPr>
      <w:numPr>
        <w:numId w:val="15"/>
      </w:numPr>
      <w:tabs>
        <w:tab w:val="clear" w:pos="1021"/>
      </w:tabs>
      <w:ind w:left="1037" w:hanging="357"/>
    </w:pPr>
  </w:style>
  <w:style w:type="paragraph" w:styleId="ListBullet4">
    <w:name w:val="List Bullet 4"/>
    <w:basedOn w:val="List4"/>
    <w:rsid w:val="004324D6"/>
    <w:pPr>
      <w:numPr>
        <w:numId w:val="3"/>
      </w:numPr>
    </w:pPr>
  </w:style>
  <w:style w:type="paragraph" w:styleId="ListBullet5">
    <w:name w:val="List Bullet 5"/>
    <w:basedOn w:val="List5"/>
    <w:rsid w:val="004324D6"/>
    <w:pPr>
      <w:numPr>
        <w:numId w:val="4"/>
      </w:numPr>
    </w:pPr>
  </w:style>
  <w:style w:type="paragraph" w:styleId="ListContinue2">
    <w:name w:val="List Continue 2"/>
    <w:basedOn w:val="List2"/>
    <w:rsid w:val="004324D6"/>
    <w:pPr>
      <w:ind w:firstLine="0"/>
    </w:pPr>
  </w:style>
  <w:style w:type="paragraph" w:styleId="ListContinue3">
    <w:name w:val="List Continue 3"/>
    <w:basedOn w:val="List3"/>
    <w:rsid w:val="004324D6"/>
    <w:pPr>
      <w:ind w:left="1021" w:firstLine="0"/>
    </w:pPr>
  </w:style>
  <w:style w:type="paragraph" w:styleId="ListContinue4">
    <w:name w:val="List Continue 4"/>
    <w:basedOn w:val="List4"/>
    <w:rsid w:val="004324D6"/>
    <w:pPr>
      <w:ind w:firstLine="0"/>
    </w:pPr>
  </w:style>
  <w:style w:type="paragraph" w:styleId="ListContinue5">
    <w:name w:val="List Continue 5"/>
    <w:basedOn w:val="List5"/>
    <w:rsid w:val="004324D6"/>
    <w:pPr>
      <w:ind w:firstLine="0"/>
    </w:pPr>
  </w:style>
  <w:style w:type="paragraph" w:styleId="ListNumber3">
    <w:name w:val="List Number 3"/>
    <w:basedOn w:val="List3"/>
    <w:rsid w:val="004324D6"/>
    <w:pPr>
      <w:numPr>
        <w:numId w:val="5"/>
      </w:numPr>
    </w:pPr>
  </w:style>
  <w:style w:type="paragraph" w:styleId="ListNumber4">
    <w:name w:val="List Number 4"/>
    <w:basedOn w:val="List4"/>
    <w:rsid w:val="004324D6"/>
    <w:pPr>
      <w:numPr>
        <w:numId w:val="6"/>
      </w:numPr>
    </w:pPr>
  </w:style>
  <w:style w:type="paragraph" w:styleId="ListNumber5">
    <w:name w:val="List Number 5"/>
    <w:basedOn w:val="List5"/>
    <w:rsid w:val="004324D6"/>
    <w:pPr>
      <w:numPr>
        <w:numId w:val="7"/>
      </w:numPr>
    </w:pPr>
  </w:style>
  <w:style w:type="paragraph" w:styleId="BlockText">
    <w:name w:val="Block Text"/>
    <w:basedOn w:val="Normal"/>
    <w:rsid w:val="004324D6"/>
    <w:pPr>
      <w:spacing w:after="120"/>
      <w:ind w:left="1440" w:right="1440"/>
    </w:pPr>
  </w:style>
  <w:style w:type="character" w:customStyle="1" w:styleId="Subscript">
    <w:name w:val="Subscript"/>
    <w:basedOn w:val="DefaultParagraphFont"/>
    <w:rsid w:val="004324D6"/>
    <w:rPr>
      <w:sz w:val="16"/>
      <w:vertAlign w:val="subscript"/>
    </w:rPr>
  </w:style>
  <w:style w:type="character" w:customStyle="1" w:styleId="Superscript">
    <w:name w:val="Superscript"/>
    <w:basedOn w:val="DefaultParagraphFont"/>
    <w:rsid w:val="004324D6"/>
    <w:rPr>
      <w:sz w:val="16"/>
      <w:vertAlign w:val="superscript"/>
    </w:rPr>
  </w:style>
  <w:style w:type="character" w:customStyle="1" w:styleId="Symbols">
    <w:name w:val="Symbols"/>
    <w:basedOn w:val="DefaultParagraphFont"/>
    <w:rsid w:val="004324D6"/>
    <w:rPr>
      <w:rFonts w:ascii="Symbol" w:hAnsi="Symbol"/>
    </w:rPr>
  </w:style>
  <w:style w:type="character" w:customStyle="1" w:styleId="MenuOptions">
    <w:name w:val="Menu Options"/>
    <w:basedOn w:val="DefaultParagraphFont"/>
    <w:rsid w:val="004324D6"/>
    <w:rPr>
      <w:rFonts w:ascii="Arial Narrow" w:hAnsi="Arial Narrow"/>
      <w:smallCaps/>
    </w:rPr>
  </w:style>
  <w:style w:type="character" w:customStyle="1" w:styleId="Buttons">
    <w:name w:val="Buttons"/>
    <w:basedOn w:val="DefaultParagraphFont"/>
    <w:rsid w:val="004324D6"/>
    <w:rPr>
      <w:b/>
    </w:rPr>
  </w:style>
  <w:style w:type="character" w:customStyle="1" w:styleId="Underlined">
    <w:name w:val="Underlined"/>
    <w:basedOn w:val="DefaultParagraphFont"/>
    <w:rsid w:val="004324D6"/>
    <w:rPr>
      <w:u w:val="single"/>
    </w:rPr>
  </w:style>
  <w:style w:type="paragraph" w:customStyle="1" w:styleId="TableBodyTextRight">
    <w:name w:val="Table Body Text Right"/>
    <w:basedOn w:val="TableBodyText"/>
    <w:rsid w:val="004324D6"/>
    <w:pPr>
      <w:widowControl w:val="0"/>
      <w:autoSpaceDE w:val="0"/>
      <w:autoSpaceDN w:val="0"/>
      <w:adjustRightInd w:val="0"/>
      <w:jc w:val="right"/>
    </w:pPr>
    <w:rPr>
      <w:rFonts w:cs="Arial"/>
      <w:szCs w:val="18"/>
    </w:rPr>
  </w:style>
  <w:style w:type="paragraph" w:customStyle="1" w:styleId="CopyrightText">
    <w:name w:val="Copyright Text"/>
    <w:basedOn w:val="BodyText"/>
    <w:rsid w:val="004324D6"/>
    <w:rPr>
      <w:sz w:val="18"/>
    </w:rPr>
  </w:style>
  <w:style w:type="paragraph" w:customStyle="1" w:styleId="BodySmallRight">
    <w:name w:val="Body Small Right"/>
    <w:basedOn w:val="BodyTextRight"/>
    <w:rsid w:val="004324D6"/>
    <w:rPr>
      <w:sz w:val="18"/>
      <w:szCs w:val="18"/>
    </w:rPr>
  </w:style>
  <w:style w:type="paragraph" w:customStyle="1" w:styleId="MarginEdition">
    <w:name w:val="Margin Edition"/>
    <w:basedOn w:val="MarginNote"/>
    <w:rsid w:val="004324D6"/>
    <w:pPr>
      <w:spacing w:before="0" w:after="0"/>
    </w:pPr>
    <w:rPr>
      <w:rFonts w:ascii="Times New Roman" w:hAnsi="Times New Roman"/>
      <w:color w:val="999999"/>
    </w:rPr>
  </w:style>
  <w:style w:type="paragraph" w:customStyle="1" w:styleId="Spacer">
    <w:name w:val="Spacer"/>
    <w:basedOn w:val="Normal"/>
    <w:rsid w:val="004324D6"/>
    <w:rPr>
      <w:sz w:val="2"/>
      <w:szCs w:val="2"/>
    </w:rPr>
  </w:style>
  <w:style w:type="character" w:customStyle="1" w:styleId="Small">
    <w:name w:val="Small"/>
    <w:basedOn w:val="DefaultParagraphFont"/>
    <w:rsid w:val="004324D6"/>
    <w:rPr>
      <w:sz w:val="16"/>
    </w:rPr>
  </w:style>
  <w:style w:type="paragraph" w:customStyle="1" w:styleId="WideTable">
    <w:name w:val="Wide Table"/>
    <w:basedOn w:val="Normal"/>
    <w:rsid w:val="004324D6"/>
    <w:pPr>
      <w:ind w:left="-1418"/>
    </w:pPr>
    <w:rPr>
      <w:sz w:val="2"/>
      <w:szCs w:val="2"/>
    </w:rPr>
  </w:style>
  <w:style w:type="character" w:styleId="PageNumber">
    <w:name w:val="page number"/>
    <w:basedOn w:val="DefaultParagraphFont"/>
    <w:rsid w:val="004324D6"/>
  </w:style>
  <w:style w:type="paragraph" w:styleId="Quote">
    <w:name w:val="Quote"/>
    <w:basedOn w:val="Heading1"/>
    <w:link w:val="QuoteChar"/>
    <w:qFormat/>
    <w:rsid w:val="004324D6"/>
    <w:rPr>
      <w:b w:val="0"/>
      <w:sz w:val="72"/>
      <w:szCs w:val="72"/>
      <w:lang w:val="en-NZ"/>
    </w:rPr>
  </w:style>
  <w:style w:type="character" w:customStyle="1" w:styleId="QuoteChar">
    <w:name w:val="Quote Char"/>
    <w:basedOn w:val="DefaultParagraphFont"/>
    <w:link w:val="Quote"/>
    <w:rsid w:val="004324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24D6"/>
    <w:pPr>
      <w:pageBreakBefore/>
    </w:pPr>
  </w:style>
  <w:style w:type="paragraph" w:customStyle="1" w:styleId="Border">
    <w:name w:val="Border"/>
    <w:basedOn w:val="Normal"/>
    <w:qFormat/>
    <w:rsid w:val="004324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24D6"/>
    <w:rPr>
      <w:b/>
      <w:bCs/>
      <w:i/>
      <w:iCs/>
      <w:color w:val="auto"/>
    </w:rPr>
  </w:style>
  <w:style w:type="paragraph" w:styleId="IntenseQuote">
    <w:name w:val="Intense Quote"/>
    <w:basedOn w:val="Normal"/>
    <w:next w:val="Normal"/>
    <w:link w:val="IntenseQuoteChar"/>
    <w:uiPriority w:val="30"/>
    <w:qFormat/>
    <w:rsid w:val="004324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24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24D6"/>
    <w:rPr>
      <w:smallCaps/>
      <w:color w:val="auto"/>
      <w:u w:val="single"/>
    </w:rPr>
  </w:style>
  <w:style w:type="character" w:styleId="IntenseReference">
    <w:name w:val="Intense Reference"/>
    <w:basedOn w:val="DefaultParagraphFont"/>
    <w:uiPriority w:val="32"/>
    <w:qFormat/>
    <w:rsid w:val="004324D6"/>
    <w:rPr>
      <w:b/>
      <w:bCs/>
      <w:smallCaps/>
      <w:color w:val="auto"/>
      <w:spacing w:val="5"/>
      <w:u w:val="single"/>
    </w:rPr>
  </w:style>
  <w:style w:type="paragraph" w:customStyle="1" w:styleId="2ColumnHeading">
    <w:name w:val="2Column Heading"/>
    <w:basedOn w:val="BodyText"/>
    <w:qFormat/>
    <w:rsid w:val="004324D6"/>
    <w:pPr>
      <w:spacing w:after="60"/>
      <w:ind w:left="-2268"/>
    </w:pPr>
    <w:rPr>
      <w:b/>
    </w:rPr>
  </w:style>
  <w:style w:type="paragraph" w:customStyle="1" w:styleId="Heading1TOC">
    <w:name w:val="Heading1 TOC"/>
    <w:basedOn w:val="Normal"/>
    <w:qFormat/>
    <w:rsid w:val="004324D6"/>
    <w:pPr>
      <w:spacing w:before="240" w:after="120"/>
    </w:pPr>
    <w:rPr>
      <w:rFonts w:ascii="Times New Roman" w:hAnsi="Times New Roman"/>
      <w:b/>
      <w:sz w:val="32"/>
    </w:rPr>
  </w:style>
  <w:style w:type="paragraph" w:customStyle="1" w:styleId="Heading2TOC">
    <w:name w:val="Heading2 TOC"/>
    <w:basedOn w:val="Normal"/>
    <w:qFormat/>
    <w:rsid w:val="004324D6"/>
    <w:pPr>
      <w:spacing w:before="240" w:after="60"/>
    </w:pPr>
    <w:rPr>
      <w:rFonts w:ascii="Times New Roman" w:hAnsi="Times New Roman"/>
      <w:b/>
      <w:sz w:val="28"/>
    </w:rPr>
  </w:style>
  <w:style w:type="character" w:customStyle="1" w:styleId="Underline">
    <w:name w:val="Underline"/>
    <w:basedOn w:val="DefaultParagraphFont"/>
    <w:qFormat/>
    <w:rsid w:val="004324D6"/>
    <w:rPr>
      <w:u w:val="single"/>
    </w:rPr>
  </w:style>
  <w:style w:type="paragraph" w:styleId="BalloonText">
    <w:name w:val="Balloon Text"/>
    <w:basedOn w:val="Normal"/>
    <w:link w:val="BalloonTextChar"/>
    <w:rsid w:val="004324D6"/>
    <w:rPr>
      <w:rFonts w:ascii="Tahoma" w:hAnsi="Tahoma" w:cs="Tahoma"/>
      <w:sz w:val="16"/>
      <w:szCs w:val="16"/>
    </w:rPr>
  </w:style>
  <w:style w:type="character" w:customStyle="1" w:styleId="BalloonTextChar">
    <w:name w:val="Balloon Text Char"/>
    <w:basedOn w:val="DefaultParagraphFont"/>
    <w:link w:val="BalloonText"/>
    <w:rsid w:val="004324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24D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324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24D6"/>
    <w:rPr>
      <w:b/>
      <w:color w:val="660033"/>
      <w:spacing w:val="0"/>
    </w:rPr>
  </w:style>
  <w:style w:type="paragraph" w:customStyle="1" w:styleId="Nameditemlist">
    <w:name w:val="Named item list"/>
    <w:basedOn w:val="BodyText"/>
    <w:qFormat/>
    <w:rsid w:val="004324D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1388</Words>
  <Characters>8819</Characters>
  <Application>Microsoft Office Word</Application>
  <DocSecurity>0</DocSecurity>
  <Lines>314</Lines>
  <Paragraphs>155</Paragraphs>
  <ScaleCrop>false</ScaleCrop>
  <Company>Author-it Software Corporation Ltd.</Company>
  <LinksUpToDate>false</LinksUpToDate>
  <CharactersWithSpaces>10148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FPICOT3263 Maintain and contribute to energy efficiency</dc:title>
  <dc:subject>Approved</dc:subject>
  <dc:creator>Forestworks Learning and Skill Development</dc:creator>
  <cp:keywords>Release 1</cp:keywords>
  <dc:description>Review Date: 12 April 2008</dc:description>
  <cp:lastModifiedBy>TPCMS</cp:lastModifiedBy>
  <cp:revision>3</cp:revision>
  <dcterms:created xsi:type="dcterms:W3CDTF">2013-08-27T09:44:38Z</dcterms:created>
  <dcterms:modified xsi:type="dcterms:W3CDTF">2013-08-26T07:06:00Z</dcterms:modified>
</cp:coreProperties>
</file>