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275" w:rsidP="00E31275">
      <w:pPr>
        <w:pStyle w:val="Title"/>
      </w:pPr>
      <w:r>
        <w:fldChar w:fldCharType="begin"/>
      </w:r>
      <w:r>
        <w:instrText xml:space="preserve"> TITLE   \* MERGEFORMAT </w:instrText>
      </w:r>
      <w:r>
        <w:fldChar w:fldCharType="separate"/>
      </w:r>
      <w:r>
        <w:t>FPICOT3260 Recover four wheel drive vehicles</w:t>
      </w:r>
      <w:r>
        <w:fldChar w:fldCharType="end"/>
      </w:r>
    </w:p>
    <w:p w:rsidR="00E31275" w:rsidP="00E31275">
      <w:pPr>
        <w:pStyle w:val="Version"/>
        <w:sectPr w:rsidSect="002E19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9DC" w:rsidP="002E19DC">
      <w:pPr>
        <w:pStyle w:val="SuperHeading"/>
      </w:pPr>
      <w:r w:rsidRPr="002E19DC">
        <w:t>FPICOT3260 Recover four wheel drive vehicles</w:t>
      </w:r>
    </w:p>
    <w:p w:rsidR="00000000" w:rsidRPr="002E19DC" w:rsidP="002E19DC">
      <w:pPr>
        <w:pStyle w:val="Heading1"/>
      </w:pPr>
      <w:bookmarkStart w:id="1" w:name="O_381433"/>
      <w:bookmarkEnd w:id="1"/>
      <w:r w:rsidRPr="002E19DC">
        <w:t>Modification History</w:t>
      </w:r>
    </w:p>
    <w:tbl>
      <w:tblPr>
        <w:tblW w:w="0" w:type="auto"/>
        <w:tblLayout w:type="fixed"/>
        <w:tblCellMar>
          <w:left w:w="62" w:type="dxa"/>
          <w:right w:w="62" w:type="dxa"/>
        </w:tblCellMar>
        <w:tblLook w:val="0000"/>
      </w:tblPr>
      <w:tblGrid>
        <w:gridCol w:w="1877"/>
        <w:gridCol w:w="7195"/>
      </w:tblGrid>
      <w:tr w:rsidTr="002E19DC">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19DC">
            <w:pPr>
              <w:pStyle w:val="Heading4"/>
            </w:pPr>
            <w:r w:rsidRPr="002E19DC">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19DC">
            <w:pPr>
              <w:pStyle w:val="Heading4"/>
            </w:pPr>
            <w:r w:rsidRPr="002E19DC">
              <w:t>Detail</w:t>
            </w:r>
          </w:p>
        </w:tc>
      </w:tr>
      <w:tr w:rsidTr="002E19DC">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DC">
            <w:pPr>
              <w:pStyle w:val="BodyText"/>
              <w:rPr>
                <w:lang w:val="en-NZ"/>
              </w:rPr>
            </w:pPr>
            <w:r w:rsidRPr="002E19DC">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DC" w:rsidP="002E19DC">
            <w:pPr>
              <w:pStyle w:val="BodyText"/>
            </w:pPr>
            <w:r w:rsidRPr="002E19DC">
              <w:t>New unit</w:t>
            </w:r>
          </w:p>
        </w:tc>
      </w:tr>
    </w:tbl>
    <w:p w:rsidR="00000000" w:rsidRPr="002E19DC" w:rsidP="002E19DC">
      <w:pPr>
        <w:pStyle w:val="BodyText"/>
      </w:pPr>
    </w:p>
    <w:p w:rsidR="00000000" w:rsidRPr="002E19DC" w:rsidP="002E19DC">
      <w:pPr>
        <w:pStyle w:val="AllowPageBreak"/>
      </w:pPr>
    </w:p>
    <w:p w:rsidR="00000000" w:rsidRPr="002E19DC" w:rsidP="002E19DC">
      <w:pPr>
        <w:pStyle w:val="Heading1"/>
      </w:pPr>
      <w:bookmarkStart w:id="2" w:name="O_381434"/>
      <w:bookmarkEnd w:id="2"/>
      <w:r w:rsidRPr="002E19DC">
        <w:t>Unit Descriptor</w:t>
      </w:r>
    </w:p>
    <w:p w:rsidR="00000000" w:rsidRPr="002E19DC" w:rsidP="002E19DC">
      <w:pPr>
        <w:pStyle w:val="BodyText"/>
      </w:pPr>
      <w:r w:rsidRPr="002E19DC">
        <w:t>This unit covers the use of a variety of recovery equipment and advanced skills to recover four-wheel drive (4x4) vehicles in difficult terrain conditions.</w:t>
      </w:r>
    </w:p>
    <w:p w:rsidR="00000000" w:rsidRPr="002E19DC" w:rsidP="002E19DC">
      <w:pPr>
        <w:pStyle w:val="AllowPageBreak"/>
      </w:pPr>
    </w:p>
    <w:p w:rsidR="00000000" w:rsidRPr="002E19DC" w:rsidP="002E19DC">
      <w:pPr>
        <w:pStyle w:val="Heading1"/>
      </w:pPr>
      <w:bookmarkStart w:id="3" w:name="O_381435"/>
      <w:bookmarkEnd w:id="3"/>
      <w:r w:rsidRPr="002E19DC">
        <w:t>Application of the Unit</w:t>
      </w:r>
    </w:p>
    <w:p w:rsidR="00000000" w:rsidRPr="002E19DC" w:rsidP="002E19DC">
      <w:pPr>
        <w:pStyle w:val="BodyText"/>
      </w:pPr>
      <w:r w:rsidRPr="002E19DC">
        <w:t>This unit involves the recovery of 4x4 vehicles in a variet</w:t>
      </w:r>
      <w:r w:rsidRPr="002E19DC">
        <w:t>y of work settings. The skills and knowledge required for competent workplace performance are to be used within the scope of the person’s job and authority.</w:t>
      </w:r>
    </w:p>
    <w:p w:rsidR="00000000" w:rsidRPr="002E19DC" w:rsidP="002E19DC">
      <w:pPr>
        <w:pStyle w:val="AllowPageBreak"/>
      </w:pPr>
    </w:p>
    <w:p w:rsidR="00000000" w:rsidRPr="002E19DC" w:rsidP="002E19DC">
      <w:pPr>
        <w:pStyle w:val="Heading1"/>
      </w:pPr>
      <w:bookmarkStart w:id="4" w:name="O_381436"/>
      <w:bookmarkEnd w:id="4"/>
      <w:r w:rsidRPr="002E19DC">
        <w:t>Licensing/Regulatory Information</w:t>
      </w:r>
    </w:p>
    <w:p w:rsidR="00000000" w:rsidRPr="002E19DC" w:rsidP="002E19DC">
      <w:pPr>
        <w:pStyle w:val="BodyText"/>
      </w:pPr>
      <w:r w:rsidRPr="002E19DC">
        <w:t>Compliance with licensing, legislative, regulator</w:t>
      </w:r>
      <w:r w:rsidRPr="002E19DC">
        <w:t>y or certification requirements may be required in various jurisdictions.</w:t>
      </w:r>
    </w:p>
    <w:p w:rsidR="00000000" w:rsidRPr="002E19DC" w:rsidP="002E19DC">
      <w:pPr>
        <w:pStyle w:val="AllowPageBreak"/>
      </w:pPr>
    </w:p>
    <w:p w:rsidR="00000000" w:rsidRPr="002E19DC" w:rsidP="002E19DC">
      <w:pPr>
        <w:pStyle w:val="Heading1"/>
      </w:pPr>
      <w:bookmarkStart w:id="5" w:name="O_381437"/>
      <w:bookmarkEnd w:id="5"/>
      <w:r w:rsidRPr="002E19DC">
        <w:t>Pre-Requisites</w:t>
      </w:r>
    </w:p>
    <w:p w:rsidR="00000000" w:rsidRPr="002E19DC" w:rsidP="002E19DC">
      <w:pPr>
        <w:pStyle w:val="BodyText"/>
      </w:pPr>
      <w:r w:rsidRPr="002E19DC">
        <w:t>Not applicable.</w:t>
      </w:r>
    </w:p>
    <w:p w:rsidR="00000000" w:rsidRPr="002E19DC" w:rsidP="002E19DC">
      <w:pPr>
        <w:pStyle w:val="AllowPageBreak"/>
      </w:pPr>
    </w:p>
    <w:p w:rsidR="00000000" w:rsidRPr="002E19DC" w:rsidP="002E19DC">
      <w:pPr>
        <w:pStyle w:val="Heading1"/>
      </w:pPr>
      <w:bookmarkStart w:id="6" w:name="O_381438"/>
      <w:bookmarkEnd w:id="6"/>
      <w:r w:rsidRPr="002E19DC">
        <w:t>Employability Skills Information</w:t>
      </w:r>
    </w:p>
    <w:p w:rsidR="00000000" w:rsidRPr="002E19DC" w:rsidP="002E19DC">
      <w:pPr>
        <w:pStyle w:val="BodyText"/>
      </w:pPr>
      <w:r w:rsidRPr="002E19DC">
        <w:t>This unit contains employability skills</w:t>
      </w:r>
    </w:p>
    <w:p w:rsidR="00000000" w:rsidRPr="002E19DC" w:rsidP="002E19DC">
      <w:pPr>
        <w:pStyle w:val="AllowPageBreak"/>
      </w:pPr>
    </w:p>
    <w:p w:rsidR="00000000" w:rsidRPr="002E19DC" w:rsidP="002E19DC">
      <w:pPr>
        <w:pStyle w:val="Heading1"/>
      </w:pPr>
      <w:bookmarkStart w:id="7" w:name="O_381439"/>
      <w:bookmarkEnd w:id="7"/>
      <w:r w:rsidRPr="002E19DC">
        <w:t>Elements and Performance Criteria Pre-Content</w:t>
      </w:r>
    </w:p>
    <w:tbl>
      <w:tblPr>
        <w:tblW w:w="0" w:type="auto"/>
        <w:tblLayout w:type="fixed"/>
        <w:tblCellMar>
          <w:left w:w="62" w:type="dxa"/>
          <w:right w:w="62" w:type="dxa"/>
        </w:tblCellMar>
        <w:tblLook w:val="0000"/>
      </w:tblPr>
      <w:tblGrid>
        <w:gridCol w:w="2340"/>
        <w:gridCol w:w="6090"/>
      </w:tblGrid>
      <w:tr w:rsidTr="002E19DC">
        <w:tblPrEx>
          <w:tblW w:w="0" w:type="auto"/>
          <w:tblLayout w:type="fixed"/>
          <w:tblCellMar>
            <w:left w:w="62" w:type="dxa"/>
            <w:right w:w="62" w:type="dxa"/>
          </w:tblCellMar>
          <w:tblLook w:val="0000"/>
        </w:tblPrEx>
        <w:trPr>
          <w:trHeight w:val="1035"/>
        </w:trPr>
        <w:tc>
          <w:tcPr>
            <w:tcW w:w="23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Elements describe the essential outcomes of a unit of competency.</w:t>
            </w:r>
          </w:p>
        </w:tc>
        <w:tc>
          <w:tcPr>
            <w:tcW w:w="609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 xml:space="preserve">Performance criteria describe the performance needed to demonstrate achievement of the element. Where bold italicised text is used, further </w:t>
            </w:r>
            <w:r w:rsidRPr="002E19DC">
              <w:t>information is detailed in the required skills and knowledge section and the range statement. Assessment of performance is to be consistent with the evidence guide.</w:t>
            </w:r>
          </w:p>
        </w:tc>
      </w:tr>
    </w:tbl>
    <w:p w:rsidR="00000000" w:rsidRPr="002E19DC" w:rsidP="002E19DC">
      <w:pPr>
        <w:pStyle w:val="BodyText"/>
      </w:pPr>
    </w:p>
    <w:p w:rsidR="00000000" w:rsidRPr="002E19DC" w:rsidP="002E19DC">
      <w:pPr>
        <w:pStyle w:val="AllowPageBreak"/>
      </w:pPr>
    </w:p>
    <w:p w:rsidR="00000000" w:rsidRPr="002E19DC" w:rsidP="002E19DC">
      <w:pPr>
        <w:pStyle w:val="Heading1"/>
      </w:pPr>
      <w:bookmarkStart w:id="8" w:name="O_381440"/>
      <w:bookmarkEnd w:id="8"/>
      <w:r w:rsidRPr="002E19DC">
        <w:t>Elements and Performance Criteria</w:t>
      </w:r>
    </w:p>
    <w:tbl>
      <w:tblPr>
        <w:tblW w:w="0" w:type="auto"/>
        <w:tblLayout w:type="fixed"/>
        <w:tblCellMar>
          <w:left w:w="62" w:type="dxa"/>
          <w:right w:w="62" w:type="dxa"/>
        </w:tblCellMar>
        <w:tblLook w:val="0000"/>
      </w:tblPr>
      <w:tblGrid>
        <w:gridCol w:w="2278"/>
        <w:gridCol w:w="6090"/>
      </w:tblGrid>
      <w:tr w:rsidTr="002E19DC">
        <w:tblPrEx>
          <w:tblW w:w="0" w:type="auto"/>
          <w:tblLayout w:type="fixed"/>
          <w:tblCellMar>
            <w:left w:w="62" w:type="dxa"/>
            <w:right w:w="62" w:type="dxa"/>
          </w:tblCellMar>
          <w:tblLook w:val="0000"/>
        </w:tblPrEx>
        <w:trPr>
          <w:trHeight w:val="382"/>
          <w:tblHeader/>
        </w:trPr>
        <w:tc>
          <w:tcPr>
            <w:tcW w:w="2278" w:type="dxa"/>
            <w:tcBorders>
              <w:top w:val="nil"/>
              <w:left w:val="nil"/>
              <w:bottom w:val="nil"/>
              <w:right w:val="nil"/>
            </w:tcBorders>
            <w:tcMar>
              <w:top w:w="0" w:type="dxa"/>
              <w:left w:w="62" w:type="dxa"/>
              <w:bottom w:w="0" w:type="dxa"/>
              <w:right w:w="62" w:type="dxa"/>
            </w:tcMar>
            <w:vAlign w:val="center"/>
          </w:tcPr>
          <w:p w:rsidR="00000000" w:rsidP="002E19DC">
            <w:pPr>
              <w:pStyle w:val="Heading4"/>
            </w:pPr>
            <w:r w:rsidRPr="002E19DC">
              <w:t>ELEMENT</w:t>
            </w:r>
          </w:p>
        </w:tc>
        <w:tc>
          <w:tcPr>
            <w:tcW w:w="6090" w:type="dxa"/>
            <w:tcBorders>
              <w:top w:val="nil"/>
              <w:left w:val="nil"/>
              <w:bottom w:val="nil"/>
              <w:right w:val="nil"/>
            </w:tcBorders>
            <w:tcMar>
              <w:top w:w="0" w:type="dxa"/>
              <w:left w:w="62" w:type="dxa"/>
              <w:bottom w:w="0" w:type="dxa"/>
              <w:right w:w="62" w:type="dxa"/>
            </w:tcMar>
            <w:vAlign w:val="center"/>
          </w:tcPr>
          <w:p w:rsidR="00000000" w:rsidP="002E19DC">
            <w:pPr>
              <w:pStyle w:val="Heading4"/>
            </w:pPr>
            <w:r w:rsidRPr="002E19DC">
              <w:t>PERFORMANCE CRITERIA</w:t>
            </w:r>
          </w:p>
        </w:tc>
      </w:tr>
      <w:tr w:rsidTr="002E19DC">
        <w:tblPrEx>
          <w:tblW w:w="0" w:type="auto"/>
          <w:tblLayout w:type="fixed"/>
          <w:tblCellMar>
            <w:left w:w="62" w:type="dxa"/>
            <w:right w:w="62" w:type="dxa"/>
          </w:tblCellMar>
          <w:tblLook w:val="0000"/>
        </w:tblPrEx>
        <w:trPr>
          <w:trHeight w:val="20"/>
        </w:trPr>
        <w:tc>
          <w:tcPr>
            <w:tcW w:w="22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1.  Plan</w:t>
            </w:r>
            <w:r w:rsidRPr="002E19DC">
              <w:t xml:space="preserve"> 4x4 recovery</w:t>
            </w:r>
          </w:p>
        </w:tc>
        <w:tc>
          <w:tcPr>
            <w:tcW w:w="609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 xml:space="preserve">1.1 Identify and follow </w:t>
            </w:r>
            <w:r w:rsidRPr="002E19DC">
              <w:rPr>
                <w:rStyle w:val="BoldandItalics"/>
              </w:rPr>
              <w:t xml:space="preserve">occupational health and safety </w:t>
            </w:r>
            <w:r w:rsidRPr="002E19DC">
              <w:t xml:space="preserve">(OHS), </w:t>
            </w:r>
            <w:r w:rsidRPr="002E19DC">
              <w:rPr>
                <w:rStyle w:val="BoldandItalics"/>
              </w:rPr>
              <w:t xml:space="preserve">environmental, legislative </w:t>
            </w:r>
            <w:r w:rsidRPr="002E19DC">
              <w:t xml:space="preserve">and </w:t>
            </w:r>
            <w:r w:rsidRPr="002E19DC">
              <w:rPr>
                <w:rStyle w:val="BoldandItalics"/>
              </w:rPr>
              <w:t>organisational requirements</w:t>
            </w:r>
            <w:r w:rsidRPr="002E19DC">
              <w:t xml:space="preserve"> relevant to 4x4 recovery</w:t>
            </w:r>
          </w:p>
          <w:p w:rsidR="00000000" w:rsidRPr="002E19DC" w:rsidP="002E19DC">
            <w:pPr>
              <w:pStyle w:val="BodyText"/>
            </w:pPr>
            <w:r w:rsidRPr="002E19DC">
              <w:t>1.2 Survey site to identify hazards, assess risks and select suitable strategy</w:t>
            </w:r>
          </w:p>
          <w:p w:rsidR="00000000" w:rsidRPr="002E19DC" w:rsidP="002E19DC">
            <w:pPr>
              <w:pStyle w:val="BodyText"/>
            </w:pPr>
            <w:r w:rsidRPr="002E19DC">
              <w:t xml:space="preserve">1.3 Select </w:t>
            </w:r>
            <w:r w:rsidRPr="002E19DC">
              <w:rPr>
                <w:rStyle w:val="BoldandItalics"/>
              </w:rPr>
              <w:t>person</w:t>
            </w:r>
            <w:r w:rsidRPr="002E19DC">
              <w:rPr>
                <w:rStyle w:val="BoldandItalics"/>
              </w:rPr>
              <w:t xml:space="preserve">al protective equipment </w:t>
            </w:r>
            <w:r w:rsidRPr="002E19DC">
              <w:t>(PPE) appropriate to type of recovery operation</w:t>
            </w:r>
          </w:p>
          <w:p w:rsidR="00000000" w:rsidRPr="002E19DC" w:rsidP="002E19DC">
            <w:pPr>
              <w:pStyle w:val="BodyText"/>
            </w:pPr>
            <w:r w:rsidRPr="002E19DC">
              <w:t>1.4</w:t>
            </w:r>
            <w:r w:rsidRPr="002E19DC">
              <w:rPr>
                <w:rStyle w:val="BoldandItalics"/>
              </w:rPr>
              <w:t xml:space="preserve"> Inform </w:t>
            </w:r>
            <w:r w:rsidRPr="002E19DC">
              <w:t xml:space="preserve">appropriate personnel of your location </w:t>
            </w:r>
          </w:p>
          <w:p w:rsidR="00000000" w:rsidP="002E19DC">
            <w:pPr>
              <w:pStyle w:val="BodyText"/>
              <w:rPr>
                <w:lang w:val="en-NZ"/>
              </w:rPr>
            </w:pPr>
            <w:r w:rsidRPr="002E19DC">
              <w:t xml:space="preserve">1.5 Determine potential environmental impact of recovery </w:t>
            </w:r>
          </w:p>
        </w:tc>
      </w:tr>
      <w:tr w:rsidTr="002E19DC">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2.  Operate in a safe manner</w:t>
            </w:r>
          </w:p>
        </w:tc>
        <w:tc>
          <w:tcPr>
            <w:tcW w:w="609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2.1 Consider</w:t>
            </w:r>
            <w:r w:rsidRPr="002E19DC">
              <w:rPr>
                <w:rStyle w:val="BoldandItalics"/>
              </w:rPr>
              <w:t xml:space="preserve"> operating variables</w:t>
            </w:r>
            <w:r w:rsidRPr="002E19DC">
              <w:t>, define danger zone and</w:t>
            </w:r>
            <w:r w:rsidRPr="002E19DC">
              <w:rPr>
                <w:rStyle w:val="BoldandItalics"/>
              </w:rPr>
              <w:t xml:space="preserve"> apply strategies</w:t>
            </w:r>
            <w:r w:rsidRPr="002E19DC">
              <w:t xml:space="preserve"> to reduce risk and environmental impact during recovery </w:t>
            </w:r>
          </w:p>
          <w:p w:rsidR="00000000" w:rsidRPr="002E19DC" w:rsidP="002E19DC">
            <w:pPr>
              <w:pStyle w:val="BodyText"/>
            </w:pPr>
            <w:r w:rsidRPr="002E19DC">
              <w:t xml:space="preserve">2.2 Use rated </w:t>
            </w:r>
            <w:r w:rsidRPr="002E19DC">
              <w:rPr>
                <w:rStyle w:val="BoldandItalics"/>
              </w:rPr>
              <w:t>recovery equipment</w:t>
            </w:r>
            <w:r w:rsidRPr="002E19DC">
              <w:t xml:space="preserve"> correctly</w:t>
            </w:r>
          </w:p>
          <w:p w:rsidR="00000000" w:rsidRPr="002E19DC" w:rsidP="002E19DC">
            <w:pPr>
              <w:pStyle w:val="BodyText"/>
            </w:pPr>
            <w:r w:rsidRPr="002E19DC">
              <w:t>2.3 Use appropriate</w:t>
            </w:r>
            <w:r w:rsidRPr="002E19DC">
              <w:rPr>
                <w:rStyle w:val="BoldandItalics"/>
              </w:rPr>
              <w:t xml:space="preserve"> communication</w:t>
            </w:r>
            <w:r w:rsidRPr="002E19DC">
              <w:t xml:space="preserve"> during recovery operations </w:t>
            </w:r>
          </w:p>
          <w:p w:rsidR="00000000" w:rsidP="002E19DC">
            <w:pPr>
              <w:pStyle w:val="BodyText"/>
              <w:rPr>
                <w:lang w:val="en-NZ"/>
              </w:rPr>
            </w:pPr>
            <w:r w:rsidRPr="002E19DC">
              <w:t>2.4 Repair environmental damage where possible</w:t>
            </w:r>
          </w:p>
        </w:tc>
      </w:tr>
      <w:tr w:rsidTr="002E19DC">
        <w:tblPrEx>
          <w:tblW w:w="0" w:type="auto"/>
          <w:tblLayout w:type="fixed"/>
          <w:tblCellMar>
            <w:left w:w="62" w:type="dxa"/>
            <w:right w:w="62" w:type="dxa"/>
          </w:tblCellMar>
          <w:tblLook w:val="0000"/>
        </w:tblPrEx>
        <w:trPr>
          <w:trHeight w:val="2624"/>
        </w:trPr>
        <w:tc>
          <w:tcPr>
            <w:tcW w:w="22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 xml:space="preserve">3.  </w:t>
            </w:r>
            <w:r w:rsidRPr="002E19DC">
              <w:t xml:space="preserve">Apply recovery method appropriate for the desired outcome </w:t>
            </w:r>
          </w:p>
        </w:tc>
        <w:tc>
          <w:tcPr>
            <w:tcW w:w="609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3.1 Determine recovery method based on the</w:t>
            </w:r>
            <w:r w:rsidRPr="002E19DC">
              <w:rPr>
                <w:rStyle w:val="BoldandItalics"/>
              </w:rPr>
              <w:t xml:space="preserve"> terrain conditions</w:t>
            </w:r>
            <w:r w:rsidRPr="002E19DC">
              <w:t xml:space="preserve"> and </w:t>
            </w:r>
            <w:r w:rsidRPr="002E19DC">
              <w:rPr>
                <w:rStyle w:val="BoldandItalics"/>
              </w:rPr>
              <w:t>pulling techniques</w:t>
            </w:r>
            <w:r w:rsidRPr="002E19DC">
              <w:t xml:space="preserve"> required of the situation</w:t>
            </w:r>
          </w:p>
          <w:p w:rsidR="00000000" w:rsidRPr="002E19DC" w:rsidP="002E19DC">
            <w:pPr>
              <w:pStyle w:val="BodyText"/>
            </w:pPr>
            <w:r w:rsidRPr="002E19DC">
              <w:t xml:space="preserve">3.2 Determine the </w:t>
            </w:r>
            <w:r w:rsidRPr="002E19DC">
              <w:rPr>
                <w:rStyle w:val="BoldandItalics"/>
              </w:rPr>
              <w:t xml:space="preserve">resources </w:t>
            </w:r>
            <w:r w:rsidRPr="002E19DC">
              <w:t xml:space="preserve">required and their availability </w:t>
            </w:r>
          </w:p>
          <w:p w:rsidR="00000000" w:rsidRPr="002E19DC" w:rsidP="002E19DC">
            <w:pPr>
              <w:pStyle w:val="BodyText"/>
            </w:pPr>
            <w:r w:rsidRPr="002E19DC">
              <w:t>3.3 Communicate the recov</w:t>
            </w:r>
            <w:r w:rsidRPr="002E19DC">
              <w:t>ery method selected and inform supervisor of your decision if appropriate</w:t>
            </w:r>
          </w:p>
          <w:p w:rsidR="00000000" w:rsidRPr="002E19DC" w:rsidP="002E19DC">
            <w:pPr>
              <w:pStyle w:val="BodyText"/>
            </w:pPr>
            <w:r w:rsidRPr="002E19DC">
              <w:t xml:space="preserve">3.4 Set up an exclusion zone </w:t>
            </w:r>
          </w:p>
          <w:p w:rsidR="00000000" w:rsidP="002E19DC">
            <w:pPr>
              <w:pStyle w:val="BodyText"/>
              <w:rPr>
                <w:lang w:val="en-NZ"/>
              </w:rPr>
            </w:pPr>
            <w:r w:rsidRPr="002E19DC">
              <w:t>3.5 Maintain communication with others to explain progress in recovery</w:t>
            </w:r>
          </w:p>
        </w:tc>
      </w:tr>
      <w:tr w:rsidTr="002E19DC">
        <w:tblPrEx>
          <w:tblW w:w="0" w:type="auto"/>
          <w:tblLayout w:type="fixed"/>
          <w:tblCellMar>
            <w:left w:w="62" w:type="dxa"/>
            <w:right w:w="62" w:type="dxa"/>
          </w:tblCellMar>
          <w:tblLook w:val="0000"/>
        </w:tblPrEx>
        <w:trPr>
          <w:trHeight w:val="1373"/>
        </w:trPr>
        <w:tc>
          <w:tcPr>
            <w:tcW w:w="22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4.  Demonstrate the safe use of jacks</w:t>
            </w:r>
          </w:p>
        </w:tc>
        <w:tc>
          <w:tcPr>
            <w:tcW w:w="609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4.1 Identify hazards with the safe positioning of</w:t>
            </w:r>
            <w:r w:rsidRPr="002E19DC">
              <w:rPr>
                <w:rStyle w:val="BoldandItalics"/>
              </w:rPr>
              <w:t xml:space="preserve"> jacks</w:t>
            </w:r>
          </w:p>
          <w:p w:rsidR="00000000" w:rsidRPr="002E19DC" w:rsidP="002E19DC">
            <w:pPr>
              <w:pStyle w:val="BodyText"/>
            </w:pPr>
            <w:r w:rsidRPr="002E19DC">
              <w:t xml:space="preserve">4.2 Use </w:t>
            </w:r>
            <w:r w:rsidRPr="002E19DC">
              <w:rPr>
                <w:rStyle w:val="BoldandItalics"/>
              </w:rPr>
              <w:t>safe operating procedures while using a jack</w:t>
            </w:r>
            <w:r w:rsidRPr="002E19DC">
              <w:t xml:space="preserve"> to lift a vehicle </w:t>
            </w:r>
          </w:p>
          <w:p w:rsidR="00000000" w:rsidP="002E19DC">
            <w:pPr>
              <w:pStyle w:val="BodyText"/>
              <w:rPr>
                <w:lang w:val="en-NZ"/>
              </w:rPr>
            </w:pPr>
            <w:r w:rsidRPr="002E19DC">
              <w:t xml:space="preserve">4.3 Demonstrate safe recovery of a vehicle using a jack </w:t>
            </w:r>
          </w:p>
        </w:tc>
      </w:tr>
      <w:tr w:rsidTr="002E19DC">
        <w:tblPrEx>
          <w:tblW w:w="0" w:type="auto"/>
          <w:tblLayout w:type="fixed"/>
          <w:tblCellMar>
            <w:left w:w="62" w:type="dxa"/>
            <w:right w:w="62" w:type="dxa"/>
          </w:tblCellMar>
          <w:tblLook w:val="0000"/>
        </w:tblPrEx>
        <w:trPr>
          <w:trHeight w:val="1418"/>
        </w:trPr>
        <w:tc>
          <w:tcPr>
            <w:tcW w:w="22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5.  Maintain vehicle recovery equipment</w:t>
            </w:r>
          </w:p>
        </w:tc>
        <w:tc>
          <w:tcPr>
            <w:tcW w:w="609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5.1 Apply correct</w:t>
            </w:r>
            <w:r w:rsidRPr="002E19DC">
              <w:rPr>
                <w:rStyle w:val="BoldandItalics"/>
              </w:rPr>
              <w:t xml:space="preserve"> maintenance</w:t>
            </w:r>
            <w:r w:rsidRPr="002E19DC">
              <w:t xml:space="preserve"> </w:t>
            </w:r>
            <w:r w:rsidRPr="002E19DC">
              <w:t>procedures for recovery equipment</w:t>
            </w:r>
          </w:p>
          <w:p w:rsidR="00000000" w:rsidRPr="002E19DC" w:rsidP="002E19DC">
            <w:pPr>
              <w:pStyle w:val="BodyText"/>
            </w:pPr>
            <w:r w:rsidRPr="002E19DC">
              <w:t>5.2 Document equipment maintenance according to organisational procedures</w:t>
            </w:r>
          </w:p>
        </w:tc>
      </w:tr>
    </w:tbl>
    <w:p w:rsidR="00000000" w:rsidRPr="002E19DC" w:rsidP="002E19DC">
      <w:pPr>
        <w:pStyle w:val="List"/>
      </w:pPr>
    </w:p>
    <w:p w:rsidR="00000000" w:rsidRPr="002E19DC" w:rsidP="002E19DC">
      <w:pPr>
        <w:pStyle w:val="AllowPageBreak"/>
      </w:pPr>
    </w:p>
    <w:p w:rsidR="00000000" w:rsidRPr="002E19DC" w:rsidP="002E19DC">
      <w:pPr>
        <w:pStyle w:val="Heading1"/>
      </w:pPr>
      <w:bookmarkStart w:id="9" w:name="O_381441"/>
      <w:bookmarkEnd w:id="9"/>
      <w:r w:rsidRPr="002E19DC">
        <w:t>Required Skills and Knowledge</w:t>
      </w:r>
    </w:p>
    <w:tbl>
      <w:tblPr>
        <w:tblW w:w="0" w:type="auto"/>
        <w:tblLayout w:type="fixed"/>
        <w:tblCellMar>
          <w:left w:w="62" w:type="dxa"/>
          <w:right w:w="62" w:type="dxa"/>
        </w:tblCellMar>
        <w:tblLook w:val="0000"/>
      </w:tblPr>
      <w:tblGrid>
        <w:gridCol w:w="8578"/>
      </w:tblGrid>
      <w:tr w:rsidTr="002E19DC">
        <w:tblPrEx>
          <w:tblW w:w="0" w:type="auto"/>
          <w:tblLayout w:type="fixed"/>
          <w:tblCellMar>
            <w:left w:w="62" w:type="dxa"/>
            <w:right w:w="62" w:type="dxa"/>
          </w:tblCellMar>
          <w:tblLook w:val="0000"/>
        </w:tblPrEx>
        <w:tc>
          <w:tcPr>
            <w:tcW w:w="85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This describes the essential skills and knowledge and their level required for this unit.</w:t>
            </w:r>
          </w:p>
        </w:tc>
      </w:tr>
      <w:tr w:rsidTr="002E19DC">
        <w:tblPrEx>
          <w:tblW w:w="0" w:type="auto"/>
          <w:tblLayout w:type="fixed"/>
          <w:tblCellMar>
            <w:left w:w="62" w:type="dxa"/>
            <w:right w:w="62" w:type="dxa"/>
          </w:tblCellMar>
          <w:tblLook w:val="0000"/>
        </w:tblPrEx>
        <w:tc>
          <w:tcPr>
            <w:tcW w:w="85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Required skills:</w:t>
            </w:r>
          </w:p>
        </w:tc>
      </w:tr>
      <w:tr w:rsidTr="002E19DC">
        <w:tblPrEx>
          <w:tblW w:w="0" w:type="auto"/>
          <w:tblLayout w:type="fixed"/>
          <w:tblCellMar>
            <w:left w:w="62" w:type="dxa"/>
            <w:right w:w="62" w:type="dxa"/>
          </w:tblCellMar>
          <w:tblLook w:val="0000"/>
        </w:tblPrEx>
        <w:tc>
          <w:tcPr>
            <w:tcW w:w="8578"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Technical skills to:</w:t>
            </w:r>
          </w:p>
          <w:p w:rsidR="00000000" w:rsidRPr="002E19DC" w:rsidP="002E19DC">
            <w:pPr>
              <w:pStyle w:val="ListBullet2"/>
            </w:pPr>
            <w:r w:rsidRPr="002E19DC">
              <w:t>use and maintain relevant tools, machinery and equipment</w:t>
            </w:r>
          </w:p>
          <w:p w:rsidR="00000000" w:rsidRPr="002E19DC" w:rsidP="002E19DC">
            <w:pPr>
              <w:pStyle w:val="ListBullet2"/>
            </w:pPr>
            <w:r w:rsidRPr="002E19DC">
              <w:t>perform minor routine servicing of own vehicle</w:t>
            </w:r>
          </w:p>
          <w:p w:rsidR="00000000" w:rsidRPr="002E19DC" w:rsidP="002E19DC">
            <w:pPr>
              <w:pStyle w:val="ListBullet2"/>
            </w:pPr>
            <w:r w:rsidRPr="002E19DC">
              <w:t>use a snatch strap, winch or jack and other recovery equipment to recover a 4x4 vehicle</w:t>
            </w:r>
          </w:p>
          <w:p w:rsidR="00000000" w:rsidRPr="002E19DC" w:rsidP="002E19DC">
            <w:pPr>
              <w:pStyle w:val="ListBullet2"/>
            </w:pPr>
            <w:r w:rsidRPr="002E19DC">
              <w:t>conserve vehicle energy with appropriate throttle use</w:t>
            </w:r>
          </w:p>
          <w:p w:rsidR="00000000" w:rsidRPr="002E19DC" w:rsidP="002E19DC">
            <w:pPr>
              <w:pStyle w:val="ListBullet"/>
            </w:pPr>
            <w:r w:rsidRPr="002E19DC">
              <w:t>Communication skills to use appropriate communication and interpersonal techniques with colleagues and others</w:t>
            </w:r>
          </w:p>
          <w:p w:rsidR="00000000" w:rsidRPr="002E19DC" w:rsidP="002E19DC">
            <w:pPr>
              <w:pStyle w:val="ListBullet"/>
            </w:pPr>
            <w:r w:rsidRPr="002E19DC">
              <w:t>Literacy skills to:</w:t>
            </w:r>
          </w:p>
          <w:p w:rsidR="00000000" w:rsidRPr="002E19DC" w:rsidP="002E19DC">
            <w:pPr>
              <w:pStyle w:val="ListBullet2"/>
            </w:pPr>
            <w:r w:rsidRPr="002E19DC">
              <w:t>record and report workplace information</w:t>
            </w:r>
          </w:p>
          <w:p w:rsidR="00000000" w:rsidRPr="002E19DC" w:rsidP="002E19DC">
            <w:pPr>
              <w:pStyle w:val="ListBullet2"/>
            </w:pPr>
            <w:r w:rsidRPr="002E19DC">
              <w:t>maintain documentation</w:t>
            </w:r>
          </w:p>
          <w:p w:rsidR="00000000" w:rsidRPr="002E19DC" w:rsidP="002E19DC">
            <w:pPr>
              <w:pStyle w:val="ListBullet"/>
            </w:pPr>
            <w:r w:rsidRPr="002E19DC">
              <w:t>Numera</w:t>
            </w:r>
            <w:r w:rsidRPr="002E19DC">
              <w:t>cy skills to:</w:t>
            </w:r>
          </w:p>
          <w:p w:rsidR="00000000" w:rsidRPr="002E19DC" w:rsidP="002E19DC">
            <w:pPr>
              <w:pStyle w:val="ListBullet2"/>
            </w:pPr>
            <w:r w:rsidRPr="002E19DC">
              <w:t>estimate, measure and calculate time required to perform 4x4 drive recovery</w:t>
            </w:r>
          </w:p>
          <w:p w:rsidR="00000000" w:rsidRPr="002E19DC" w:rsidP="002E19DC">
            <w:pPr>
              <w:pStyle w:val="ListBullet2"/>
            </w:pPr>
            <w:r w:rsidRPr="002E19DC">
              <w:t>estimate and measure water depths, fuel consumption and other variables</w:t>
            </w:r>
          </w:p>
          <w:p w:rsidR="00000000" w:rsidRPr="002E19DC" w:rsidP="002E19DC">
            <w:pPr>
              <w:pStyle w:val="ListBullet"/>
            </w:pPr>
            <w:r w:rsidRPr="002E19DC">
              <w:t>Problem-solving skills to:</w:t>
            </w:r>
          </w:p>
          <w:p w:rsidR="00000000" w:rsidRPr="002E19DC" w:rsidP="002E19DC">
            <w:pPr>
              <w:pStyle w:val="ListBullet2"/>
            </w:pPr>
            <w:r w:rsidRPr="002E19DC">
              <w:t>identify problems and equipment faults</w:t>
            </w:r>
          </w:p>
          <w:p w:rsidR="00000000" w:rsidP="002E19DC">
            <w:pPr>
              <w:pStyle w:val="ListBullet2"/>
              <w:rPr>
                <w:lang w:val="en-NZ"/>
              </w:rPr>
            </w:pPr>
            <w:r w:rsidRPr="002E19DC">
              <w:t>demonstrate appropriate r</w:t>
            </w:r>
            <w:r w:rsidRPr="002E19DC">
              <w:t xml:space="preserve">esponse procedures </w:t>
            </w:r>
          </w:p>
        </w:tc>
      </w:tr>
      <w:tr w:rsidTr="002E19DC">
        <w:tblPrEx>
          <w:tblW w:w="0" w:type="auto"/>
          <w:tblLayout w:type="fixed"/>
          <w:tblCellMar>
            <w:left w:w="62" w:type="dxa"/>
            <w:right w:w="62" w:type="dxa"/>
          </w:tblCellMar>
          <w:tblLook w:val="0000"/>
        </w:tblPrEx>
        <w:tc>
          <w:tcPr>
            <w:tcW w:w="857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Required knowledge:</w:t>
            </w:r>
          </w:p>
        </w:tc>
      </w:tr>
      <w:tr w:rsidTr="002E19DC">
        <w:tblPrEx>
          <w:tblW w:w="0" w:type="auto"/>
          <w:tblLayout w:type="fixed"/>
          <w:tblCellMar>
            <w:left w:w="62" w:type="dxa"/>
            <w:right w:w="62" w:type="dxa"/>
          </w:tblCellMar>
          <w:tblLook w:val="0000"/>
        </w:tblPrEx>
        <w:tc>
          <w:tcPr>
            <w:tcW w:w="8578"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Applicable federal, state or territory legislation, regulations, standards, codes of practice and established safe practices relevant to the full range of processes for recovering a 4x4 vehicle</w:t>
            </w:r>
          </w:p>
          <w:p w:rsidR="00000000" w:rsidRPr="002E19DC" w:rsidP="002E19DC">
            <w:pPr>
              <w:pStyle w:val="ListBullet"/>
            </w:pPr>
            <w:r w:rsidRPr="002E19DC">
              <w:t>Environmental protection requirements, including the safe disposal of waste material and the minimisation of carbon emissions and environmental impact</w:t>
            </w:r>
          </w:p>
          <w:p w:rsidR="00000000" w:rsidRPr="002E19DC" w:rsidP="002E19DC">
            <w:pPr>
              <w:pStyle w:val="ListBullet"/>
            </w:pPr>
            <w:r w:rsidRPr="002E19DC">
              <w:t>Environmental risks and hazards relevant to recovering 4x4 vehicles in difficult terrain conditions</w:t>
            </w:r>
          </w:p>
          <w:p w:rsidR="00000000" w:rsidRPr="002E19DC" w:rsidP="002E19DC">
            <w:pPr>
              <w:pStyle w:val="ListBullet"/>
            </w:pPr>
            <w:r w:rsidRPr="002E19DC">
              <w:t>Techn</w:t>
            </w:r>
            <w:r w:rsidRPr="002E19DC">
              <w:t xml:space="preserve">iques to use jacks and other recovery equipment </w:t>
            </w:r>
          </w:p>
          <w:p w:rsidR="00000000" w:rsidRPr="002E19DC" w:rsidP="002E19DC">
            <w:pPr>
              <w:pStyle w:val="ListBullet"/>
            </w:pPr>
            <w:r w:rsidRPr="002E19DC">
              <w:t>Factors affecting choice of recovery equipment and mode of recovery</w:t>
            </w:r>
          </w:p>
          <w:p w:rsidR="00000000" w:rsidRPr="002E19DC" w:rsidP="002E19DC">
            <w:pPr>
              <w:pStyle w:val="ListBullet"/>
            </w:pPr>
            <w:r w:rsidRPr="002E19DC">
              <w:t>Issues to consider when defining danger zones</w:t>
            </w:r>
          </w:p>
          <w:p w:rsidR="00000000" w:rsidRPr="002E19DC" w:rsidP="002E19DC">
            <w:pPr>
              <w:pStyle w:val="ListBullet"/>
            </w:pPr>
            <w:r w:rsidRPr="002E19DC">
              <w:t>Effect of suction on vehicles to identify mass weight needed for cable and winch capacity</w:t>
            </w:r>
          </w:p>
          <w:p w:rsidR="00000000" w:rsidRPr="002E19DC" w:rsidP="002E19DC">
            <w:pPr>
              <w:pStyle w:val="ListBullet"/>
            </w:pPr>
            <w:r w:rsidRPr="002E19DC">
              <w:t xml:space="preserve">Hazards and safety issues associated with the use of jacks and recovery equipment </w:t>
            </w:r>
          </w:p>
          <w:p w:rsidR="00000000" w:rsidRPr="002E19DC" w:rsidP="002E19DC">
            <w:pPr>
              <w:pStyle w:val="ListBullet"/>
            </w:pPr>
            <w:r w:rsidRPr="002E19DC">
              <w:t>Environmental impacts of 4x4 operation</w:t>
            </w:r>
          </w:p>
          <w:p w:rsidR="00000000" w:rsidRPr="002E19DC" w:rsidP="002E19DC">
            <w:pPr>
              <w:pStyle w:val="ListBullet"/>
            </w:pPr>
            <w:r w:rsidRPr="002E19DC">
              <w:t>Types of tools and equipment, and procedures for their safe use and maintenance</w:t>
            </w:r>
          </w:p>
          <w:p w:rsidR="00000000" w:rsidRPr="002E19DC" w:rsidP="002E19DC">
            <w:pPr>
              <w:pStyle w:val="ListBullet"/>
            </w:pPr>
            <w:r w:rsidRPr="002E19DC">
              <w:t>Procedures for recording and reporting workplace infor</w:t>
            </w:r>
            <w:r w:rsidRPr="002E19DC">
              <w:t>mation</w:t>
            </w:r>
          </w:p>
        </w:tc>
      </w:tr>
    </w:tbl>
    <w:p w:rsidR="00000000" w:rsidRPr="002E19DC" w:rsidP="002E19DC">
      <w:pPr>
        <w:pStyle w:val="BodyText"/>
      </w:pPr>
    </w:p>
    <w:p w:rsidR="00000000" w:rsidRPr="002E19DC" w:rsidP="002E19DC">
      <w:pPr>
        <w:pStyle w:val="AllowPageBreak"/>
      </w:pPr>
    </w:p>
    <w:p w:rsidR="00000000" w:rsidRPr="002E19DC" w:rsidP="002E19DC">
      <w:pPr>
        <w:pStyle w:val="Heading1"/>
      </w:pPr>
      <w:bookmarkStart w:id="10" w:name="O_381442"/>
      <w:bookmarkEnd w:id="10"/>
      <w:r w:rsidRPr="002E19DC">
        <w:t>Evidence Guide</w:t>
      </w:r>
    </w:p>
    <w:tbl>
      <w:tblPr>
        <w:tblW w:w="0" w:type="auto"/>
        <w:tblLayout w:type="fixed"/>
        <w:tblCellMar>
          <w:left w:w="62" w:type="dxa"/>
          <w:right w:w="62" w:type="dxa"/>
        </w:tblCellMar>
        <w:tblLook w:val="0000"/>
      </w:tblPr>
      <w:tblGrid>
        <w:gridCol w:w="3358"/>
        <w:gridCol w:w="5220"/>
      </w:tblGrid>
      <w:tr w:rsidTr="002E19DC">
        <w:tblPrEx>
          <w:tblW w:w="0" w:type="auto"/>
          <w:tblLayout w:type="fixed"/>
          <w:tblCellMar>
            <w:left w:w="62" w:type="dxa"/>
            <w:right w:w="62" w:type="dxa"/>
          </w:tblCellMar>
          <w:tblLook w:val="0000"/>
        </w:tblPrEx>
        <w:tc>
          <w:tcPr>
            <w:tcW w:w="8578" w:type="dxa"/>
            <w:gridSpan w:val="2"/>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The evidence guide provides advice on assessment and must be read in conjunction with the performance criteria, required skills and knowledge, range statement and the Assessment Guidelines for the Training Package.</w:t>
            </w:r>
          </w:p>
        </w:tc>
      </w:tr>
      <w:tr w:rsidTr="002E19DC">
        <w:tblPrEx>
          <w:tblW w:w="0" w:type="auto"/>
          <w:tblLayout w:type="fixed"/>
          <w:tblCellMar>
            <w:left w:w="62" w:type="dxa"/>
            <w:right w:w="62" w:type="dxa"/>
          </w:tblCellMar>
          <w:tblLook w:val="0000"/>
        </w:tblPrEx>
        <w:trPr>
          <w:trHeight w:val="361"/>
        </w:trPr>
        <w:tc>
          <w:tcPr>
            <w:tcW w:w="335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Overview of assessment</w:t>
            </w:r>
          </w:p>
        </w:tc>
        <w:tc>
          <w:tcPr>
            <w:tcW w:w="522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A person who demonstrates competency in this unit must be able to provide evidence that they can recover 4x4 vehicles in difficult terrain conditions</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Critical aspects for assessment and evidence required to demonstrate competency in this unit</w:t>
            </w:r>
          </w:p>
        </w:tc>
        <w:tc>
          <w:tcPr>
            <w:tcW w:w="5220"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The evidence required to demonstrate competency in this unit must be relevant to and satisfy all of the requirements of the elements of this unit and include demon</w:t>
            </w:r>
            <w:r w:rsidRPr="002E19DC">
              <w:t>stration of:</w:t>
            </w:r>
          </w:p>
          <w:p w:rsidR="00000000" w:rsidRPr="002E19DC" w:rsidP="002E19DC">
            <w:pPr>
              <w:pStyle w:val="ListBullet"/>
            </w:pPr>
            <w:r w:rsidRPr="002E19DC">
              <w:t>using different vehicle jacks in different terrains and environmental conditions</w:t>
            </w:r>
          </w:p>
          <w:p w:rsidR="00000000" w:rsidRPr="002E19DC" w:rsidP="002E19DC">
            <w:pPr>
              <w:pStyle w:val="ListBullet"/>
            </w:pPr>
            <w:r w:rsidRPr="002E19DC">
              <w:t>using a winch and a snatch block (2:1) in difficult terrain, using ground anchor points for both hard ground and soft sand</w:t>
            </w:r>
          </w:p>
          <w:p w:rsidR="00000000" w:rsidRPr="002E19DC" w:rsidP="002E19DC">
            <w:pPr>
              <w:pStyle w:val="ListBullet"/>
            </w:pPr>
            <w:r w:rsidRPr="002E19DC">
              <w:t>using other types of recovery equipmen</w:t>
            </w:r>
            <w:r w:rsidRPr="002E19DC">
              <w:t>t in a safe and efficient manner</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Context of and specific resources for assessment</w:t>
            </w:r>
          </w:p>
        </w:tc>
        <w:tc>
          <w:tcPr>
            <w:tcW w:w="5220"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Competency is to be assessed in the workplace or a realistically simulated workplace</w:t>
            </w:r>
          </w:p>
          <w:p w:rsidR="00000000" w:rsidRPr="002E19DC" w:rsidP="002E19DC">
            <w:pPr>
              <w:pStyle w:val="ListBullet"/>
            </w:pPr>
            <w:r w:rsidRPr="002E19DC">
              <w:t>Assessment is to occur under standard and authorised work practices, safety requirements and environmental constraints</w:t>
            </w:r>
          </w:p>
          <w:p w:rsidR="00000000" w:rsidRPr="002E19DC" w:rsidP="002E19DC">
            <w:pPr>
              <w:pStyle w:val="ListBullet"/>
            </w:pPr>
            <w:r w:rsidRPr="002E19DC">
              <w:t>Assessment of required knowledge, other than confirmatory questions, will usually be conducted in an off-site context</w:t>
            </w:r>
          </w:p>
          <w:p w:rsidR="00000000" w:rsidRPr="002E19DC" w:rsidP="002E19DC">
            <w:pPr>
              <w:pStyle w:val="ListBullet"/>
            </w:pPr>
            <w:r w:rsidRPr="002E19DC">
              <w:t>Assessment is to fo</w:t>
            </w:r>
            <w:r w:rsidRPr="002E19DC">
              <w:t>llow regulatory requirements and Australian standards</w:t>
            </w:r>
          </w:p>
          <w:p w:rsidR="00000000" w:rsidRPr="002E19DC" w:rsidP="002E19DC">
            <w:pPr>
              <w:pStyle w:val="ListBullet"/>
            </w:pPr>
            <w:r w:rsidRPr="002E19DC">
              <w:t>The following resources should be made available:</w:t>
            </w:r>
          </w:p>
          <w:p w:rsidR="00000000" w:rsidRPr="002E19DC" w:rsidP="002E19DC">
            <w:pPr>
              <w:pStyle w:val="ListBullet2"/>
            </w:pPr>
            <w:r w:rsidRPr="002E19DC">
              <w:t>workplace location or simulated workplace</w:t>
            </w:r>
          </w:p>
          <w:p w:rsidR="00000000" w:rsidRPr="002E19DC" w:rsidP="002E19DC">
            <w:pPr>
              <w:pStyle w:val="ListBullet2"/>
            </w:pPr>
            <w:r w:rsidRPr="002E19DC">
              <w:t>materials and equipment relevant to undertaking work applicable to this unit</w:t>
            </w:r>
          </w:p>
          <w:p w:rsidR="00000000" w:rsidRPr="002E19DC" w:rsidP="002E19DC">
            <w:pPr>
              <w:pStyle w:val="ListBullet2"/>
            </w:pPr>
            <w:r w:rsidRPr="002E19DC">
              <w:t>specifications and work instructions</w:t>
            </w:r>
          </w:p>
          <w:p w:rsidR="00000000" w:rsidRPr="002E19DC" w:rsidP="002E19DC">
            <w:pPr>
              <w:pStyle w:val="ListBullet2"/>
            </w:pPr>
            <w:r w:rsidRPr="002E19DC">
              <w:t xml:space="preserve">4x4 vehicle </w:t>
            </w:r>
          </w:p>
          <w:p w:rsidR="00000000" w:rsidRPr="002E19DC" w:rsidP="002E19DC">
            <w:pPr>
              <w:pStyle w:val="ListBullet"/>
            </w:pPr>
            <w:r w:rsidRPr="002E19DC">
              <w:t>Assessment of this competency requires access to:</w:t>
            </w:r>
          </w:p>
          <w:p w:rsidR="00000000" w:rsidRPr="002E19DC" w:rsidP="002E19DC">
            <w:pPr>
              <w:pStyle w:val="ListBullet2"/>
            </w:pPr>
            <w:r w:rsidRPr="002E19DC">
              <w:t>appropriate 4x4 vehicle</w:t>
            </w:r>
          </w:p>
          <w:p w:rsidR="00000000" w:rsidRPr="002E19DC" w:rsidP="002E19DC">
            <w:pPr>
              <w:pStyle w:val="ListBullet2"/>
            </w:pPr>
            <w:r w:rsidRPr="002E19DC">
              <w:t>a suitable outdoor environment with difficult terrain where four-wheel drive skills may be demonstrated</w:t>
            </w:r>
          </w:p>
          <w:p w:rsidR="00000000" w:rsidRPr="002E19DC" w:rsidP="002E19DC">
            <w:pPr>
              <w:pStyle w:val="ListBullet2"/>
            </w:pPr>
            <w:r w:rsidRPr="002E19DC">
              <w:t>maintenance and repair res</w:t>
            </w:r>
            <w:r w:rsidRPr="002E19DC">
              <w:t>ources</w:t>
            </w:r>
          </w:p>
          <w:p w:rsidR="00000000" w:rsidRPr="002E19DC" w:rsidP="002E19DC">
            <w:pPr>
              <w:pStyle w:val="ListBullet2"/>
            </w:pPr>
            <w:r w:rsidRPr="002E19DC">
              <w:t>vehicle recovery equipment</w:t>
            </w:r>
          </w:p>
          <w:p w:rsidR="00000000" w:rsidRPr="002E19DC" w:rsidP="002E19DC">
            <w:pPr>
              <w:pStyle w:val="ListBullet2"/>
            </w:pPr>
            <w:r w:rsidRPr="002E19DC">
              <w:t>food and water resources</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Method of assessment</w:t>
            </w:r>
          </w:p>
        </w:tc>
        <w:tc>
          <w:tcPr>
            <w:tcW w:w="5220"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 xml:space="preserve">Due to issues such as the variation in terrain and possible recovery scenarios, </w:t>
            </w:r>
            <w:r w:rsidRPr="002E19DC">
              <w:t>this unit must be assessed over a minimum of two different occasions and two different techniques, in order to ensure consistency of performance over the range statement variables and applicable contexts</w:t>
            </w:r>
          </w:p>
          <w:p w:rsidR="00000000" w:rsidRPr="002E19DC" w:rsidP="002E19DC">
            <w:pPr>
              <w:pStyle w:val="ListBullet"/>
            </w:pPr>
            <w:r w:rsidRPr="002E19DC">
              <w:t>Assessment methods must satisfy the endorsed Assessm</w:t>
            </w:r>
            <w:r w:rsidRPr="002E19DC">
              <w:t>ent Guidelines of the FPI11 Training Package</w:t>
            </w:r>
          </w:p>
          <w:p w:rsidR="00000000" w:rsidRPr="002E19DC" w:rsidP="002E19DC">
            <w:pPr>
              <w:pStyle w:val="ListBullet"/>
            </w:pPr>
            <w:r w:rsidRPr="002E19DC">
              <w:t>Assessment methods must confirm consistency and accuracy of performance (over time and in a range of workplace relevant contexts) together with application of required knowledge</w:t>
            </w:r>
          </w:p>
          <w:p w:rsidR="00000000" w:rsidRPr="002E19DC" w:rsidP="002E19DC">
            <w:pPr>
              <w:pStyle w:val="ListBullet"/>
            </w:pPr>
            <w:r w:rsidRPr="002E19DC">
              <w:t>Assessment must be by direct obse</w:t>
            </w:r>
            <w:r w:rsidRPr="002E19DC">
              <w:t>rvation of tasks, with questioning on required knowledge and it must also reinforce the integration of employability skills</w:t>
            </w:r>
          </w:p>
          <w:p w:rsidR="00000000" w:rsidRPr="002E19DC" w:rsidP="002E19DC">
            <w:pPr>
              <w:pStyle w:val="ListBullet"/>
            </w:pPr>
            <w:r w:rsidRPr="002E19DC">
              <w:t>Assessment methods must confirm the ability to access, interpret and apply the required knowledge</w:t>
            </w:r>
          </w:p>
          <w:p w:rsidR="00000000" w:rsidRPr="002E19DC" w:rsidP="002E19DC">
            <w:pPr>
              <w:pStyle w:val="ListBullet"/>
            </w:pPr>
            <w:r w:rsidRPr="002E19DC">
              <w:t>Assessment may be applied under pr</w:t>
            </w:r>
            <w:r w:rsidRPr="002E19DC">
              <w:t>oject-related conditions (real or simulated) and require evidence of process</w:t>
            </w:r>
          </w:p>
          <w:p w:rsidR="00000000" w:rsidRPr="002E19DC" w:rsidP="002E19DC">
            <w:pPr>
              <w:pStyle w:val="ListBullet"/>
            </w:pPr>
            <w:r w:rsidRPr="002E19DC">
              <w:t>Assessment must confirm a reasonable inference that competency is able not only to be satisfied under the particular circumstance, but is able to be transferred to other circumsta</w:t>
            </w:r>
            <w:r w:rsidRPr="002E19DC">
              <w:t>nces</w:t>
            </w:r>
          </w:p>
          <w:p w:rsidR="00000000" w:rsidRPr="002E19DC" w:rsidP="002E19DC">
            <w:pPr>
              <w:pStyle w:val="ListBullet"/>
            </w:pPr>
            <w:r w:rsidRPr="002E19DC">
              <w:t>Assessment may be in conjunction with assessment of other units of competency</w:t>
            </w:r>
          </w:p>
          <w:p w:rsidR="00000000" w:rsidRPr="002E19DC" w:rsidP="002E19DC">
            <w:pPr>
              <w:pStyle w:val="ListBullet"/>
            </w:pPr>
            <w:r w:rsidRPr="002E19DC">
              <w:t>The assessment environment should not disadvantage the candidate</w:t>
            </w:r>
          </w:p>
          <w:p w:rsidR="00000000" w:rsidRPr="002E19DC" w:rsidP="002E19DC">
            <w:pPr>
              <w:pStyle w:val="ListBullet"/>
            </w:pPr>
            <w:r w:rsidRPr="002E19DC">
              <w:t>Assessment practices should take into account any relevant language or cultural issues related to Aboriginal</w:t>
            </w:r>
            <w:r w:rsidRPr="002E19DC">
              <w:t>ity, gender or language backgrounds other than English</w:t>
            </w:r>
          </w:p>
          <w:p w:rsidR="00000000" w:rsidRPr="002E19DC" w:rsidP="002E19DC">
            <w:pPr>
              <w:pStyle w:val="ListBullet"/>
            </w:pPr>
            <w:r w:rsidRPr="002E19DC">
              <w:t>Where the participant has a disability, reasonable adjustment may be applied during assessment</w:t>
            </w:r>
          </w:p>
          <w:p w:rsidR="00000000" w:rsidRPr="002E19DC" w:rsidP="002E19DC">
            <w:pPr>
              <w:pStyle w:val="ListBullet"/>
            </w:pPr>
            <w:r w:rsidRPr="002E19DC">
              <w:t>Language and literacy demands of the assessment task should not be higher than those of the work role</w:t>
            </w:r>
          </w:p>
        </w:tc>
      </w:tr>
    </w:tbl>
    <w:p w:rsidR="00000000" w:rsidRPr="002E19DC" w:rsidP="002E19DC">
      <w:pPr>
        <w:pStyle w:val="BodyText"/>
      </w:pPr>
    </w:p>
    <w:p w:rsidR="00000000" w:rsidRPr="002E19DC" w:rsidP="002E19DC">
      <w:pPr>
        <w:pStyle w:val="AllowPageBreak"/>
      </w:pPr>
    </w:p>
    <w:p w:rsidR="00000000" w:rsidRPr="002E19DC" w:rsidP="002E19DC">
      <w:pPr>
        <w:pStyle w:val="Heading1"/>
      </w:pPr>
      <w:bookmarkStart w:id="11" w:name="O_381443"/>
      <w:bookmarkEnd w:id="11"/>
      <w:r w:rsidRPr="002E19DC">
        <w:t>Range Statement</w:t>
      </w:r>
    </w:p>
    <w:tbl>
      <w:tblPr>
        <w:tblW w:w="0" w:type="auto"/>
        <w:tblLayout w:type="fixed"/>
        <w:tblCellMar>
          <w:left w:w="62" w:type="dxa"/>
          <w:right w:w="62" w:type="dxa"/>
        </w:tblCellMar>
        <w:tblLook w:val="0000"/>
      </w:tblPr>
      <w:tblGrid>
        <w:gridCol w:w="3140"/>
        <w:gridCol w:w="6056"/>
      </w:tblGrid>
      <w:tr w:rsidTr="002E19DC">
        <w:tblPrEx>
          <w:tblW w:w="0" w:type="auto"/>
          <w:tblLayout w:type="fixed"/>
          <w:tblCellMar>
            <w:left w:w="62" w:type="dxa"/>
            <w:right w:w="62" w:type="dxa"/>
          </w:tblCellMar>
          <w:tblLook w:val="0000"/>
        </w:tblPrEx>
        <w:tc>
          <w:tcPr>
            <w:tcW w:w="9196" w:type="dxa"/>
            <w:gridSpan w:val="2"/>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t>The range statement relates to the unit of competency as a whole. It allows for different work environments and situations that may affect performance. Bold italicised wording, if used in the performance criteria, is detaile</w:t>
            </w:r>
            <w:r w:rsidRPr="002E19DC">
              <w:t>d below. Essential operating conditions that may be present with training and assessment (depending on the work situation, needs of the candidate, accessibility of the item, and local industry and regional contexts) may also be included.</w:t>
            </w: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OHS requirements</w:t>
            </w:r>
            <w:r w:rsidRPr="002E19DC">
              <w:rPr>
                <w:rStyle w:val="SpecialBold"/>
              </w:rPr>
              <w:t>:</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are to be in line with federal, state or territory legislation and regulations, and organisational safety policies and procedures, and may include:</w:t>
            </w:r>
          </w:p>
          <w:p w:rsidR="00000000" w:rsidRPr="002E19DC" w:rsidP="002E19DC">
            <w:pPr>
              <w:pStyle w:val="ListBullet2"/>
            </w:pPr>
            <w:r w:rsidRPr="002E19DC">
              <w:t>PPE and clothing</w:t>
            </w:r>
          </w:p>
          <w:p w:rsidR="00000000" w:rsidRPr="002E19DC" w:rsidP="002E19DC">
            <w:pPr>
              <w:pStyle w:val="ListBullet2"/>
            </w:pPr>
            <w:r w:rsidRPr="002E19DC">
              <w:t>safety equipment</w:t>
            </w:r>
          </w:p>
          <w:p w:rsidR="00000000" w:rsidRPr="002E19DC" w:rsidP="002E19DC">
            <w:pPr>
              <w:pStyle w:val="ListBullet2"/>
            </w:pPr>
            <w:r w:rsidRPr="002E19DC">
              <w:t>current first aid equipment in vehicle</w:t>
            </w:r>
          </w:p>
          <w:p w:rsidR="00000000" w:rsidRPr="002E19DC" w:rsidP="002E19DC">
            <w:pPr>
              <w:pStyle w:val="ListBullet2"/>
            </w:pPr>
            <w:r w:rsidRPr="002E19DC">
              <w:t>current vehicle firefighting equipment</w:t>
            </w:r>
          </w:p>
          <w:p w:rsidR="00000000" w:rsidRPr="002E19DC" w:rsidP="002E19DC">
            <w:pPr>
              <w:pStyle w:val="ListBullet2"/>
            </w:pPr>
            <w:r w:rsidRPr="002E19DC">
              <w:t>hazard and risk control</w:t>
            </w:r>
          </w:p>
          <w:p w:rsidR="00000000" w:rsidRPr="002E19DC" w:rsidP="002E19DC">
            <w:pPr>
              <w:pStyle w:val="ListBullet2"/>
            </w:pPr>
            <w:r w:rsidRPr="002E19DC">
              <w:t>fatigue management</w:t>
            </w:r>
          </w:p>
          <w:p w:rsidR="00000000" w:rsidRPr="002E19DC" w:rsidP="002E19DC">
            <w:pPr>
              <w:pStyle w:val="ListBullet2"/>
            </w:pPr>
            <w:r w:rsidRPr="002E19DC">
              <w:t>elimination of hazardous materials and substances</w:t>
            </w:r>
          </w:p>
          <w:p w:rsidR="00000000" w:rsidRPr="002E19DC" w:rsidP="002E19DC">
            <w:pPr>
              <w:pStyle w:val="ListBullet2"/>
            </w:pPr>
            <w:r w:rsidRPr="002E19DC">
              <w:t>safe forest practices, including required actions relating to forest fire</w:t>
            </w:r>
          </w:p>
          <w:p w:rsidR="00000000" w:rsidRPr="002E19DC" w:rsidP="002E19DC">
            <w:pPr>
              <w:pStyle w:val="ListBullet2"/>
            </w:pPr>
            <w:r w:rsidRPr="002E19DC">
              <w:t>techniques for manual handling, including shifting</w:t>
            </w:r>
            <w:r w:rsidRPr="002E19DC">
              <w:t>, lifting and carrying</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Environmental requirements</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legislation</w:t>
            </w:r>
          </w:p>
          <w:p w:rsidR="00000000" w:rsidRPr="002E19DC" w:rsidP="002E19DC">
            <w:pPr>
              <w:pStyle w:val="ListBullet"/>
            </w:pPr>
            <w:r w:rsidRPr="002E19DC">
              <w:t>organisational policies and procedures</w:t>
            </w:r>
          </w:p>
          <w:p w:rsidR="00000000" w:rsidRPr="002E19DC" w:rsidP="002E19DC">
            <w:pPr>
              <w:pStyle w:val="ListBullet"/>
            </w:pPr>
            <w:r w:rsidRPr="002E19DC">
              <w:t>workplace practices</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Legislative requirements:</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are to be in line with federal, state or territory legislation, regulatio</w:t>
            </w:r>
            <w:r w:rsidRPr="002E19DC">
              <w:t>ns, certification requirements and codes of practice and may include:</w:t>
            </w:r>
          </w:p>
          <w:p w:rsidR="00000000" w:rsidRPr="002E19DC" w:rsidP="002E19DC">
            <w:pPr>
              <w:pStyle w:val="ListBullet2"/>
            </w:pPr>
            <w:r w:rsidRPr="002E19DC">
              <w:t>award and organisational agreements</w:t>
            </w:r>
          </w:p>
          <w:p w:rsidR="00000000" w:rsidRPr="002E19DC" w:rsidP="002E19DC">
            <w:pPr>
              <w:pStyle w:val="ListBullet2"/>
            </w:pPr>
            <w:r w:rsidRPr="002E19DC">
              <w:t>industrial relations</w:t>
            </w:r>
          </w:p>
          <w:p w:rsidR="00000000" w:rsidRPr="002E19DC" w:rsidP="002E19DC">
            <w:pPr>
              <w:pStyle w:val="ListBullet2"/>
            </w:pPr>
            <w:r w:rsidRPr="002E19DC">
              <w:t>Australian standards</w:t>
            </w:r>
          </w:p>
          <w:p w:rsidR="00000000" w:rsidRPr="002E19DC" w:rsidP="002E19DC">
            <w:pPr>
              <w:pStyle w:val="ListBullet2"/>
            </w:pPr>
            <w:r w:rsidRPr="002E19DC">
              <w:t>confidentiality and privacy</w:t>
            </w:r>
          </w:p>
          <w:p w:rsidR="00000000" w:rsidRPr="002E19DC" w:rsidP="002E19DC">
            <w:pPr>
              <w:pStyle w:val="ListBullet2"/>
            </w:pPr>
            <w:r w:rsidRPr="002E19DC">
              <w:t>OHS</w:t>
            </w:r>
          </w:p>
          <w:p w:rsidR="00000000" w:rsidRPr="002E19DC" w:rsidP="002E19DC">
            <w:pPr>
              <w:pStyle w:val="ListBullet2"/>
            </w:pPr>
            <w:r w:rsidRPr="002E19DC">
              <w:t>the environment</w:t>
            </w:r>
          </w:p>
          <w:p w:rsidR="00000000" w:rsidRPr="002E19DC" w:rsidP="002E19DC">
            <w:pPr>
              <w:pStyle w:val="ListBullet2"/>
            </w:pPr>
            <w:r w:rsidRPr="002E19DC">
              <w:t>equal employment opportunity</w:t>
            </w:r>
          </w:p>
          <w:p w:rsidR="00000000" w:rsidRPr="002E19DC" w:rsidP="002E19DC">
            <w:pPr>
              <w:pStyle w:val="ListBullet2"/>
            </w:pPr>
            <w:r w:rsidRPr="002E19DC">
              <w:t>anti-discrimination</w:t>
            </w:r>
          </w:p>
          <w:p w:rsidR="00000000" w:rsidRPr="002E19DC" w:rsidP="002E19DC">
            <w:pPr>
              <w:pStyle w:val="ListBullet2"/>
            </w:pPr>
            <w:r w:rsidRPr="002E19DC">
              <w:t>relevant industry codes of practice</w:t>
            </w:r>
          </w:p>
          <w:p w:rsidR="00000000" w:rsidRPr="002E19DC" w:rsidP="002E19DC">
            <w:pPr>
              <w:pStyle w:val="ListBullet2"/>
            </w:pPr>
            <w:r w:rsidRPr="002E19DC">
              <w:t>duty of care</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Organisational requirements</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legal compliance documentation</w:t>
            </w:r>
          </w:p>
          <w:p w:rsidR="00000000" w:rsidRPr="002E19DC" w:rsidP="002E19DC">
            <w:pPr>
              <w:pStyle w:val="ListBullet"/>
            </w:pPr>
            <w:r w:rsidRPr="002E19DC">
              <w:t>organisational and site guidelines</w:t>
            </w:r>
          </w:p>
          <w:p w:rsidR="00000000" w:rsidRPr="002E19DC" w:rsidP="002E19DC">
            <w:pPr>
              <w:pStyle w:val="ListBullet"/>
            </w:pPr>
            <w:r w:rsidRPr="002E19DC">
              <w:t>policies and procedures relating to own role and responsibility</w:t>
            </w:r>
          </w:p>
          <w:p w:rsidR="00000000" w:rsidRPr="002E19DC" w:rsidP="002E19DC">
            <w:pPr>
              <w:pStyle w:val="ListBullet"/>
            </w:pPr>
            <w:r w:rsidRPr="002E19DC">
              <w:t>procedural manuals</w:t>
            </w:r>
          </w:p>
          <w:p w:rsidR="00000000" w:rsidRPr="002E19DC" w:rsidP="002E19DC">
            <w:pPr>
              <w:pStyle w:val="ListBullet"/>
            </w:pPr>
            <w:r w:rsidRPr="002E19DC">
              <w:t>quality and continuous improvement processes and standards</w:t>
            </w:r>
          </w:p>
          <w:p w:rsidR="00000000" w:rsidRPr="002E19DC" w:rsidP="002E19DC">
            <w:pPr>
              <w:pStyle w:val="ListBullet"/>
            </w:pPr>
            <w:r w:rsidRPr="002E19DC">
              <w:t>OHS, emergency and evacuation procedures</w:t>
            </w:r>
          </w:p>
          <w:p w:rsidR="00000000" w:rsidRPr="002E19DC" w:rsidP="002E19DC">
            <w:pPr>
              <w:pStyle w:val="ListBullet"/>
            </w:pPr>
            <w:r w:rsidRPr="002E19DC">
              <w:t>ethical standards</w:t>
            </w:r>
          </w:p>
          <w:p w:rsidR="00000000" w:rsidRPr="002E19DC" w:rsidP="002E19DC">
            <w:pPr>
              <w:pStyle w:val="ListBullet"/>
            </w:pPr>
            <w:r w:rsidRPr="002E19DC">
              <w:t>recording and reporting requirements</w:t>
            </w:r>
          </w:p>
          <w:p w:rsidR="00000000" w:rsidRPr="002E19DC" w:rsidP="002E19DC">
            <w:pPr>
              <w:pStyle w:val="ListBullet"/>
            </w:pPr>
            <w:r w:rsidRPr="002E19DC">
              <w:t>equipment use, maintenance and storage requirements</w:t>
            </w:r>
          </w:p>
          <w:p w:rsidR="00000000" w:rsidRPr="002E19DC" w:rsidP="002E19DC">
            <w:pPr>
              <w:pStyle w:val="ListBullet"/>
            </w:pPr>
            <w:r w:rsidRPr="002E19DC">
              <w:t xml:space="preserve">environmental management requirements, including </w:t>
            </w:r>
            <w:r w:rsidRPr="002E19DC">
              <w:t>waste minimisation and disposal, recycling and re-use guidelines</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Personal protective equipment</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boots</w:t>
            </w:r>
          </w:p>
          <w:p w:rsidR="00000000" w:rsidRPr="002E19DC" w:rsidP="002E19DC">
            <w:pPr>
              <w:pStyle w:val="ListBullet"/>
            </w:pPr>
            <w:r w:rsidRPr="002E19DC">
              <w:t>gloves</w:t>
            </w:r>
          </w:p>
          <w:p w:rsidR="00000000" w:rsidRPr="002E19DC" w:rsidP="002E19DC">
            <w:pPr>
              <w:pStyle w:val="ListBullet"/>
            </w:pPr>
            <w:r w:rsidRPr="002E19DC">
              <w:t>eye protection</w:t>
            </w:r>
          </w:p>
          <w:p w:rsidR="00000000" w:rsidRPr="002E19DC" w:rsidP="002E19DC">
            <w:pPr>
              <w:pStyle w:val="ListBullet"/>
            </w:pPr>
            <w:r w:rsidRPr="002E19DC">
              <w:t>long pants</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Informed</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verbal or written</w:t>
            </w:r>
          </w:p>
          <w:p w:rsidR="00000000" w:rsidRPr="002E19DC" w:rsidP="002E19DC">
            <w:pPr>
              <w:pStyle w:val="ListBullet"/>
            </w:pPr>
            <w:r w:rsidRPr="002E19DC">
              <w:t xml:space="preserve">emergency positioning </w:t>
            </w:r>
          </w:p>
          <w:p w:rsidR="00000000" w:rsidRPr="002E19DC" w:rsidP="002E19DC">
            <w:pPr>
              <w:pStyle w:val="ListBullet"/>
            </w:pPr>
            <w:r w:rsidRPr="002E19DC">
              <w:t>personal location beacon (PLB)</w:t>
            </w:r>
          </w:p>
          <w:p w:rsidR="00000000" w:rsidRPr="002E19DC" w:rsidP="002E19DC">
            <w:pPr>
              <w:pStyle w:val="ListBullet"/>
            </w:pPr>
            <w:r w:rsidRPr="002E19DC">
              <w:t>flares</w:t>
            </w:r>
          </w:p>
          <w:p w:rsidR="00000000" w:rsidRPr="002E19DC" w:rsidP="002E19DC">
            <w:pPr>
              <w:pStyle w:val="ListBullet"/>
            </w:pPr>
            <w:r w:rsidRPr="002E19DC">
              <w:t>markers</w:t>
            </w:r>
          </w:p>
          <w:p w:rsidR="00000000" w:rsidRPr="002E19DC" w:rsidP="002E19DC">
            <w:pPr>
              <w:pStyle w:val="ListBullet"/>
            </w:pPr>
            <w:r w:rsidRPr="002E19DC">
              <w:t>phone</w:t>
            </w:r>
          </w:p>
          <w:p w:rsidR="00000000" w:rsidRPr="002E19DC" w:rsidP="002E19DC">
            <w:pPr>
              <w:pStyle w:val="ListBullet"/>
            </w:pPr>
            <w:r w:rsidRPr="002E19DC">
              <w:t>radio</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Operating variables</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type of recovery equipment used and associated risks, e.g. possibility of cable or rope failure</w:t>
            </w:r>
          </w:p>
          <w:p w:rsidR="00000000" w:rsidRPr="002E19DC" w:rsidP="002E19DC">
            <w:pPr>
              <w:pStyle w:val="ListBullet"/>
            </w:pPr>
            <w:r w:rsidRPr="002E19DC">
              <w:t>direction of recovery</w:t>
            </w:r>
          </w:p>
          <w:p w:rsidR="00000000" w:rsidRPr="002E19DC" w:rsidP="002E19DC">
            <w:pPr>
              <w:pStyle w:val="ListBullet"/>
            </w:pPr>
            <w:r w:rsidRPr="002E19DC">
              <w:t>suitable protection</w:t>
            </w:r>
          </w:p>
          <w:p w:rsidR="00000000" w:rsidRPr="002E19DC" w:rsidP="002E19DC">
            <w:pPr>
              <w:pStyle w:val="ListBullet"/>
            </w:pPr>
            <w:r w:rsidRPr="002E19DC">
              <w:t>potential for vehicle roll or fall</w:t>
            </w:r>
          </w:p>
          <w:p w:rsidR="00000000" w:rsidRPr="002E19DC" w:rsidP="002E19DC">
            <w:pPr>
              <w:pStyle w:val="ListBullet"/>
            </w:pPr>
            <w:r w:rsidRPr="002E19DC">
              <w:t>effect of suction on cable/winch capacity</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Applied strategies</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defining a danger zone</w:t>
            </w:r>
          </w:p>
          <w:p w:rsidR="00000000" w:rsidRPr="002E19DC" w:rsidP="002E19DC">
            <w:pPr>
              <w:pStyle w:val="ListBullet"/>
            </w:pPr>
            <w:r w:rsidRPr="002E19DC">
              <w:t>safely using equipment</w:t>
            </w:r>
          </w:p>
          <w:p w:rsidR="00000000" w:rsidRPr="002E19DC" w:rsidP="002E19DC">
            <w:pPr>
              <w:pStyle w:val="ListBullet"/>
            </w:pPr>
            <w:r w:rsidRPr="002E19DC">
              <w:t>using rated equipment where practicable</w:t>
            </w:r>
          </w:p>
          <w:p w:rsidR="00000000" w:rsidRPr="002E19DC" w:rsidP="002E19DC">
            <w:pPr>
              <w:pStyle w:val="ListBullet"/>
            </w:pPr>
            <w:r w:rsidRPr="002E19DC">
              <w:t>safe operating procedures</w:t>
            </w:r>
          </w:p>
          <w:p w:rsidR="00000000" w:rsidRPr="002E19DC" w:rsidP="002E19DC">
            <w:pPr>
              <w:pStyle w:val="ListBullet"/>
            </w:pPr>
            <w:r w:rsidRPr="002E19DC">
              <w:t>risk assessment practices</w:t>
            </w:r>
          </w:p>
          <w:p w:rsidR="00000000" w:rsidRPr="002E19DC" w:rsidP="002E19DC">
            <w:pPr>
              <w:pStyle w:val="ListBullet"/>
            </w:pPr>
            <w:r w:rsidRPr="002E19DC">
              <w:t>ensuring only appropriate personnel are i</w:t>
            </w:r>
            <w:r w:rsidRPr="002E19DC">
              <w:t>n danger zone</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Recovery equipment</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cables</w:t>
            </w:r>
          </w:p>
          <w:p w:rsidR="00000000" w:rsidRPr="002E19DC" w:rsidP="002E19DC">
            <w:pPr>
              <w:pStyle w:val="ListBullet"/>
            </w:pPr>
            <w:r w:rsidRPr="002E19DC">
              <w:t>jacks</w:t>
            </w:r>
          </w:p>
          <w:p w:rsidR="00000000" w:rsidRPr="002E19DC" w:rsidP="002E19DC">
            <w:pPr>
              <w:pStyle w:val="ListBullet"/>
            </w:pPr>
            <w:r w:rsidRPr="002E19DC">
              <w:t>tow ropes</w:t>
            </w:r>
          </w:p>
          <w:p w:rsidR="00000000" w:rsidRPr="002E19DC" w:rsidP="002E19DC">
            <w:pPr>
              <w:pStyle w:val="ListBullet"/>
            </w:pPr>
            <w:r w:rsidRPr="002E19DC">
              <w:t>tree protectors</w:t>
            </w:r>
          </w:p>
          <w:p w:rsidR="00000000" w:rsidRPr="002E19DC" w:rsidP="002E19DC">
            <w:pPr>
              <w:pStyle w:val="ListBullet"/>
            </w:pPr>
            <w:r w:rsidRPr="002E19DC">
              <w:t>shackles</w:t>
            </w:r>
          </w:p>
          <w:p w:rsidR="00000000" w:rsidRPr="002E19DC" w:rsidP="002E19DC">
            <w:pPr>
              <w:pStyle w:val="ListBullet"/>
            </w:pPr>
            <w:r w:rsidRPr="002E19DC">
              <w:t>chains</w:t>
            </w:r>
          </w:p>
          <w:p w:rsidR="00000000" w:rsidRPr="002E19DC" w:rsidP="002E19DC">
            <w:pPr>
              <w:pStyle w:val="ListBullet"/>
            </w:pPr>
            <w:r w:rsidRPr="002E19DC">
              <w:t>recovery straps</w:t>
            </w:r>
          </w:p>
          <w:p w:rsidR="00000000" w:rsidRPr="002E19DC" w:rsidP="002E19DC">
            <w:pPr>
              <w:pStyle w:val="ListBullet"/>
            </w:pPr>
            <w:r w:rsidRPr="002E19DC">
              <w:t>snatch straps</w:t>
            </w:r>
          </w:p>
          <w:p w:rsidR="00000000" w:rsidRPr="002E19DC" w:rsidP="002E19DC">
            <w:pPr>
              <w:pStyle w:val="ListBullet"/>
            </w:pPr>
            <w:r w:rsidRPr="002E19DC">
              <w:t>winch and snatch block</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Communication</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verbal and non-verbal language</w:t>
            </w:r>
          </w:p>
          <w:p w:rsidR="00000000" w:rsidRPr="002E19DC" w:rsidP="002E19DC">
            <w:pPr>
              <w:pStyle w:val="ListBullet"/>
            </w:pPr>
            <w:r w:rsidRPr="002E19DC">
              <w:t>radio protocols</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Terrain conditions</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smooth</w:t>
            </w:r>
          </w:p>
          <w:p w:rsidR="00000000" w:rsidRPr="002E19DC" w:rsidP="002E19DC">
            <w:pPr>
              <w:pStyle w:val="ListBullet"/>
            </w:pPr>
            <w:r w:rsidRPr="002E19DC">
              <w:t>rough</w:t>
            </w:r>
          </w:p>
          <w:p w:rsidR="00000000" w:rsidRPr="002E19DC" w:rsidP="002E19DC">
            <w:pPr>
              <w:pStyle w:val="ListBullet"/>
            </w:pPr>
            <w:r w:rsidRPr="002E19DC">
              <w:t>uneven</w:t>
            </w:r>
          </w:p>
          <w:p w:rsidR="00000000" w:rsidRPr="002E19DC" w:rsidP="002E19DC">
            <w:pPr>
              <w:pStyle w:val="ListBullet"/>
            </w:pPr>
            <w:r w:rsidRPr="002E19DC">
              <w:t>slippery</w:t>
            </w:r>
          </w:p>
          <w:p w:rsidR="00000000" w:rsidRPr="002E19DC" w:rsidP="002E19DC">
            <w:pPr>
              <w:pStyle w:val="ListBullet"/>
            </w:pPr>
            <w:r w:rsidRPr="002E19DC">
              <w:t>wet</w:t>
            </w:r>
          </w:p>
          <w:p w:rsidR="00000000" w:rsidRPr="002E19DC" w:rsidP="002E19DC">
            <w:pPr>
              <w:pStyle w:val="ListBullet"/>
            </w:pPr>
            <w:r w:rsidRPr="002E19DC">
              <w:t>boggy</w:t>
            </w:r>
          </w:p>
          <w:p w:rsidR="00000000" w:rsidRPr="002E19DC" w:rsidP="002E19DC">
            <w:pPr>
              <w:pStyle w:val="ListBullet"/>
            </w:pPr>
            <w:r w:rsidRPr="002E19DC">
              <w:t>sandy</w:t>
            </w:r>
          </w:p>
          <w:p w:rsidR="00000000" w:rsidRPr="002E19DC" w:rsidP="002E19DC">
            <w:pPr>
              <w:pStyle w:val="ListBullet"/>
            </w:pPr>
            <w:r w:rsidRPr="002E19DC">
              <w:t xml:space="preserve">steep or hilly </w:t>
            </w:r>
          </w:p>
          <w:p w:rsidR="00000000" w:rsidRPr="002E19DC" w:rsidP="002E19DC">
            <w:pPr>
              <w:pStyle w:val="ListBullet"/>
            </w:pPr>
            <w:r w:rsidRPr="002E19DC">
              <w:t>rock</w:t>
            </w:r>
          </w:p>
          <w:p w:rsidR="00000000" w:rsidRPr="002E19DC" w:rsidP="002E19DC">
            <w:pPr>
              <w:pStyle w:val="ListBullet"/>
            </w:pPr>
            <w:r w:rsidRPr="002E19DC">
              <w:t>icy</w:t>
            </w:r>
          </w:p>
          <w:p w:rsidR="00000000" w:rsidRPr="002E19DC" w:rsidP="002E19DC">
            <w:pPr>
              <w:pStyle w:val="ListBullet"/>
            </w:pPr>
            <w:r w:rsidRPr="002E19DC">
              <w:t>snow</w:t>
            </w:r>
          </w:p>
          <w:p w:rsidR="00000000" w:rsidRPr="002E19DC" w:rsidP="002E19DC">
            <w:pPr>
              <w:pStyle w:val="ListBullet"/>
            </w:pPr>
            <w:r w:rsidRPr="002E19DC">
              <w:t>mud, including:</w:t>
            </w:r>
          </w:p>
          <w:p w:rsidR="00000000" w:rsidRPr="002E19DC" w:rsidP="002E19DC">
            <w:pPr>
              <w:pStyle w:val="ListBullet2"/>
            </w:pPr>
            <w:r w:rsidRPr="002E19DC">
              <w:t>brown clay</w:t>
            </w:r>
          </w:p>
          <w:p w:rsidR="00000000" w:rsidRPr="002E19DC" w:rsidP="002E19DC">
            <w:pPr>
              <w:pStyle w:val="ListBullet2"/>
            </w:pPr>
            <w:r w:rsidRPr="002E19DC">
              <w:t>black silt</w:t>
            </w:r>
          </w:p>
          <w:p w:rsidR="00000000" w:rsidRPr="002E19DC" w:rsidP="002E19DC">
            <w:pPr>
              <w:pStyle w:val="ListBullet2"/>
            </w:pPr>
            <w:r w:rsidRPr="002E19DC">
              <w:t>salt pan mud</w:t>
            </w:r>
          </w:p>
          <w:p w:rsidR="00000000" w:rsidRPr="002E19DC" w:rsidP="002E19DC">
            <w:pPr>
              <w:pStyle w:val="ListBullet2"/>
            </w:pPr>
            <w:r w:rsidRPr="002E19DC">
              <w:t>red</w:t>
            </w:r>
          </w:p>
          <w:p w:rsidR="00000000" w:rsidRPr="002E19DC" w:rsidP="002E19DC">
            <w:pPr>
              <w:pStyle w:val="ListBullet"/>
            </w:pPr>
            <w:r w:rsidRPr="002E19DC">
              <w:t>hard ground</w:t>
            </w:r>
          </w:p>
          <w:p w:rsidR="00000000" w:rsidRPr="002E19DC" w:rsidP="002E19DC">
            <w:pPr>
              <w:pStyle w:val="ListBullet"/>
            </w:pPr>
            <w:r w:rsidRPr="002E19DC">
              <w:t>water</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Pulling technique</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complex and multi-line</w:t>
            </w:r>
          </w:p>
          <w:p w:rsidR="00000000" w:rsidRPr="002E19DC" w:rsidP="002E19DC">
            <w:pPr>
              <w:pStyle w:val="ListBullet"/>
            </w:pPr>
            <w:r w:rsidRPr="002E19DC">
              <w:t>straight pull</w:t>
            </w:r>
          </w:p>
          <w:p w:rsidR="00000000" w:rsidRPr="002E19DC" w:rsidP="002E19DC">
            <w:pPr>
              <w:pStyle w:val="ListBullet"/>
            </w:pPr>
            <w:r w:rsidRPr="002E19DC">
              <w:t>double pull</w:t>
            </w:r>
          </w:p>
          <w:p w:rsidR="00000000" w:rsidRPr="002E19DC" w:rsidP="002E19DC">
            <w:pPr>
              <w:pStyle w:val="ListBullet"/>
            </w:pPr>
            <w:r w:rsidRPr="002E19DC">
              <w:t>starting vehicle</w:t>
            </w:r>
          </w:p>
          <w:p w:rsidR="00000000" w:rsidRPr="002E19DC" w:rsidP="002E19DC">
            <w:pPr>
              <w:pStyle w:val="ListBullet"/>
            </w:pPr>
            <w:r w:rsidRPr="002E19DC">
              <w:t>taking towed object to a location</w:t>
            </w:r>
          </w:p>
          <w:p w:rsidR="00000000" w:rsidRPr="002E19DC" w:rsidP="002E19DC">
            <w:pPr>
              <w:pStyle w:val="ListBullet"/>
            </w:pPr>
            <w:r w:rsidRPr="002E19DC">
              <w:t>using a snap strap</w:t>
            </w:r>
          </w:p>
          <w:p w:rsidR="00000000" w:rsidRPr="002E19DC" w:rsidP="002E19DC">
            <w:pPr>
              <w:pStyle w:val="ListBullet"/>
            </w:pPr>
            <w:r w:rsidRPr="002E19DC">
              <w:t>using a winch</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Resources</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winch:</w:t>
            </w:r>
          </w:p>
          <w:p w:rsidR="00000000" w:rsidRPr="002E19DC" w:rsidP="002E19DC">
            <w:pPr>
              <w:pStyle w:val="ListBullet2"/>
            </w:pPr>
            <w:r w:rsidRPr="002E19DC">
              <w:t>electric</w:t>
            </w:r>
          </w:p>
          <w:p w:rsidR="00000000" w:rsidRPr="002E19DC" w:rsidP="002E19DC">
            <w:pPr>
              <w:pStyle w:val="ListBullet2"/>
            </w:pPr>
            <w:r w:rsidRPr="002E19DC">
              <w:t>hydraulic</w:t>
            </w:r>
          </w:p>
          <w:p w:rsidR="00000000" w:rsidRPr="002E19DC" w:rsidP="002E19DC">
            <w:pPr>
              <w:pStyle w:val="ListBullet2"/>
            </w:pPr>
            <w:r w:rsidRPr="002E19DC">
              <w:t>manual</w:t>
            </w:r>
          </w:p>
          <w:p w:rsidR="00000000" w:rsidRPr="002E19DC" w:rsidP="002E19DC">
            <w:pPr>
              <w:pStyle w:val="ListBullet2"/>
            </w:pPr>
            <w:r w:rsidRPr="002E19DC">
              <w:t>pull along</w:t>
            </w:r>
          </w:p>
          <w:p w:rsidR="00000000" w:rsidRPr="002E19DC" w:rsidP="002E19DC">
            <w:pPr>
              <w:pStyle w:val="ListBullet"/>
            </w:pPr>
            <w:r w:rsidRPr="002E19DC">
              <w:t>jacks</w:t>
            </w:r>
          </w:p>
          <w:p w:rsidR="00000000" w:rsidRPr="002E19DC" w:rsidP="002E19DC">
            <w:pPr>
              <w:pStyle w:val="ListBullet"/>
            </w:pPr>
            <w:r w:rsidRPr="002E19DC">
              <w:t>recovery points</w:t>
            </w:r>
          </w:p>
          <w:p w:rsidR="00000000" w:rsidRPr="002E19DC" w:rsidP="002E19DC">
            <w:pPr>
              <w:pStyle w:val="ListBullet"/>
            </w:pPr>
            <w:r w:rsidRPr="002E19DC">
              <w:t>rated recovery hooks</w:t>
            </w:r>
          </w:p>
          <w:p w:rsidR="00000000" w:rsidRPr="002E19DC" w:rsidP="002E19DC">
            <w:pPr>
              <w:pStyle w:val="ListBullet"/>
            </w:pPr>
            <w:r w:rsidRPr="002E19DC">
              <w:t>assorted cables, including steel cables</w:t>
            </w:r>
          </w:p>
          <w:p w:rsidR="00000000" w:rsidRPr="002E19DC" w:rsidP="002E19DC">
            <w:pPr>
              <w:pStyle w:val="ListBullet"/>
            </w:pPr>
            <w:r w:rsidRPr="002E19DC">
              <w:t>plasma ropes</w:t>
            </w:r>
          </w:p>
          <w:p w:rsidR="00000000" w:rsidRPr="002E19DC" w:rsidP="002E19DC">
            <w:pPr>
              <w:pStyle w:val="ListBullet"/>
            </w:pPr>
            <w:r w:rsidRPr="002E19DC">
              <w:t>snatch straps</w:t>
            </w:r>
          </w:p>
          <w:p w:rsidR="00000000" w:rsidRPr="002E19DC" w:rsidP="002E19DC">
            <w:pPr>
              <w:pStyle w:val="ListBullet"/>
            </w:pPr>
            <w:r w:rsidRPr="002E19DC">
              <w:t>snatch blocks</w:t>
            </w:r>
          </w:p>
          <w:p w:rsidR="00000000" w:rsidRPr="002E19DC" w:rsidP="002E19DC">
            <w:pPr>
              <w:pStyle w:val="ListBullet"/>
            </w:pPr>
            <w:r w:rsidRPr="002E19DC">
              <w:t>chains or shackles</w:t>
            </w:r>
          </w:p>
          <w:p w:rsidR="00000000" w:rsidRPr="002E19DC" w:rsidP="002E19DC">
            <w:pPr>
              <w:pStyle w:val="ListBullet"/>
            </w:pPr>
            <w:r w:rsidRPr="002E19DC">
              <w:t>tree trunk protectors</w:t>
            </w:r>
          </w:p>
          <w:p w:rsidR="00000000" w:rsidRPr="002E19DC" w:rsidP="002E19DC">
            <w:pPr>
              <w:pStyle w:val="ListBullet"/>
            </w:pPr>
            <w:r w:rsidRPr="002E19DC">
              <w:t>cable dampeners</w:t>
            </w:r>
          </w:p>
          <w:p w:rsidR="00000000" w:rsidRPr="002E19DC" w:rsidP="002E19DC">
            <w:pPr>
              <w:pStyle w:val="ListBullet"/>
            </w:pPr>
            <w:r w:rsidRPr="002E19DC">
              <w:t>tyre deadman or buried anchor</w:t>
            </w:r>
          </w:p>
          <w:p w:rsidR="00000000" w:rsidRPr="002E19DC" w:rsidP="002E19DC">
            <w:pPr>
              <w:pStyle w:val="ListBullet"/>
            </w:pPr>
            <w:r w:rsidRPr="002E19DC">
              <w:t>log deadman</w:t>
            </w:r>
          </w:p>
          <w:p w:rsidR="00000000" w:rsidRPr="002E19DC" w:rsidP="002E19DC">
            <w:pPr>
              <w:pStyle w:val="ListBullet"/>
            </w:pPr>
            <w:r w:rsidRPr="002E19DC">
              <w:t>Spanish windless</w:t>
            </w:r>
          </w:p>
          <w:p w:rsidR="00000000" w:rsidRPr="002E19DC" w:rsidP="002E19DC">
            <w:pPr>
              <w:pStyle w:val="ListBullet"/>
            </w:pPr>
            <w:r w:rsidRPr="002E19DC">
              <w:t>A-frame</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Jacks</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jack points</w:t>
            </w:r>
          </w:p>
          <w:p w:rsidR="00000000" w:rsidRPr="002E19DC" w:rsidP="002E19DC">
            <w:pPr>
              <w:pStyle w:val="ListBullet"/>
            </w:pPr>
            <w:r w:rsidRPr="002E19DC">
              <w:t>bottle jack</w:t>
            </w:r>
          </w:p>
          <w:p w:rsidR="00000000" w:rsidRPr="002E19DC" w:rsidP="002E19DC">
            <w:pPr>
              <w:pStyle w:val="ListBullet"/>
            </w:pPr>
            <w:r w:rsidRPr="002E19DC">
              <w:t>exhaust jack</w:t>
            </w:r>
          </w:p>
          <w:p w:rsidR="00000000" w:rsidRPr="002E19DC" w:rsidP="002E19DC">
            <w:pPr>
              <w:pStyle w:val="ListBullet"/>
            </w:pPr>
            <w:r w:rsidRPr="002E19DC">
              <w:t>high-lift jack (Wallaby jack)</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Safe operating procedures while using a jack</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regard for personal safety</w:t>
            </w:r>
          </w:p>
          <w:p w:rsidR="00000000" w:rsidRPr="002E19DC" w:rsidP="002E19DC">
            <w:pPr>
              <w:pStyle w:val="ListBullet"/>
            </w:pPr>
            <w:r w:rsidRPr="002E19DC">
              <w:t>regard for vehicle stability</w:t>
            </w:r>
          </w:p>
          <w:p w:rsidR="00000000" w:rsidRPr="002E19DC" w:rsidP="002E19DC">
            <w:pPr>
              <w:pStyle w:val="ListBullet"/>
            </w:pPr>
            <w:r w:rsidRPr="002E19DC">
              <w:t>awareness of soft footing</w:t>
            </w:r>
          </w:p>
          <w:p w:rsidR="00000000" w:rsidP="002E19DC">
            <w:pPr>
              <w:pStyle w:val="BodyText"/>
              <w:rPr>
                <w:lang w:val="en-NZ"/>
              </w:rPr>
            </w:pPr>
          </w:p>
        </w:tc>
      </w:tr>
      <w:tr w:rsidTr="002E19DC">
        <w:tblPrEx>
          <w:tblW w:w="0" w:type="auto"/>
          <w:tblLayout w:type="fixed"/>
          <w:tblCellMar>
            <w:left w:w="62" w:type="dxa"/>
            <w:right w:w="62" w:type="dxa"/>
          </w:tblCellMar>
          <w:tblLook w:val="0000"/>
        </w:tblPrEx>
        <w:tc>
          <w:tcPr>
            <w:tcW w:w="3140"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Maintenance</w:t>
            </w:r>
            <w:r w:rsidRPr="002E19DC">
              <w:t xml:space="preserve"> may include:</w:t>
            </w:r>
          </w:p>
        </w:tc>
        <w:tc>
          <w:tcPr>
            <w:tcW w:w="6056" w:type="dxa"/>
            <w:tcBorders>
              <w:top w:val="nil"/>
              <w:left w:val="nil"/>
              <w:bottom w:val="nil"/>
              <w:right w:val="nil"/>
            </w:tcBorders>
            <w:tcMar>
              <w:top w:w="0" w:type="dxa"/>
              <w:left w:w="62" w:type="dxa"/>
              <w:bottom w:w="0" w:type="dxa"/>
              <w:right w:w="62" w:type="dxa"/>
            </w:tcMar>
          </w:tcPr>
          <w:p w:rsidR="00000000" w:rsidRPr="002E19DC" w:rsidP="002E19DC">
            <w:pPr>
              <w:pStyle w:val="ListBullet"/>
            </w:pPr>
            <w:r w:rsidRPr="002E19DC">
              <w:t>cleaning</w:t>
            </w:r>
          </w:p>
          <w:p w:rsidR="00000000" w:rsidRPr="002E19DC" w:rsidP="002E19DC">
            <w:pPr>
              <w:pStyle w:val="ListBullet"/>
            </w:pPr>
            <w:r w:rsidRPr="002E19DC">
              <w:t>cable rolling</w:t>
            </w:r>
          </w:p>
          <w:p w:rsidR="00000000" w:rsidRPr="002E19DC" w:rsidP="002E19DC">
            <w:pPr>
              <w:pStyle w:val="ListBullet"/>
            </w:pPr>
            <w:r w:rsidRPr="002E19DC">
              <w:t>greasing and oiling</w:t>
            </w:r>
          </w:p>
        </w:tc>
      </w:tr>
    </w:tbl>
    <w:p w:rsidR="00000000" w:rsidRPr="002E19DC" w:rsidP="002E19DC">
      <w:pPr>
        <w:pStyle w:val="BodyText"/>
      </w:pPr>
    </w:p>
    <w:p w:rsidR="00000000" w:rsidRPr="002E19DC" w:rsidP="002E19DC">
      <w:pPr>
        <w:pStyle w:val="AllowPageBreak"/>
      </w:pPr>
    </w:p>
    <w:p w:rsidR="00000000" w:rsidRPr="002E19DC" w:rsidP="002E19DC">
      <w:pPr>
        <w:pStyle w:val="Heading1"/>
      </w:pPr>
      <w:bookmarkStart w:id="12" w:name="O_381444"/>
      <w:bookmarkEnd w:id="12"/>
      <w:r w:rsidRPr="002E19DC">
        <w:t>Unit Sector(s)</w:t>
      </w:r>
    </w:p>
    <w:p w:rsidR="00000000" w:rsidRPr="002E19DC" w:rsidP="002E19DC">
      <w:pPr>
        <w:pStyle w:val="BodyText"/>
      </w:pPr>
      <w:r w:rsidRPr="002E19DC">
        <w:t>Common Technical</w:t>
      </w:r>
    </w:p>
    <w:p w:rsidR="00000000" w:rsidRPr="002E19DC" w:rsidP="002E19DC">
      <w:pPr>
        <w:pStyle w:val="AllowPageBreak"/>
      </w:pPr>
    </w:p>
    <w:p w:rsidR="00000000" w:rsidRPr="002E19DC" w:rsidP="002E19DC">
      <w:pPr>
        <w:pStyle w:val="Heading1"/>
      </w:pPr>
      <w:bookmarkStart w:id="13" w:name="O_381445"/>
      <w:bookmarkEnd w:id="13"/>
      <w:r w:rsidRPr="002E19DC">
        <w:t>Competency field</w:t>
      </w:r>
    </w:p>
    <w:tbl>
      <w:tblPr>
        <w:tblW w:w="0" w:type="auto"/>
        <w:tblLayout w:type="fixed"/>
        <w:tblCellMar>
          <w:left w:w="62" w:type="dxa"/>
          <w:right w:w="62" w:type="dxa"/>
        </w:tblCellMar>
        <w:tblLook w:val="0000"/>
      </w:tblPr>
      <w:tblGrid>
        <w:gridCol w:w="2777"/>
        <w:gridCol w:w="5745"/>
      </w:tblGrid>
      <w:tr w:rsidTr="00E31275">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2E19DC">
            <w:pPr>
              <w:pStyle w:val="BodyText"/>
              <w:rPr>
                <w:lang w:val="en-NZ"/>
              </w:rPr>
            </w:pPr>
            <w:r w:rsidRPr="002E19D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2E19DC" w:rsidP="002E19DC">
            <w:pPr>
              <w:pStyle w:val="BodyText"/>
            </w:pPr>
            <w:r w:rsidRPr="002E19DC">
              <w:t>n/a</w:t>
            </w:r>
          </w:p>
        </w:tc>
      </w:tr>
    </w:tbl>
    <w:p w:rsidR="00000000" w:rsidRPr="002E19DC" w:rsidP="002E19DC">
      <w:pPr>
        <w:pStyle w:val="BodyText"/>
      </w:pPr>
    </w:p>
    <w:p w:rsidR="00000000" w:rsidRPr="002E19DC" w:rsidP="002E19DC"/>
    <w:sectPr w:rsidSect="002E19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275" w:rsidP="00E31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75" w:rsidP="002E1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1275" w:rsidP="002E19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31275" w:rsidP="002E19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275" w:rsidP="00E312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75" w:rsidP="002E19DC">
    <w:pPr>
      <w:pStyle w:val="Header"/>
      <w:framePr w:wrap="around"/>
    </w:pPr>
    <w:r>
      <w:fldChar w:fldCharType="begin"/>
    </w:r>
    <w:r>
      <w:instrText xml:space="preserve"> TITLE   \* MERGEFORMAT </w:instrText>
    </w:r>
    <w:r>
      <w:fldChar w:fldCharType="separate"/>
    </w:r>
    <w:r>
      <w:t>FPICOT3260 Recover four wheel drive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1275" w:rsidP="002E19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A8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F27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AE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9DC"/>
    <w:pPr>
      <w:spacing w:before="360" w:after="60"/>
      <w:outlineLvl w:val="0"/>
    </w:pPr>
    <w:rPr>
      <w:sz w:val="32"/>
    </w:rPr>
  </w:style>
  <w:style w:type="paragraph" w:styleId="Heading2">
    <w:name w:val="heading 2"/>
    <w:basedOn w:val="HeadingBase"/>
    <w:next w:val="BodyText"/>
    <w:link w:val="Heading2Char"/>
    <w:qFormat/>
    <w:rsid w:val="002E19DC"/>
    <w:pPr>
      <w:keepLines/>
      <w:spacing w:before="240" w:after="120"/>
      <w:outlineLvl w:val="1"/>
    </w:pPr>
    <w:rPr>
      <w:sz w:val="28"/>
      <w:szCs w:val="40"/>
    </w:rPr>
  </w:style>
  <w:style w:type="paragraph" w:styleId="Heading3">
    <w:name w:val="heading 3"/>
    <w:basedOn w:val="HeadingBase"/>
    <w:next w:val="BodyText"/>
    <w:link w:val="Heading3Char"/>
    <w:qFormat/>
    <w:rsid w:val="002E19DC"/>
    <w:pPr>
      <w:spacing w:before="180" w:after="120"/>
      <w:outlineLvl w:val="2"/>
    </w:pPr>
    <w:rPr>
      <w:spacing w:val="-10"/>
      <w:kern w:val="32"/>
    </w:rPr>
  </w:style>
  <w:style w:type="paragraph" w:styleId="Heading4">
    <w:name w:val="heading 4"/>
    <w:basedOn w:val="HeadingBase"/>
    <w:next w:val="BodyText"/>
    <w:link w:val="Heading4Char"/>
    <w:qFormat/>
    <w:rsid w:val="002E19DC"/>
    <w:pPr>
      <w:spacing w:before="160" w:after="120"/>
      <w:outlineLvl w:val="3"/>
    </w:pPr>
    <w:rPr>
      <w:sz w:val="22"/>
    </w:rPr>
  </w:style>
  <w:style w:type="paragraph" w:styleId="Heading5">
    <w:name w:val="heading 5"/>
    <w:basedOn w:val="HeadingBase"/>
    <w:next w:val="Normal"/>
    <w:link w:val="Heading5Char"/>
    <w:qFormat/>
    <w:rsid w:val="002E19DC"/>
    <w:pPr>
      <w:spacing w:before="80"/>
      <w:outlineLvl w:val="4"/>
    </w:pPr>
    <w:rPr>
      <w:color w:val="918585"/>
      <w:sz w:val="20"/>
    </w:rPr>
  </w:style>
  <w:style w:type="paragraph" w:styleId="Heading6">
    <w:name w:val="heading 6"/>
    <w:basedOn w:val="HeadingBase"/>
    <w:next w:val="Normal"/>
    <w:link w:val="Heading6Char"/>
    <w:qFormat/>
    <w:rsid w:val="002E19DC"/>
    <w:pPr>
      <w:spacing w:before="60"/>
      <w:outlineLvl w:val="5"/>
    </w:pPr>
    <w:rPr>
      <w:color w:val="918585"/>
      <w:sz w:val="20"/>
    </w:rPr>
  </w:style>
  <w:style w:type="paragraph" w:styleId="Heading7">
    <w:name w:val="heading 7"/>
    <w:basedOn w:val="Normal"/>
    <w:next w:val="Normal"/>
    <w:link w:val="Heading7Char"/>
    <w:qFormat/>
    <w:rsid w:val="002E19DC"/>
    <w:pPr>
      <w:ind w:left="720"/>
      <w:outlineLvl w:val="6"/>
    </w:pPr>
    <w:rPr>
      <w:i/>
    </w:rPr>
  </w:style>
  <w:style w:type="paragraph" w:styleId="Heading8">
    <w:name w:val="heading 8"/>
    <w:basedOn w:val="Normal"/>
    <w:next w:val="Normal"/>
    <w:link w:val="Heading8Char"/>
    <w:qFormat/>
    <w:rsid w:val="002E19DC"/>
    <w:pPr>
      <w:ind w:left="720"/>
      <w:outlineLvl w:val="7"/>
    </w:pPr>
    <w:rPr>
      <w:i/>
    </w:rPr>
  </w:style>
  <w:style w:type="paragraph" w:styleId="Heading9">
    <w:name w:val="heading 9"/>
    <w:basedOn w:val="Normal"/>
    <w:next w:val="Normal"/>
    <w:link w:val="Heading9Char"/>
    <w:qFormat/>
    <w:rsid w:val="002E19DC"/>
    <w:pPr>
      <w:ind w:left="720"/>
      <w:outlineLvl w:val="8"/>
    </w:pPr>
    <w:rPr>
      <w:i/>
    </w:rPr>
  </w:style>
  <w:style w:type="character" w:default="1" w:styleId="DefaultParagraphFont">
    <w:name w:val="Default Paragraph Font"/>
    <w:uiPriority w:val="1"/>
    <w:unhideWhenUsed/>
    <w:rsid w:val="002E1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9DC"/>
  </w:style>
  <w:style w:type="character" w:customStyle="1" w:styleId="Heading1Char">
    <w:name w:val="Heading 1 Char"/>
    <w:basedOn w:val="DefaultParagraphFont"/>
    <w:link w:val="Heading1"/>
    <w:rsid w:val="002E19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19DC"/>
    <w:rPr>
      <w:rFonts w:ascii="Times New Roman" w:eastAsia="Times New Roman" w:hAnsi="Times New Roman" w:cs="Times New Roman"/>
      <w:b/>
      <w:szCs w:val="20"/>
      <w:lang w:eastAsia="en-US"/>
    </w:rPr>
  </w:style>
  <w:style w:type="paragraph" w:styleId="BodyText">
    <w:name w:val="Body Text"/>
    <w:basedOn w:val="Normal"/>
    <w:link w:val="BodyTextChar"/>
    <w:rsid w:val="002E19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9DC"/>
    <w:rPr>
      <w:rFonts w:ascii="Times New Roman" w:eastAsia="Times New Roman" w:hAnsi="Times New Roman" w:cs="Times New Roman"/>
      <w:sz w:val="24"/>
      <w:lang w:val="en-US" w:eastAsia="en-US"/>
    </w:rPr>
  </w:style>
  <w:style w:type="paragraph" w:styleId="Footer">
    <w:name w:val="footer"/>
    <w:basedOn w:val="Normal"/>
    <w:link w:val="FooterChar"/>
    <w:rsid w:val="002E1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9DC"/>
    <w:rPr>
      <w:rFonts w:ascii="Times New Roman" w:eastAsia="Times New Roman" w:hAnsi="Times New Roman" w:cs="Times New Roman"/>
      <w:sz w:val="16"/>
      <w:lang w:val="en-US" w:eastAsia="en-US"/>
    </w:rPr>
  </w:style>
  <w:style w:type="paragraph" w:styleId="List">
    <w:name w:val="List"/>
    <w:basedOn w:val="BodyText"/>
    <w:next w:val="BodyText"/>
    <w:rsid w:val="002E19DC"/>
    <w:pPr>
      <w:tabs>
        <w:tab w:val="left" w:pos="340"/>
      </w:tabs>
      <w:spacing w:before="60" w:after="60"/>
      <w:ind w:left="340" w:hanging="340"/>
    </w:pPr>
  </w:style>
  <w:style w:type="paragraph" w:styleId="ListBullet">
    <w:name w:val="List Bullet"/>
    <w:basedOn w:val="List"/>
    <w:rsid w:val="002E19DC"/>
    <w:pPr>
      <w:numPr>
        <w:numId w:val="13"/>
      </w:numPr>
      <w:tabs>
        <w:tab w:val="clear" w:pos="340"/>
      </w:tabs>
      <w:spacing w:before="40" w:after="40"/>
    </w:pPr>
  </w:style>
  <w:style w:type="character" w:customStyle="1" w:styleId="SpecialBold">
    <w:name w:val="Special Bold"/>
    <w:basedOn w:val="DefaultParagraphFont"/>
    <w:rsid w:val="002E19DC"/>
    <w:rPr>
      <w:b/>
      <w:spacing w:val="0"/>
    </w:rPr>
  </w:style>
  <w:style w:type="paragraph" w:styleId="ListBullet2">
    <w:name w:val="List Bullet 2"/>
    <w:basedOn w:val="List2"/>
    <w:rsid w:val="002E19DC"/>
    <w:pPr>
      <w:numPr>
        <w:numId w:val="14"/>
      </w:numPr>
      <w:tabs>
        <w:tab w:val="clear" w:pos="680"/>
      </w:tabs>
    </w:pPr>
  </w:style>
  <w:style w:type="paragraph" w:styleId="Header">
    <w:name w:val="header"/>
    <w:basedOn w:val="Normal"/>
    <w:link w:val="HeaderChar"/>
    <w:rsid w:val="002E1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9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19DC"/>
    <w:pPr>
      <w:spacing w:before="240" w:after="120"/>
      <w:outlineLvl w:val="0"/>
    </w:pPr>
    <w:rPr>
      <w:rFonts w:ascii="Times New Roman" w:hAnsi="Times New Roman"/>
      <w:b/>
      <w:sz w:val="28"/>
    </w:rPr>
  </w:style>
  <w:style w:type="paragraph" w:customStyle="1" w:styleId="AllowPageBreak">
    <w:name w:val="AllowPageBreak"/>
    <w:rsid w:val="002E19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19DC"/>
    <w:rPr>
      <w:b/>
      <w:i/>
      <w:u w:val="none"/>
    </w:rPr>
  </w:style>
  <w:style w:type="character" w:customStyle="1" w:styleId="Heading2Char">
    <w:name w:val="Heading 2 Char"/>
    <w:basedOn w:val="DefaultParagraphFont"/>
    <w:link w:val="Heading2"/>
    <w:rsid w:val="002E1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9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1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9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9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9DC"/>
    <w:rPr>
      <w:rFonts w:ascii="Courier New" w:eastAsia="Times New Roman" w:hAnsi="Courier New" w:cs="Times New Roman"/>
      <w:i/>
      <w:szCs w:val="20"/>
      <w:lang w:val="en-US" w:eastAsia="en-US"/>
    </w:rPr>
  </w:style>
  <w:style w:type="paragraph" w:customStyle="1" w:styleId="HeadingBase">
    <w:name w:val="Heading Base"/>
    <w:rsid w:val="002E1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9DC"/>
    <w:pPr>
      <w:tabs>
        <w:tab w:val="right" w:leader="dot" w:pos="9072"/>
      </w:tabs>
      <w:ind w:left="567"/>
    </w:pPr>
    <w:rPr>
      <w:szCs w:val="22"/>
    </w:rPr>
  </w:style>
  <w:style w:type="paragraph" w:customStyle="1" w:styleId="TOCBase">
    <w:name w:val="TOC Base"/>
    <w:rsid w:val="002E1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9DC"/>
    <w:pPr>
      <w:tabs>
        <w:tab w:val="right" w:leader="dot" w:pos="9072"/>
      </w:tabs>
      <w:spacing w:before="40" w:after="40"/>
      <w:ind w:left="284"/>
    </w:pPr>
    <w:rPr>
      <w:rFonts w:ascii="Times New Roman" w:hAnsi="Times New Roman"/>
    </w:rPr>
  </w:style>
  <w:style w:type="paragraph" w:styleId="TOC1">
    <w:name w:val="toc 1"/>
    <w:basedOn w:val="TOCBase"/>
    <w:next w:val="Normal"/>
    <w:rsid w:val="002E19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9DC"/>
    <w:pPr>
      <w:spacing w:before="5040"/>
      <w:jc w:val="center"/>
    </w:pPr>
    <w:rPr>
      <w:sz w:val="48"/>
      <w:szCs w:val="72"/>
      <w:lang w:val="en-US"/>
    </w:rPr>
  </w:style>
  <w:style w:type="character" w:customStyle="1" w:styleId="TitleChar">
    <w:name w:val="Title Char"/>
    <w:basedOn w:val="DefaultParagraphFont"/>
    <w:link w:val="Title"/>
    <w:rsid w:val="002E1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9DC"/>
    <w:pPr>
      <w:tabs>
        <w:tab w:val="left" w:pos="3600"/>
        <w:tab w:val="left" w:pos="3958"/>
      </w:tabs>
    </w:pPr>
  </w:style>
  <w:style w:type="paragraph" w:customStyle="1" w:styleId="Note">
    <w:name w:val="Note"/>
    <w:basedOn w:val="BodyText"/>
    <w:rsid w:val="002E19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9DC"/>
    <w:pPr>
      <w:framePr w:wrap="auto" w:hAnchor="text" w:y="6049"/>
    </w:pPr>
    <w:rPr>
      <w:color w:val="000000"/>
      <w:sz w:val="40"/>
    </w:rPr>
  </w:style>
  <w:style w:type="paragraph" w:customStyle="1" w:styleId="TOCTitle">
    <w:name w:val="TOCTitle"/>
    <w:basedOn w:val="Heading1"/>
    <w:rsid w:val="002E19DC"/>
    <w:pPr>
      <w:spacing w:after="240"/>
      <w:jc w:val="center"/>
      <w:outlineLvl w:val="9"/>
    </w:pPr>
    <w:rPr>
      <w:caps/>
    </w:rPr>
  </w:style>
  <w:style w:type="paragraph" w:customStyle="1" w:styleId="Version">
    <w:name w:val="Version"/>
    <w:rsid w:val="002E19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9DC"/>
    <w:pPr>
      <w:keepNext w:val="0"/>
      <w:tabs>
        <w:tab w:val="right" w:pos="4176"/>
      </w:tabs>
      <w:ind w:left="198" w:hanging="198"/>
    </w:pPr>
    <w:rPr>
      <w:rFonts w:ascii="Garamond" w:hAnsi="Garamond"/>
    </w:rPr>
  </w:style>
  <w:style w:type="paragraph" w:styleId="IndexHeading">
    <w:name w:val="index heading"/>
    <w:basedOn w:val="Normal"/>
    <w:next w:val="Index1"/>
    <w:semiHidden/>
    <w:rsid w:val="002E19DC"/>
    <w:pPr>
      <w:spacing w:before="120" w:after="120"/>
    </w:pPr>
    <w:rPr>
      <w:rFonts w:ascii="Arial" w:hAnsi="Arial"/>
      <w:b/>
      <w:color w:val="918585"/>
      <w:sz w:val="24"/>
    </w:rPr>
  </w:style>
  <w:style w:type="paragraph" w:customStyle="1" w:styleId="Chapter">
    <w:name w:val="Chapter"/>
    <w:basedOn w:val="Normal"/>
    <w:rsid w:val="002E19DC"/>
    <w:pPr>
      <w:spacing w:before="240"/>
    </w:pPr>
    <w:rPr>
      <w:rFonts w:ascii="Times New Roman" w:hAnsi="Times New Roman"/>
      <w:smallCaps/>
      <w:spacing w:val="80"/>
      <w:sz w:val="28"/>
    </w:rPr>
  </w:style>
  <w:style w:type="paragraph" w:customStyle="1" w:styleId="InChapter">
    <w:name w:val="InChapter"/>
    <w:basedOn w:val="Heading3"/>
    <w:rsid w:val="002E19DC"/>
    <w:pPr>
      <w:spacing w:after="240"/>
      <w:outlineLvl w:val="9"/>
    </w:pPr>
    <w:rPr>
      <w:noProof/>
    </w:rPr>
  </w:style>
  <w:style w:type="paragraph" w:styleId="Index2">
    <w:name w:val="index 2"/>
    <w:basedOn w:val="Normal"/>
    <w:next w:val="Normal"/>
    <w:semiHidden/>
    <w:rsid w:val="002E19DC"/>
    <w:pPr>
      <w:tabs>
        <w:tab w:val="right" w:pos="4176"/>
      </w:tabs>
      <w:ind w:left="568" w:hanging="284"/>
    </w:pPr>
    <w:rPr>
      <w:rFonts w:ascii="Garamond" w:hAnsi="Garamond"/>
    </w:rPr>
  </w:style>
  <w:style w:type="paragraph" w:customStyle="1" w:styleId="Byline">
    <w:name w:val="Byline"/>
    <w:rsid w:val="002E1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9DC"/>
    <w:pPr>
      <w:tabs>
        <w:tab w:val="clear" w:pos="3600"/>
        <w:tab w:val="clear" w:pos="3958"/>
      </w:tabs>
      <w:jc w:val="right"/>
    </w:pPr>
  </w:style>
  <w:style w:type="character" w:styleId="Emphasis">
    <w:name w:val="Emphasis"/>
    <w:basedOn w:val="DefaultParagraphFont"/>
    <w:qFormat/>
    <w:rsid w:val="002E19DC"/>
    <w:rPr>
      <w:i/>
    </w:rPr>
  </w:style>
  <w:style w:type="paragraph" w:styleId="Caption">
    <w:name w:val="caption"/>
    <w:basedOn w:val="BodyText"/>
    <w:next w:val="Normal"/>
    <w:qFormat/>
    <w:rsid w:val="002E19DC"/>
    <w:pPr>
      <w:framePr w:w="2268" w:hSpace="181" w:vSpace="181" w:wrap="around" w:vAnchor="text" w:hAnchor="page" w:x="1135" w:y="285" w:anchorLock="1"/>
    </w:pPr>
    <w:rPr>
      <w:i/>
    </w:rPr>
  </w:style>
  <w:style w:type="paragraph" w:customStyle="1" w:styleId="MiniTOCTitle">
    <w:name w:val="MiniTOCTitle"/>
    <w:basedOn w:val="Heading4"/>
    <w:rsid w:val="002E19DC"/>
    <w:pPr>
      <w:spacing w:before="240"/>
      <w:outlineLvl w:val="9"/>
    </w:pPr>
    <w:rPr>
      <w:noProof/>
      <w:sz w:val="24"/>
    </w:rPr>
  </w:style>
  <w:style w:type="paragraph" w:customStyle="1" w:styleId="MiniTOCItem">
    <w:name w:val="MiniTOCItem"/>
    <w:basedOn w:val="ListBullet"/>
    <w:rsid w:val="002E19DC"/>
    <w:pPr>
      <w:numPr>
        <w:numId w:val="0"/>
      </w:numPr>
      <w:tabs>
        <w:tab w:val="right" w:leader="dot" w:pos="6521"/>
      </w:tabs>
      <w:spacing w:before="0" w:after="0"/>
    </w:pPr>
  </w:style>
  <w:style w:type="paragraph" w:customStyle="1" w:styleId="TOFTitle">
    <w:name w:val="TOFTitle"/>
    <w:basedOn w:val="TOCTitle"/>
    <w:rsid w:val="002E19DC"/>
  </w:style>
  <w:style w:type="paragraph" w:styleId="TableofFigures">
    <w:name w:val="table of figures"/>
    <w:basedOn w:val="Normal"/>
    <w:next w:val="Normal"/>
    <w:semiHidden/>
    <w:rsid w:val="002E19DC"/>
    <w:pPr>
      <w:tabs>
        <w:tab w:val="right" w:leader="dot" w:pos="9072"/>
      </w:tabs>
      <w:ind w:left="970" w:hanging="403"/>
    </w:pPr>
    <w:rPr>
      <w:rFonts w:ascii="Times New Roman" w:hAnsi="Times New Roman"/>
      <w:b/>
    </w:rPr>
  </w:style>
  <w:style w:type="paragraph" w:styleId="ListNumber">
    <w:name w:val="List Number"/>
    <w:basedOn w:val="List"/>
    <w:rsid w:val="002E19DC"/>
    <w:pPr>
      <w:numPr>
        <w:numId w:val="11"/>
      </w:numPr>
    </w:pPr>
  </w:style>
  <w:style w:type="character" w:customStyle="1" w:styleId="WingdingSymbols">
    <w:name w:val="Wingding Symbols"/>
    <w:rsid w:val="002E19DC"/>
    <w:rPr>
      <w:rFonts w:ascii="Wingdings" w:hAnsi="Wingdings"/>
    </w:rPr>
  </w:style>
  <w:style w:type="paragraph" w:customStyle="1" w:styleId="TableHeading">
    <w:name w:val="Table Heading"/>
    <w:basedOn w:val="HeadingBase"/>
    <w:rsid w:val="002E19DC"/>
    <w:pPr>
      <w:keepLines/>
      <w:pBdr>
        <w:bottom w:val="single" w:sz="6" w:space="1" w:color="918585"/>
      </w:pBdr>
      <w:spacing w:before="240"/>
    </w:pPr>
  </w:style>
  <w:style w:type="character" w:customStyle="1" w:styleId="HotSpot">
    <w:name w:val="HotSpot"/>
    <w:rsid w:val="002E19DC"/>
    <w:rPr>
      <w:color w:val="0033CC"/>
      <w:u w:val="none"/>
    </w:rPr>
  </w:style>
  <w:style w:type="paragraph" w:customStyle="1" w:styleId="BodyTextRight">
    <w:name w:val="Body Text Right"/>
    <w:basedOn w:val="BodyText"/>
    <w:rsid w:val="002E19DC"/>
    <w:pPr>
      <w:spacing w:before="0" w:after="0"/>
      <w:jc w:val="right"/>
    </w:pPr>
  </w:style>
  <w:style w:type="paragraph" w:styleId="Index3">
    <w:name w:val="index 3"/>
    <w:basedOn w:val="ListNumber2"/>
    <w:next w:val="Normal"/>
    <w:semiHidden/>
    <w:rsid w:val="002E19DC"/>
    <w:pPr>
      <w:numPr>
        <w:numId w:val="0"/>
      </w:numPr>
      <w:tabs>
        <w:tab w:val="right" w:leader="dot" w:pos="4176"/>
      </w:tabs>
    </w:pPr>
  </w:style>
  <w:style w:type="paragraph" w:styleId="ListNumber2">
    <w:name w:val="List Number 2"/>
    <w:basedOn w:val="List2"/>
    <w:rsid w:val="002E19DC"/>
    <w:pPr>
      <w:numPr>
        <w:numId w:val="10"/>
      </w:numPr>
      <w:tabs>
        <w:tab w:val="clear" w:pos="1060"/>
      </w:tabs>
    </w:pPr>
  </w:style>
  <w:style w:type="paragraph" w:customStyle="1" w:styleId="MarginNote">
    <w:name w:val="Margin Note"/>
    <w:basedOn w:val="BodyText"/>
    <w:rsid w:val="002E1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9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9DC"/>
    <w:rPr>
      <w:sz w:val="32"/>
    </w:rPr>
  </w:style>
  <w:style w:type="paragraph" w:customStyle="1" w:styleId="HeadingProcedure">
    <w:name w:val="Heading Procedure"/>
    <w:basedOn w:val="HeadingBase"/>
    <w:next w:val="Normal"/>
    <w:rsid w:val="002E19DC"/>
    <w:pPr>
      <w:tabs>
        <w:tab w:val="left" w:pos="0"/>
      </w:tabs>
      <w:spacing w:before="120" w:after="60"/>
    </w:pPr>
    <w:rPr>
      <w:i/>
      <w:color w:val="918585"/>
      <w:sz w:val="22"/>
    </w:rPr>
  </w:style>
  <w:style w:type="paragraph" w:customStyle="1" w:styleId="TableBodyText">
    <w:name w:val="Table Body Text"/>
    <w:basedOn w:val="BodyText"/>
    <w:rsid w:val="002E19DC"/>
    <w:pPr>
      <w:spacing w:before="60" w:after="60"/>
    </w:pPr>
  </w:style>
  <w:style w:type="paragraph" w:styleId="ListContinue">
    <w:name w:val="List Continue"/>
    <w:basedOn w:val="List"/>
    <w:rsid w:val="002E19DC"/>
    <w:pPr>
      <w:ind w:firstLine="0"/>
    </w:pPr>
  </w:style>
  <w:style w:type="paragraph" w:customStyle="1" w:styleId="ListNote">
    <w:name w:val="List Note"/>
    <w:basedOn w:val="List"/>
    <w:rsid w:val="002E19DC"/>
    <w:pPr>
      <w:pBdr>
        <w:top w:val="single" w:sz="6" w:space="2" w:color="918585"/>
        <w:bottom w:val="single" w:sz="6" w:space="2" w:color="918585"/>
      </w:pBdr>
      <w:tabs>
        <w:tab w:val="left" w:pos="1021"/>
      </w:tabs>
      <w:ind w:firstLine="0"/>
    </w:pPr>
  </w:style>
  <w:style w:type="paragraph" w:customStyle="1" w:styleId="Warning">
    <w:name w:val="Warning"/>
    <w:basedOn w:val="BodyText"/>
    <w:rsid w:val="002E19DC"/>
    <w:pPr>
      <w:shd w:val="clear" w:color="auto" w:fill="D9D9D9"/>
      <w:tabs>
        <w:tab w:val="left" w:pos="992"/>
      </w:tabs>
      <w:ind w:left="119" w:right="119"/>
    </w:pPr>
    <w:rPr>
      <w:sz w:val="20"/>
    </w:rPr>
  </w:style>
  <w:style w:type="paragraph" w:customStyle="1" w:styleId="MarginIcons">
    <w:name w:val="Margin Icons"/>
    <w:basedOn w:val="BodyText"/>
    <w:rsid w:val="002E1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9DC"/>
    <w:rPr>
      <w:rFonts w:ascii="Courier New" w:hAnsi="Courier New"/>
    </w:rPr>
  </w:style>
  <w:style w:type="paragraph" w:customStyle="1" w:styleId="NoteBullet">
    <w:name w:val="Note Bullet"/>
    <w:basedOn w:val="Note"/>
    <w:rsid w:val="002E19DC"/>
    <w:pPr>
      <w:tabs>
        <w:tab w:val="clear" w:pos="680"/>
      </w:tabs>
      <w:spacing w:before="60" w:after="60"/>
    </w:pPr>
  </w:style>
  <w:style w:type="paragraph" w:customStyle="1" w:styleId="SubHeading2">
    <w:name w:val="SubHeading2"/>
    <w:basedOn w:val="HeadingBase"/>
    <w:rsid w:val="002E19DC"/>
    <w:pPr>
      <w:spacing w:before="240" w:after="60"/>
    </w:pPr>
    <w:rPr>
      <w:sz w:val="20"/>
    </w:rPr>
  </w:style>
  <w:style w:type="paragraph" w:customStyle="1" w:styleId="SubHeading1">
    <w:name w:val="SubHeading1"/>
    <w:basedOn w:val="HeadingBase"/>
    <w:rsid w:val="002E19DC"/>
    <w:pPr>
      <w:spacing w:before="240" w:after="60"/>
    </w:pPr>
    <w:rPr>
      <w:color w:val="918585"/>
      <w:sz w:val="22"/>
    </w:rPr>
  </w:style>
  <w:style w:type="paragraph" w:customStyle="1" w:styleId="SideHeading">
    <w:name w:val="Side Heading"/>
    <w:basedOn w:val="HeadingBase"/>
    <w:rsid w:val="002E1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9DC"/>
    <w:pPr>
      <w:numPr>
        <w:numId w:val="12"/>
      </w:numPr>
    </w:pPr>
  </w:style>
  <w:style w:type="paragraph" w:styleId="PlainText">
    <w:name w:val="Plain Text"/>
    <w:basedOn w:val="Normal"/>
    <w:link w:val="PlainTextChar"/>
    <w:rsid w:val="002E19DC"/>
    <w:rPr>
      <w:sz w:val="20"/>
    </w:rPr>
  </w:style>
  <w:style w:type="character" w:customStyle="1" w:styleId="PlainTextChar">
    <w:name w:val="Plain Text Char"/>
    <w:basedOn w:val="DefaultParagraphFont"/>
    <w:link w:val="PlainText"/>
    <w:rsid w:val="002E19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9DC"/>
    <w:rPr>
      <w:b/>
      <w:smallCaps/>
    </w:rPr>
  </w:style>
  <w:style w:type="paragraph" w:customStyle="1" w:styleId="TableListNumber">
    <w:name w:val="Table List Number"/>
    <w:basedOn w:val="ListNumber"/>
    <w:rsid w:val="002E19DC"/>
    <w:pPr>
      <w:numPr>
        <w:numId w:val="0"/>
      </w:numPr>
    </w:pPr>
  </w:style>
  <w:style w:type="paragraph" w:styleId="TOC4">
    <w:name w:val="toc 4"/>
    <w:basedOn w:val="TOCBase"/>
    <w:next w:val="Normal"/>
    <w:semiHidden/>
    <w:rsid w:val="002E19DC"/>
    <w:pPr>
      <w:tabs>
        <w:tab w:val="right" w:leader="dot" w:pos="9071"/>
      </w:tabs>
      <w:ind w:left="1701"/>
    </w:pPr>
  </w:style>
  <w:style w:type="paragraph" w:customStyle="1" w:styleId="ListAlpha">
    <w:name w:val="List Alpha"/>
    <w:basedOn w:val="List"/>
    <w:rsid w:val="002E19DC"/>
    <w:pPr>
      <w:numPr>
        <w:numId w:val="9"/>
      </w:numPr>
    </w:pPr>
  </w:style>
  <w:style w:type="paragraph" w:customStyle="1" w:styleId="ListAlpha2">
    <w:name w:val="List Alpha 2"/>
    <w:basedOn w:val="List2"/>
    <w:rsid w:val="002E19DC"/>
    <w:pPr>
      <w:numPr>
        <w:numId w:val="8"/>
      </w:numPr>
    </w:pPr>
  </w:style>
  <w:style w:type="paragraph" w:styleId="List2">
    <w:name w:val="List 2"/>
    <w:basedOn w:val="BodyText"/>
    <w:rsid w:val="002E19DC"/>
    <w:pPr>
      <w:tabs>
        <w:tab w:val="left" w:pos="680"/>
      </w:tabs>
      <w:spacing w:before="60" w:after="60"/>
      <w:ind w:left="680" w:hanging="340"/>
    </w:pPr>
  </w:style>
  <w:style w:type="paragraph" w:styleId="List3">
    <w:name w:val="List 3"/>
    <w:basedOn w:val="BodyText"/>
    <w:rsid w:val="002E19DC"/>
    <w:pPr>
      <w:tabs>
        <w:tab w:val="left" w:pos="1021"/>
      </w:tabs>
      <w:spacing w:before="60" w:after="60"/>
      <w:ind w:left="1020" w:hanging="340"/>
    </w:pPr>
  </w:style>
  <w:style w:type="paragraph" w:styleId="List4">
    <w:name w:val="List 4"/>
    <w:basedOn w:val="BodyText"/>
    <w:rsid w:val="002E19DC"/>
    <w:pPr>
      <w:tabs>
        <w:tab w:val="left" w:pos="1361"/>
      </w:tabs>
      <w:spacing w:before="60" w:after="60"/>
      <w:ind w:left="1361" w:hanging="340"/>
    </w:pPr>
  </w:style>
  <w:style w:type="paragraph" w:styleId="List5">
    <w:name w:val="List 5"/>
    <w:basedOn w:val="BodyText"/>
    <w:rsid w:val="002E19DC"/>
    <w:pPr>
      <w:tabs>
        <w:tab w:val="left" w:pos="1701"/>
      </w:tabs>
      <w:spacing w:before="60" w:after="60"/>
      <w:ind w:left="1701" w:hanging="340"/>
    </w:pPr>
  </w:style>
  <w:style w:type="paragraph" w:styleId="ListBullet3">
    <w:name w:val="List Bullet 3"/>
    <w:basedOn w:val="List3"/>
    <w:rsid w:val="002E19DC"/>
    <w:pPr>
      <w:numPr>
        <w:numId w:val="15"/>
      </w:numPr>
      <w:tabs>
        <w:tab w:val="clear" w:pos="1021"/>
      </w:tabs>
      <w:ind w:left="1037" w:hanging="357"/>
    </w:pPr>
  </w:style>
  <w:style w:type="paragraph" w:styleId="ListBullet4">
    <w:name w:val="List Bullet 4"/>
    <w:basedOn w:val="List4"/>
    <w:rsid w:val="002E19DC"/>
    <w:pPr>
      <w:numPr>
        <w:numId w:val="3"/>
      </w:numPr>
    </w:pPr>
  </w:style>
  <w:style w:type="paragraph" w:styleId="ListBullet5">
    <w:name w:val="List Bullet 5"/>
    <w:basedOn w:val="List5"/>
    <w:rsid w:val="002E19DC"/>
    <w:pPr>
      <w:numPr>
        <w:numId w:val="4"/>
      </w:numPr>
    </w:pPr>
  </w:style>
  <w:style w:type="paragraph" w:styleId="ListContinue2">
    <w:name w:val="List Continue 2"/>
    <w:basedOn w:val="List2"/>
    <w:rsid w:val="002E19DC"/>
    <w:pPr>
      <w:ind w:firstLine="0"/>
    </w:pPr>
  </w:style>
  <w:style w:type="paragraph" w:styleId="ListContinue3">
    <w:name w:val="List Continue 3"/>
    <w:basedOn w:val="List3"/>
    <w:rsid w:val="002E19DC"/>
    <w:pPr>
      <w:ind w:left="1021" w:firstLine="0"/>
    </w:pPr>
  </w:style>
  <w:style w:type="paragraph" w:styleId="ListContinue4">
    <w:name w:val="List Continue 4"/>
    <w:basedOn w:val="List4"/>
    <w:rsid w:val="002E19DC"/>
    <w:pPr>
      <w:ind w:firstLine="0"/>
    </w:pPr>
  </w:style>
  <w:style w:type="paragraph" w:styleId="ListContinue5">
    <w:name w:val="List Continue 5"/>
    <w:basedOn w:val="List5"/>
    <w:rsid w:val="002E19DC"/>
    <w:pPr>
      <w:ind w:firstLine="0"/>
    </w:pPr>
  </w:style>
  <w:style w:type="paragraph" w:styleId="ListNumber3">
    <w:name w:val="List Number 3"/>
    <w:basedOn w:val="List3"/>
    <w:rsid w:val="002E19DC"/>
    <w:pPr>
      <w:numPr>
        <w:numId w:val="5"/>
      </w:numPr>
    </w:pPr>
  </w:style>
  <w:style w:type="paragraph" w:styleId="ListNumber4">
    <w:name w:val="List Number 4"/>
    <w:basedOn w:val="List4"/>
    <w:rsid w:val="002E19DC"/>
    <w:pPr>
      <w:numPr>
        <w:numId w:val="6"/>
      </w:numPr>
    </w:pPr>
  </w:style>
  <w:style w:type="paragraph" w:styleId="ListNumber5">
    <w:name w:val="List Number 5"/>
    <w:basedOn w:val="List5"/>
    <w:rsid w:val="002E19DC"/>
    <w:pPr>
      <w:numPr>
        <w:numId w:val="7"/>
      </w:numPr>
    </w:pPr>
  </w:style>
  <w:style w:type="paragraph" w:styleId="BlockText">
    <w:name w:val="Block Text"/>
    <w:basedOn w:val="Normal"/>
    <w:rsid w:val="002E19DC"/>
    <w:pPr>
      <w:spacing w:after="120"/>
      <w:ind w:left="1440" w:right="1440"/>
    </w:pPr>
  </w:style>
  <w:style w:type="character" w:customStyle="1" w:styleId="Subscript">
    <w:name w:val="Subscript"/>
    <w:basedOn w:val="DefaultParagraphFont"/>
    <w:rsid w:val="002E19DC"/>
    <w:rPr>
      <w:sz w:val="16"/>
      <w:vertAlign w:val="subscript"/>
    </w:rPr>
  </w:style>
  <w:style w:type="character" w:customStyle="1" w:styleId="Superscript">
    <w:name w:val="Superscript"/>
    <w:basedOn w:val="DefaultParagraphFont"/>
    <w:rsid w:val="002E19DC"/>
    <w:rPr>
      <w:sz w:val="16"/>
      <w:vertAlign w:val="superscript"/>
    </w:rPr>
  </w:style>
  <w:style w:type="character" w:customStyle="1" w:styleId="Symbols">
    <w:name w:val="Symbols"/>
    <w:basedOn w:val="DefaultParagraphFont"/>
    <w:rsid w:val="002E19DC"/>
    <w:rPr>
      <w:rFonts w:ascii="Symbol" w:hAnsi="Symbol"/>
    </w:rPr>
  </w:style>
  <w:style w:type="character" w:customStyle="1" w:styleId="MenuOptions">
    <w:name w:val="Menu Options"/>
    <w:basedOn w:val="DefaultParagraphFont"/>
    <w:rsid w:val="002E19DC"/>
    <w:rPr>
      <w:rFonts w:ascii="Arial Narrow" w:hAnsi="Arial Narrow"/>
      <w:smallCaps/>
    </w:rPr>
  </w:style>
  <w:style w:type="character" w:customStyle="1" w:styleId="Buttons">
    <w:name w:val="Buttons"/>
    <w:basedOn w:val="DefaultParagraphFont"/>
    <w:rsid w:val="002E19DC"/>
    <w:rPr>
      <w:b/>
    </w:rPr>
  </w:style>
  <w:style w:type="character" w:customStyle="1" w:styleId="Underlined">
    <w:name w:val="Underlined"/>
    <w:basedOn w:val="DefaultParagraphFont"/>
    <w:rsid w:val="002E19DC"/>
    <w:rPr>
      <w:u w:val="single"/>
    </w:rPr>
  </w:style>
  <w:style w:type="paragraph" w:customStyle="1" w:styleId="TableBodyTextRight">
    <w:name w:val="Table Body Text Right"/>
    <w:basedOn w:val="TableBodyText"/>
    <w:rsid w:val="002E19DC"/>
    <w:pPr>
      <w:widowControl w:val="0"/>
      <w:autoSpaceDE w:val="0"/>
      <w:autoSpaceDN w:val="0"/>
      <w:adjustRightInd w:val="0"/>
      <w:jc w:val="right"/>
    </w:pPr>
    <w:rPr>
      <w:rFonts w:cs="Arial"/>
      <w:szCs w:val="18"/>
    </w:rPr>
  </w:style>
  <w:style w:type="paragraph" w:customStyle="1" w:styleId="CopyrightText">
    <w:name w:val="Copyright Text"/>
    <w:basedOn w:val="BodyText"/>
    <w:rsid w:val="002E19DC"/>
    <w:rPr>
      <w:sz w:val="18"/>
    </w:rPr>
  </w:style>
  <w:style w:type="paragraph" w:customStyle="1" w:styleId="BodySmallRight">
    <w:name w:val="Body Small Right"/>
    <w:basedOn w:val="BodyTextRight"/>
    <w:rsid w:val="002E19DC"/>
    <w:rPr>
      <w:sz w:val="18"/>
      <w:szCs w:val="18"/>
    </w:rPr>
  </w:style>
  <w:style w:type="paragraph" w:customStyle="1" w:styleId="MarginEdition">
    <w:name w:val="Margin Edition"/>
    <w:basedOn w:val="MarginNote"/>
    <w:rsid w:val="002E19DC"/>
    <w:pPr>
      <w:spacing w:before="0" w:after="0"/>
    </w:pPr>
    <w:rPr>
      <w:rFonts w:ascii="Times New Roman" w:hAnsi="Times New Roman"/>
      <w:color w:val="999999"/>
    </w:rPr>
  </w:style>
  <w:style w:type="paragraph" w:customStyle="1" w:styleId="Spacer">
    <w:name w:val="Spacer"/>
    <w:basedOn w:val="Normal"/>
    <w:rsid w:val="002E19DC"/>
    <w:rPr>
      <w:sz w:val="2"/>
      <w:szCs w:val="2"/>
    </w:rPr>
  </w:style>
  <w:style w:type="character" w:customStyle="1" w:styleId="Small">
    <w:name w:val="Small"/>
    <w:basedOn w:val="DefaultParagraphFont"/>
    <w:rsid w:val="002E19DC"/>
    <w:rPr>
      <w:sz w:val="16"/>
    </w:rPr>
  </w:style>
  <w:style w:type="paragraph" w:customStyle="1" w:styleId="WideTable">
    <w:name w:val="Wide Table"/>
    <w:basedOn w:val="Normal"/>
    <w:rsid w:val="002E19DC"/>
    <w:pPr>
      <w:ind w:left="-1418"/>
    </w:pPr>
    <w:rPr>
      <w:sz w:val="2"/>
      <w:szCs w:val="2"/>
    </w:rPr>
  </w:style>
  <w:style w:type="character" w:styleId="PageNumber">
    <w:name w:val="page number"/>
    <w:basedOn w:val="DefaultParagraphFont"/>
    <w:rsid w:val="002E19DC"/>
  </w:style>
  <w:style w:type="paragraph" w:styleId="Quote">
    <w:name w:val="Quote"/>
    <w:basedOn w:val="Heading1"/>
    <w:link w:val="QuoteChar"/>
    <w:qFormat/>
    <w:rsid w:val="002E19DC"/>
    <w:rPr>
      <w:b w:val="0"/>
      <w:sz w:val="72"/>
      <w:szCs w:val="72"/>
      <w:lang w:val="en-NZ"/>
    </w:rPr>
  </w:style>
  <w:style w:type="character" w:customStyle="1" w:styleId="QuoteChar">
    <w:name w:val="Quote Char"/>
    <w:basedOn w:val="DefaultParagraphFont"/>
    <w:link w:val="Quote"/>
    <w:rsid w:val="002E1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9DC"/>
    <w:pPr>
      <w:pageBreakBefore/>
    </w:pPr>
  </w:style>
  <w:style w:type="paragraph" w:customStyle="1" w:styleId="Border">
    <w:name w:val="Border"/>
    <w:basedOn w:val="Normal"/>
    <w:qFormat/>
    <w:rsid w:val="002E1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9DC"/>
    <w:rPr>
      <w:b/>
      <w:bCs/>
      <w:i/>
      <w:iCs/>
      <w:color w:val="auto"/>
    </w:rPr>
  </w:style>
  <w:style w:type="paragraph" w:styleId="IntenseQuote">
    <w:name w:val="Intense Quote"/>
    <w:basedOn w:val="Normal"/>
    <w:next w:val="Normal"/>
    <w:link w:val="IntenseQuoteChar"/>
    <w:uiPriority w:val="30"/>
    <w:qFormat/>
    <w:rsid w:val="002E1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9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9DC"/>
    <w:rPr>
      <w:smallCaps/>
      <w:color w:val="auto"/>
      <w:u w:val="single"/>
    </w:rPr>
  </w:style>
  <w:style w:type="character" w:styleId="IntenseReference">
    <w:name w:val="Intense Reference"/>
    <w:basedOn w:val="DefaultParagraphFont"/>
    <w:uiPriority w:val="32"/>
    <w:qFormat/>
    <w:rsid w:val="002E19DC"/>
    <w:rPr>
      <w:b/>
      <w:bCs/>
      <w:smallCaps/>
      <w:color w:val="auto"/>
      <w:spacing w:val="5"/>
      <w:u w:val="single"/>
    </w:rPr>
  </w:style>
  <w:style w:type="paragraph" w:customStyle="1" w:styleId="2ColumnHeading">
    <w:name w:val="2Column Heading"/>
    <w:basedOn w:val="BodyText"/>
    <w:qFormat/>
    <w:rsid w:val="002E19DC"/>
    <w:pPr>
      <w:spacing w:after="60"/>
      <w:ind w:left="-2268"/>
    </w:pPr>
    <w:rPr>
      <w:b/>
    </w:rPr>
  </w:style>
  <w:style w:type="paragraph" w:customStyle="1" w:styleId="Heading1TOC">
    <w:name w:val="Heading1 TOC"/>
    <w:basedOn w:val="Normal"/>
    <w:qFormat/>
    <w:rsid w:val="002E19DC"/>
    <w:pPr>
      <w:spacing w:before="240" w:after="120"/>
    </w:pPr>
    <w:rPr>
      <w:rFonts w:ascii="Times New Roman" w:hAnsi="Times New Roman"/>
      <w:b/>
      <w:sz w:val="32"/>
    </w:rPr>
  </w:style>
  <w:style w:type="paragraph" w:customStyle="1" w:styleId="Heading2TOC">
    <w:name w:val="Heading2 TOC"/>
    <w:basedOn w:val="Normal"/>
    <w:qFormat/>
    <w:rsid w:val="002E19DC"/>
    <w:pPr>
      <w:spacing w:before="240" w:after="60"/>
    </w:pPr>
    <w:rPr>
      <w:rFonts w:ascii="Times New Roman" w:hAnsi="Times New Roman"/>
      <w:b/>
      <w:sz w:val="28"/>
    </w:rPr>
  </w:style>
  <w:style w:type="character" w:customStyle="1" w:styleId="Underline">
    <w:name w:val="Underline"/>
    <w:basedOn w:val="DefaultParagraphFont"/>
    <w:qFormat/>
    <w:rsid w:val="002E19DC"/>
    <w:rPr>
      <w:u w:val="single"/>
    </w:rPr>
  </w:style>
  <w:style w:type="paragraph" w:styleId="BalloonText">
    <w:name w:val="Balloon Text"/>
    <w:basedOn w:val="Normal"/>
    <w:link w:val="BalloonTextChar"/>
    <w:rsid w:val="002E19DC"/>
    <w:rPr>
      <w:rFonts w:ascii="Tahoma" w:hAnsi="Tahoma" w:cs="Tahoma"/>
      <w:sz w:val="16"/>
      <w:szCs w:val="16"/>
    </w:rPr>
  </w:style>
  <w:style w:type="character" w:customStyle="1" w:styleId="BalloonTextChar">
    <w:name w:val="Balloon Text Char"/>
    <w:basedOn w:val="DefaultParagraphFont"/>
    <w:link w:val="BalloonText"/>
    <w:rsid w:val="002E19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9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9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1707</Words>
  <Characters>10635</Characters>
  <Application>Microsoft Office Word</Application>
  <DocSecurity>0</DocSecurity>
  <Lines>416</Lines>
  <Paragraphs>260</Paragraphs>
  <ScaleCrop>false</ScaleCrop>
  <Company>Author-it Software Corporation Ltd.</Company>
  <LinksUpToDate>false</LinksUpToDate>
  <CharactersWithSpaces>12278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FPICOT3260 Recover four wheel drive vehicles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