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280" w:rsidP="003A7280">
      <w:pPr>
        <w:pStyle w:val="Title"/>
      </w:pPr>
      <w:r>
        <w:fldChar w:fldCharType="begin"/>
      </w:r>
      <w:r>
        <w:instrText xml:space="preserve"> TITLE   \* MERGEFORMAT </w:instrText>
      </w:r>
      <w:r>
        <w:fldChar w:fldCharType="separate"/>
      </w:r>
      <w:r>
        <w:t>FPICOT3257 Follow cultural heritage requirements</w:t>
      </w:r>
      <w:r>
        <w:fldChar w:fldCharType="end"/>
      </w:r>
    </w:p>
    <w:p w:rsidR="003A7280" w:rsidP="003A7280">
      <w:pPr>
        <w:pStyle w:val="Version"/>
        <w:sectPr w:rsidSect="001D18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8D0" w:rsidP="001D18D0">
      <w:pPr>
        <w:pStyle w:val="SuperHeading"/>
      </w:pPr>
      <w:r w:rsidRPr="001D18D0">
        <w:t>FPICOT3257 Follow cultural heritage requirements</w:t>
      </w:r>
    </w:p>
    <w:p w:rsidR="00000000" w:rsidRPr="001D18D0" w:rsidP="001D18D0">
      <w:pPr>
        <w:pStyle w:val="Heading1"/>
      </w:pPr>
      <w:bookmarkStart w:id="1" w:name="O_375267"/>
      <w:bookmarkEnd w:id="1"/>
      <w:r w:rsidRPr="001D18D0">
        <w:t>Modification History</w:t>
      </w:r>
    </w:p>
    <w:tbl>
      <w:tblPr>
        <w:tblW w:w="0" w:type="auto"/>
        <w:tblLayout w:type="fixed"/>
        <w:tblCellMar>
          <w:left w:w="62" w:type="dxa"/>
          <w:right w:w="62" w:type="dxa"/>
        </w:tblCellMar>
        <w:tblLook w:val="0000"/>
      </w:tblPr>
      <w:tblGrid>
        <w:gridCol w:w="1877"/>
        <w:gridCol w:w="7195"/>
      </w:tblGrid>
      <w:tr w:rsidTr="001D18D0">
        <w:tblPrEx>
          <w:tblW w:w="0" w:type="auto"/>
          <w:tblLayout w:type="fixed"/>
          <w:tblCellMar>
            <w:left w:w="62" w:type="dxa"/>
            <w:right w:w="62" w:type="dxa"/>
          </w:tblCellMar>
          <w:tblLook w:val="0000"/>
        </w:tblPrEx>
        <w:trPr>
          <w:trHeight w:val="436"/>
        </w:trPr>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D18D0">
            <w:pPr>
              <w:pStyle w:val="Heading4"/>
            </w:pPr>
            <w:r w:rsidRPr="001D18D0">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D18D0">
            <w:pPr>
              <w:pStyle w:val="Heading4"/>
            </w:pPr>
            <w:r w:rsidRPr="001D18D0">
              <w:t>Detail</w:t>
            </w:r>
          </w:p>
        </w:tc>
      </w:tr>
      <w:tr w:rsidTr="001D18D0">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8D0">
            <w:pPr>
              <w:pStyle w:val="BodyText"/>
              <w:rPr>
                <w:lang w:val="en-NZ"/>
              </w:rPr>
            </w:pPr>
            <w:r w:rsidRPr="001D18D0">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8D0" w:rsidP="001D18D0">
            <w:pPr>
              <w:pStyle w:val="BodyText"/>
            </w:pPr>
            <w:r w:rsidRPr="001D18D0">
              <w:t>New unit</w:t>
            </w:r>
          </w:p>
        </w:tc>
      </w:tr>
    </w:tbl>
    <w:p w:rsidR="00000000" w:rsidRPr="001D18D0" w:rsidP="001D18D0">
      <w:pPr>
        <w:pStyle w:val="BodyText"/>
      </w:pPr>
    </w:p>
    <w:p w:rsidR="00000000" w:rsidRPr="001D18D0" w:rsidP="001D18D0">
      <w:pPr>
        <w:pStyle w:val="AllowPageBreak"/>
      </w:pPr>
    </w:p>
    <w:p w:rsidR="00000000" w:rsidRPr="001D18D0" w:rsidP="001D18D0">
      <w:pPr>
        <w:pStyle w:val="Heading1"/>
      </w:pPr>
      <w:bookmarkStart w:id="2" w:name="O_375268"/>
      <w:bookmarkEnd w:id="2"/>
      <w:r w:rsidRPr="001D18D0">
        <w:t>Unit Descriptor</w:t>
      </w:r>
    </w:p>
    <w:p w:rsidR="00000000" w:rsidRPr="001D18D0" w:rsidP="001D18D0">
      <w:pPr>
        <w:pStyle w:val="BodyText"/>
      </w:pPr>
      <w:r w:rsidRPr="001D18D0">
        <w:t>This unit describes the outcomes required to identify and protect Indigenous, historical and natur</w:t>
      </w:r>
      <w:r w:rsidRPr="001D18D0">
        <w:t>al heritage sites in line with relevant legislation.</w:t>
      </w:r>
    </w:p>
    <w:p w:rsidR="00000000" w:rsidRPr="001D18D0" w:rsidP="001D18D0">
      <w:pPr>
        <w:pStyle w:val="AllowPageBreak"/>
      </w:pPr>
    </w:p>
    <w:p w:rsidR="00000000" w:rsidRPr="001D18D0" w:rsidP="001D18D0">
      <w:pPr>
        <w:pStyle w:val="Heading1"/>
      </w:pPr>
      <w:bookmarkStart w:id="3" w:name="O_375269"/>
      <w:bookmarkEnd w:id="3"/>
      <w:r w:rsidRPr="001D18D0">
        <w:t>Application of the Unit</w:t>
      </w:r>
    </w:p>
    <w:p w:rsidR="00000000" w:rsidRPr="001D18D0" w:rsidP="001D18D0">
      <w:pPr>
        <w:pStyle w:val="BodyText"/>
      </w:pPr>
      <w:r w:rsidRPr="001D18D0">
        <w:t>This unit involves identifying cultural heritage sites, applying protective measures, and monitoring work practices with the aim of improving cultural heritage aw</w:t>
      </w:r>
      <w:r w:rsidRPr="001D18D0">
        <w:t>areness and care in a variety of work settings, including a forest or private native forest, horticultural, domestic, local council or emergency services environment.</w:t>
      </w:r>
    </w:p>
    <w:p w:rsidR="00000000" w:rsidRPr="001D18D0" w:rsidP="001D18D0">
      <w:pPr>
        <w:pStyle w:val="AllowPageBreak"/>
      </w:pPr>
    </w:p>
    <w:p w:rsidR="00000000" w:rsidRPr="001D18D0" w:rsidP="001D18D0">
      <w:pPr>
        <w:pStyle w:val="Heading1"/>
      </w:pPr>
      <w:bookmarkStart w:id="4" w:name="O_375270"/>
      <w:bookmarkEnd w:id="4"/>
      <w:r w:rsidRPr="001D18D0">
        <w:t>Licensing/Regulatory Information</w:t>
      </w:r>
    </w:p>
    <w:p w:rsidR="00000000" w:rsidRPr="001D18D0" w:rsidP="001D18D0">
      <w:pPr>
        <w:pStyle w:val="BodyText"/>
      </w:pPr>
      <w:r w:rsidRPr="001D18D0">
        <w:t>General workplace legislative and regul</w:t>
      </w:r>
      <w:r w:rsidRPr="001D18D0">
        <w:t>atory requirements apply to this unit.</w:t>
      </w:r>
    </w:p>
    <w:p w:rsidR="00000000" w:rsidRPr="001D18D0" w:rsidP="001D18D0">
      <w:pPr>
        <w:pStyle w:val="AllowPageBreak"/>
      </w:pPr>
    </w:p>
    <w:p w:rsidR="00000000" w:rsidRPr="001D18D0" w:rsidP="001D18D0">
      <w:pPr>
        <w:pStyle w:val="Heading1"/>
      </w:pPr>
      <w:bookmarkStart w:id="5" w:name="O_375271"/>
      <w:bookmarkEnd w:id="5"/>
      <w:r w:rsidRPr="001D18D0">
        <w:t>Pre-Requisites</w:t>
      </w:r>
    </w:p>
    <w:p w:rsidR="00000000" w:rsidRPr="001D18D0" w:rsidP="001D18D0">
      <w:pPr>
        <w:pStyle w:val="BodyText"/>
      </w:pPr>
      <w:r w:rsidRPr="001D18D0">
        <w:t>Not applicable.</w:t>
      </w:r>
    </w:p>
    <w:p w:rsidR="00000000" w:rsidRPr="001D18D0" w:rsidP="001D18D0">
      <w:pPr>
        <w:pStyle w:val="AllowPageBreak"/>
      </w:pPr>
    </w:p>
    <w:p w:rsidR="00000000" w:rsidRPr="001D18D0" w:rsidP="001D18D0">
      <w:pPr>
        <w:pStyle w:val="Heading1"/>
      </w:pPr>
      <w:bookmarkStart w:id="6" w:name="O_375272"/>
      <w:bookmarkEnd w:id="6"/>
      <w:r w:rsidRPr="001D18D0">
        <w:t>Employability Skills Information</w:t>
      </w:r>
    </w:p>
    <w:p w:rsidR="00000000" w:rsidRPr="001D18D0" w:rsidP="001D18D0">
      <w:pPr>
        <w:pStyle w:val="BodyText"/>
      </w:pPr>
      <w:r w:rsidRPr="001D18D0">
        <w:t xml:space="preserve">This unit contains employability skills </w:t>
      </w:r>
    </w:p>
    <w:p w:rsidR="00000000" w:rsidRPr="001D18D0" w:rsidP="001D18D0">
      <w:pPr>
        <w:pStyle w:val="AllowPageBreak"/>
      </w:pPr>
    </w:p>
    <w:p w:rsidR="00000000" w:rsidRPr="001D18D0" w:rsidP="001D18D0">
      <w:pPr>
        <w:pStyle w:val="Heading1"/>
      </w:pPr>
      <w:bookmarkStart w:id="7" w:name="O_375273"/>
      <w:bookmarkEnd w:id="7"/>
      <w:r w:rsidRPr="001D18D0">
        <w:t>Elements and Performance Criteria Pre-Content</w:t>
      </w:r>
    </w:p>
    <w:tbl>
      <w:tblPr>
        <w:tblW w:w="0" w:type="auto"/>
        <w:tblLayout w:type="fixed"/>
        <w:tblCellMar>
          <w:left w:w="62" w:type="dxa"/>
          <w:right w:w="62" w:type="dxa"/>
        </w:tblCellMar>
        <w:tblLook w:val="0000"/>
      </w:tblPr>
      <w:tblGrid>
        <w:gridCol w:w="2880"/>
        <w:gridCol w:w="4575"/>
      </w:tblGrid>
      <w:tr w:rsidTr="003A728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t>Elements describe the essential outcomes of a unit of competency.</w:t>
            </w:r>
          </w:p>
        </w:tc>
        <w:tc>
          <w:tcPr>
            <w:tcW w:w="4575"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Performance criteria describe the required performance needed to demonstrate achievement of the element. Where bold italicised text is used, </w:t>
            </w:r>
            <w:r w:rsidRPr="001D18D0">
              <w:t>further information is detailed in the Required Skills and Knowledge section and/or the Range Statement. Assessment of performance is to be consistent with the Evidence Guide..</w:t>
            </w:r>
          </w:p>
        </w:tc>
      </w:tr>
    </w:tbl>
    <w:p w:rsidR="00000000" w:rsidRPr="001D18D0" w:rsidP="001D18D0">
      <w:pPr>
        <w:pStyle w:val="BodyText"/>
      </w:pPr>
    </w:p>
    <w:p w:rsidR="00000000" w:rsidRPr="001D18D0" w:rsidP="001D18D0">
      <w:pPr>
        <w:pStyle w:val="AllowPageBreak"/>
      </w:pPr>
    </w:p>
    <w:p w:rsidR="00000000" w:rsidRPr="001D18D0" w:rsidP="001D18D0">
      <w:pPr>
        <w:pStyle w:val="Heading1"/>
      </w:pPr>
      <w:bookmarkStart w:id="8" w:name="O_375274"/>
      <w:bookmarkEnd w:id="8"/>
      <w:r w:rsidRPr="001D18D0">
        <w:t>Elements and Performance Criteria</w:t>
      </w:r>
    </w:p>
    <w:tbl>
      <w:tblPr>
        <w:tblW w:w="0" w:type="auto"/>
        <w:tblLayout w:type="fixed"/>
        <w:tblCellMar>
          <w:left w:w="62" w:type="dxa"/>
          <w:right w:w="62" w:type="dxa"/>
        </w:tblCellMar>
        <w:tblLook w:val="0000"/>
      </w:tblPr>
      <w:tblGrid>
        <w:gridCol w:w="2833"/>
        <w:gridCol w:w="4560"/>
      </w:tblGrid>
      <w:tr w:rsidTr="001D18D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t>1 Access and interpret cul</w:t>
            </w:r>
            <w:r w:rsidRPr="001D18D0">
              <w:t xml:space="preserve">tural heritage legislation and organisational procedures </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1.1 Identify and review information on </w:t>
            </w:r>
            <w:r w:rsidRPr="001D18D0">
              <w:rPr>
                <w:rStyle w:val="BoldandItalics"/>
              </w:rPr>
              <w:t xml:space="preserve">occupational health and safety </w:t>
            </w:r>
            <w:r w:rsidRPr="001D18D0">
              <w:t xml:space="preserve">(OHS), </w:t>
            </w:r>
            <w:r w:rsidRPr="001D18D0">
              <w:rPr>
                <w:rStyle w:val="BoldandItalics"/>
              </w:rPr>
              <w:t xml:space="preserve">legislative </w:t>
            </w:r>
            <w:r w:rsidRPr="001D18D0">
              <w:t xml:space="preserve">and </w:t>
            </w:r>
            <w:r w:rsidRPr="001D18D0">
              <w:rPr>
                <w:rStyle w:val="BoldandItalics"/>
              </w:rPr>
              <w:t>organisational requirements</w:t>
            </w:r>
            <w:r w:rsidRPr="001D18D0">
              <w:t xml:space="preserve"> relevant to recognising and following cultural heritage protection, maintenan</w:t>
            </w:r>
            <w:r w:rsidRPr="001D18D0">
              <w:t>ce and recording</w:t>
            </w:r>
          </w:p>
          <w:p w:rsidR="00000000" w:rsidRPr="001D18D0" w:rsidP="001D18D0">
            <w:pPr>
              <w:pStyle w:val="BodyText"/>
            </w:pPr>
            <w:r w:rsidRPr="001D18D0">
              <w:t>1.2 Identify and interpret key principles and requirements that apply to cultural heritage protection and preservation</w:t>
            </w:r>
          </w:p>
          <w:p w:rsidR="00000000" w:rsidRPr="001D18D0" w:rsidP="001D18D0">
            <w:pPr>
              <w:pStyle w:val="BodyText"/>
            </w:pPr>
            <w:r w:rsidRPr="001D18D0">
              <w:t xml:space="preserve">1.3 Identify partnership arrangements and relationships with appropriate </w:t>
            </w:r>
            <w:r w:rsidRPr="001D18D0">
              <w:rPr>
                <w:rStyle w:val="BoldandItalics"/>
              </w:rPr>
              <w:t xml:space="preserve">government departments, agencies </w:t>
            </w:r>
            <w:r w:rsidRPr="001D18D0">
              <w:t>and other rele</w:t>
            </w:r>
            <w:r w:rsidRPr="001D18D0">
              <w:t>vant community organisations</w:t>
            </w:r>
          </w:p>
          <w:p w:rsidR="00000000" w:rsidP="001D18D0">
            <w:pPr>
              <w:pStyle w:val="BodyText"/>
              <w:rPr>
                <w:lang w:val="en-NZ"/>
              </w:rPr>
            </w:pPr>
            <w:r w:rsidRPr="001D18D0">
              <w:t xml:space="preserve">1.4 Identify </w:t>
            </w:r>
            <w:r w:rsidRPr="001D18D0">
              <w:rPr>
                <w:rStyle w:val="BoldandItalics"/>
              </w:rPr>
              <w:t>Indigenous, historical and natural heritage</w:t>
            </w:r>
            <w:r w:rsidRPr="001D18D0">
              <w:t xml:space="preserve"> sites and/or objects in the forest </w:t>
            </w:r>
            <w:r w:rsidRPr="001D18D0">
              <w:rPr>
                <w:rStyle w:val="BoldandItalics"/>
              </w:rPr>
              <w:t>operational plan</w:t>
            </w:r>
            <w:r w:rsidRPr="001D18D0">
              <w:t xml:space="preserve"> and maps</w:t>
            </w:r>
          </w:p>
        </w:tc>
      </w:tr>
      <w:tr w:rsidTr="001D18D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t xml:space="preserve">2 Apply cultural heritage legislative procedures </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2.1 Review work order and identify and clarify the potenti</w:t>
            </w:r>
            <w:r w:rsidRPr="001D18D0">
              <w:t xml:space="preserve">al impact on cultural heritage with </w:t>
            </w:r>
            <w:r w:rsidRPr="001D18D0">
              <w:rPr>
                <w:rStyle w:val="BoldandItalics"/>
              </w:rPr>
              <w:t>appropriate personnel</w:t>
            </w:r>
          </w:p>
          <w:p w:rsidR="00000000" w:rsidRPr="001D18D0" w:rsidP="001D18D0">
            <w:pPr>
              <w:pStyle w:val="BodyText"/>
            </w:pPr>
            <w:r w:rsidRPr="001D18D0">
              <w:t>2.2 Locate and identify Indigenous, historical and natural heritage sites and/or objects in the field</w:t>
            </w:r>
          </w:p>
          <w:p w:rsidR="00000000" w:rsidRPr="001D18D0" w:rsidP="001D18D0">
            <w:pPr>
              <w:pStyle w:val="BodyText"/>
            </w:pPr>
            <w:r w:rsidRPr="001D18D0">
              <w:t>2.3 Assess and report risks and hazards to cultural heritage sites</w:t>
            </w:r>
          </w:p>
          <w:p w:rsidR="00000000" w:rsidRPr="001D18D0" w:rsidP="001D18D0">
            <w:pPr>
              <w:pStyle w:val="BodyText"/>
            </w:pPr>
            <w:r w:rsidRPr="001D18D0">
              <w:t>2.4 Apply relevant requiremen</w:t>
            </w:r>
            <w:r w:rsidRPr="001D18D0">
              <w:t xml:space="preserve">ts for the selection and use of </w:t>
            </w:r>
            <w:r w:rsidRPr="001D18D0">
              <w:rPr>
                <w:rStyle w:val="BoldandItalics"/>
              </w:rPr>
              <w:t>protection zones</w:t>
            </w:r>
            <w:r w:rsidRPr="001D18D0">
              <w:t>, signage, field markings and equipment and verify them with appropriate personnel</w:t>
            </w:r>
          </w:p>
          <w:p w:rsidR="00000000" w:rsidRPr="001D18D0" w:rsidP="001D18D0">
            <w:pPr>
              <w:pStyle w:val="BodyText"/>
            </w:pPr>
            <w:r w:rsidRPr="001D18D0">
              <w:t>2.5 Carry out cultural heritage protection measures in line with legislative requirements</w:t>
            </w:r>
          </w:p>
          <w:p w:rsidR="00000000" w:rsidP="001D18D0">
            <w:pPr>
              <w:pStyle w:val="BodyText"/>
              <w:rPr>
                <w:lang w:val="en-NZ"/>
              </w:rPr>
            </w:pPr>
            <w:r w:rsidRPr="001D18D0">
              <w:t>2.6 Identify situations requiring specialist advice and the need to seek assistance, in line with organisational requirements</w:t>
            </w:r>
          </w:p>
        </w:tc>
      </w:tr>
      <w:tr w:rsidTr="001D18D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t>3 Monitor work practices to comply with legislation</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3.1 Monitor and adjust work practices to meet </w:t>
            </w:r>
            <w:r w:rsidRPr="001D18D0">
              <w:rPr>
                <w:rStyle w:val="BoldandItalics"/>
              </w:rPr>
              <w:t>changing conditions</w:t>
            </w:r>
          </w:p>
          <w:p w:rsidR="00000000" w:rsidRPr="001D18D0" w:rsidP="001D18D0">
            <w:pPr>
              <w:pStyle w:val="BodyText"/>
            </w:pPr>
            <w:r w:rsidRPr="001D18D0">
              <w:t>3.2 Monitor</w:t>
            </w:r>
            <w:r w:rsidRPr="001D18D0">
              <w:t xml:space="preserve"> and maintain cultural heritage protection measures </w:t>
            </w:r>
          </w:p>
          <w:p w:rsidR="00000000" w:rsidRPr="001D18D0" w:rsidP="001D18D0">
            <w:pPr>
              <w:pStyle w:val="BodyText"/>
            </w:pPr>
            <w:r w:rsidRPr="001D18D0">
              <w:t>3.3 Identify and report non-compliant work practices to appropriate personnel</w:t>
            </w:r>
          </w:p>
          <w:p w:rsidR="00000000" w:rsidP="001D18D0">
            <w:pPr>
              <w:pStyle w:val="BodyText"/>
              <w:rPr>
                <w:lang w:val="en-NZ"/>
              </w:rPr>
            </w:pPr>
            <w:r w:rsidRPr="001D18D0">
              <w:t>3.4 Identify improved work practices and make recommendations in line with organisational continuous improvement procedures</w:t>
            </w:r>
          </w:p>
        </w:tc>
      </w:tr>
      <w:tr w:rsidTr="001D18D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t>4 Maintain records</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4.1 Revise and update forest operational plans in line with legislative and organisational requirements </w:t>
            </w:r>
          </w:p>
          <w:p w:rsidR="00000000" w:rsidRPr="001D18D0" w:rsidP="001D18D0">
            <w:pPr>
              <w:pStyle w:val="BodyText"/>
            </w:pPr>
            <w:r w:rsidRPr="001D18D0">
              <w:t xml:space="preserve">4.2 Complete relevant </w:t>
            </w:r>
            <w:r w:rsidRPr="001D18D0">
              <w:rPr>
                <w:rStyle w:val="BoldandItalics"/>
              </w:rPr>
              <w:t xml:space="preserve">documentation and reporting </w:t>
            </w:r>
            <w:r w:rsidRPr="001D18D0">
              <w:t>processes in line with legislative and organisational requirements</w:t>
            </w:r>
          </w:p>
        </w:tc>
      </w:tr>
    </w:tbl>
    <w:p w:rsidR="00000000" w:rsidRPr="001D18D0" w:rsidP="001D18D0">
      <w:pPr>
        <w:pStyle w:val="BodyText"/>
      </w:pPr>
    </w:p>
    <w:p w:rsidR="00000000" w:rsidRPr="001D18D0" w:rsidP="001D18D0">
      <w:pPr>
        <w:pStyle w:val="AllowPageBreak"/>
      </w:pPr>
    </w:p>
    <w:p w:rsidR="00000000" w:rsidRPr="001D18D0" w:rsidP="001D18D0">
      <w:pPr>
        <w:pStyle w:val="Heading1"/>
      </w:pPr>
      <w:bookmarkStart w:id="9" w:name="O_375275"/>
      <w:bookmarkEnd w:id="9"/>
      <w:r w:rsidRPr="001D18D0">
        <w:t>Required Skills and Knowledge</w:t>
      </w:r>
    </w:p>
    <w:tbl>
      <w:tblPr>
        <w:tblW w:w="0" w:type="auto"/>
        <w:tblLayout w:type="fixed"/>
        <w:tblCellMar>
          <w:left w:w="62" w:type="dxa"/>
          <w:right w:w="62" w:type="dxa"/>
        </w:tblCellMar>
        <w:tblLook w:val="0000"/>
      </w:tblPr>
      <w:tblGrid>
        <w:gridCol w:w="8968"/>
      </w:tblGrid>
      <w:tr w:rsidTr="001D18D0">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t>This section describes the skills and knowledge required for this unit.</w:t>
            </w:r>
          </w:p>
        </w:tc>
      </w:tr>
      <w:tr w:rsidTr="001D18D0">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P="001D18D0">
            <w:pPr>
              <w:pStyle w:val="Heading4"/>
            </w:pPr>
            <w:r w:rsidRPr="001D18D0">
              <w:t>Required skills:</w:t>
            </w:r>
          </w:p>
        </w:tc>
      </w:tr>
      <w:tr w:rsidTr="001D18D0">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Literacy skills to:</w:t>
            </w:r>
          </w:p>
          <w:p w:rsidR="00000000" w:rsidRPr="001D18D0" w:rsidP="001D18D0">
            <w:pPr>
              <w:pStyle w:val="ListBullet2"/>
            </w:pPr>
            <w:r w:rsidRPr="001D18D0">
              <w:t>locate, read, interpret and convey information in written, diagrammatic and/or verbal form</w:t>
            </w:r>
          </w:p>
          <w:p w:rsidR="00000000" w:rsidRPr="001D18D0" w:rsidP="001D18D0">
            <w:pPr>
              <w:pStyle w:val="ListBullet2"/>
            </w:pPr>
            <w:r w:rsidRPr="001D18D0">
              <w:t>complete and maintain documentation to support legislation and organisational requirements</w:t>
            </w:r>
          </w:p>
          <w:p w:rsidR="00000000" w:rsidRPr="001D18D0" w:rsidP="001D18D0">
            <w:pPr>
              <w:pStyle w:val="ListBullet"/>
            </w:pPr>
            <w:r w:rsidRPr="001D18D0">
              <w:t xml:space="preserve">Communication skills and interpersonal techniques to interact appropriately with a range of stakeholders </w:t>
            </w:r>
          </w:p>
          <w:p w:rsidR="00000000" w:rsidRPr="001D18D0" w:rsidP="001D18D0">
            <w:pPr>
              <w:pStyle w:val="ListBullet"/>
            </w:pPr>
            <w:r w:rsidRPr="001D18D0">
              <w:t>Problem-solving skills to:</w:t>
            </w:r>
          </w:p>
          <w:p w:rsidR="00000000" w:rsidRPr="001D18D0" w:rsidP="001D18D0">
            <w:pPr>
              <w:pStyle w:val="ListBullet2"/>
            </w:pPr>
            <w:r w:rsidRPr="001D18D0">
              <w:t>identify problems that impact the site and make appropriate adjustments</w:t>
            </w:r>
          </w:p>
          <w:p w:rsidR="00000000" w:rsidP="001D18D0">
            <w:pPr>
              <w:pStyle w:val="ListBullet2"/>
              <w:rPr>
                <w:lang w:val="en-NZ"/>
              </w:rPr>
            </w:pPr>
            <w:r w:rsidRPr="001D18D0">
              <w:t xml:space="preserve">review, identify and interpret work requirements </w:t>
            </w:r>
          </w:p>
        </w:tc>
      </w:tr>
      <w:tr w:rsidTr="001D18D0">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Required knowledge:</w:t>
            </w:r>
          </w:p>
        </w:tc>
      </w:tr>
      <w:tr w:rsidTr="001D18D0">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Federal, state and territory legislation, regulations, standards, codes of practice and established safe practi</w:t>
            </w:r>
            <w:r w:rsidRPr="001D18D0">
              <w:t xml:space="preserve">ces relevant to the processes for implementing and monitoring cultural heritage protection procedures </w:t>
            </w:r>
          </w:p>
          <w:p w:rsidR="00000000" w:rsidRPr="001D18D0" w:rsidP="001D18D0">
            <w:pPr>
              <w:pStyle w:val="ListBullet"/>
            </w:pPr>
            <w:r w:rsidRPr="001D18D0">
              <w:t xml:space="preserve">Organisational and site standards, requirements, policies and procedures associated with cultural heritage protection </w:t>
            </w:r>
          </w:p>
          <w:p w:rsidR="00000000" w:rsidRPr="001D18D0" w:rsidP="001D18D0">
            <w:pPr>
              <w:pStyle w:val="ListBullet"/>
            </w:pPr>
            <w:r w:rsidRPr="001D18D0">
              <w:t>Importan</w:t>
            </w:r>
            <w:r w:rsidRPr="001D18D0">
              <w:t>ce of Indigenous, historical and natural heritage conservation</w:t>
            </w:r>
          </w:p>
          <w:p w:rsidR="00000000" w:rsidRPr="001D18D0" w:rsidP="001D18D0">
            <w:pPr>
              <w:pStyle w:val="ListBullet"/>
            </w:pPr>
            <w:r w:rsidRPr="001D18D0">
              <w:t>Procedures for preventing harm to cultural heritage sites and objects</w:t>
            </w:r>
          </w:p>
          <w:p w:rsidR="00000000" w:rsidRPr="001D18D0" w:rsidP="001D18D0">
            <w:pPr>
              <w:pStyle w:val="ListBullet"/>
            </w:pPr>
            <w:r w:rsidRPr="001D18D0">
              <w:t xml:space="preserve">Established communication channels and protocols </w:t>
            </w:r>
          </w:p>
          <w:p w:rsidR="00000000" w:rsidRPr="001D18D0" w:rsidP="001D18D0">
            <w:pPr>
              <w:pStyle w:val="ListBullet"/>
            </w:pPr>
            <w:r w:rsidRPr="001D18D0">
              <w:t xml:space="preserve">Problem identification and common fault-finding techniques </w:t>
            </w:r>
          </w:p>
          <w:p w:rsidR="00000000" w:rsidRPr="001D18D0" w:rsidP="001D18D0">
            <w:pPr>
              <w:pStyle w:val="ListBullet"/>
            </w:pPr>
            <w:r w:rsidRPr="001D18D0">
              <w:t>Types of tool</w:t>
            </w:r>
            <w:r w:rsidRPr="001D18D0">
              <w:t>s, equipment and procedures for their safe use and maintenance</w:t>
            </w:r>
          </w:p>
        </w:tc>
      </w:tr>
    </w:tbl>
    <w:p w:rsidR="00000000" w:rsidRPr="001D18D0" w:rsidP="001D18D0">
      <w:pPr>
        <w:pStyle w:val="BodyText"/>
      </w:pPr>
    </w:p>
    <w:p w:rsidR="00000000" w:rsidRPr="001D18D0" w:rsidP="001D18D0">
      <w:pPr>
        <w:pStyle w:val="AllowPageBreak"/>
      </w:pPr>
    </w:p>
    <w:p w:rsidR="00000000" w:rsidRPr="001D18D0" w:rsidP="001D18D0">
      <w:pPr>
        <w:pStyle w:val="Heading1"/>
      </w:pPr>
      <w:bookmarkStart w:id="10" w:name="O_375276"/>
      <w:bookmarkEnd w:id="10"/>
      <w:r w:rsidRPr="001D18D0">
        <w:t>Evidence Guide</w:t>
      </w:r>
    </w:p>
    <w:tbl>
      <w:tblPr>
        <w:tblW w:w="0" w:type="auto"/>
        <w:tblLayout w:type="fixed"/>
        <w:tblCellMar>
          <w:left w:w="62" w:type="dxa"/>
          <w:right w:w="62" w:type="dxa"/>
        </w:tblCellMar>
        <w:tblLook w:val="0000"/>
      </w:tblPr>
      <w:tblGrid>
        <w:gridCol w:w="9030"/>
      </w:tblGrid>
      <w:tr w:rsidTr="003A7280">
        <w:tblPrEx>
          <w:tblW w:w="0" w:type="auto"/>
          <w:tblLayout w:type="fixed"/>
          <w:tblCellMar>
            <w:left w:w="62" w:type="dxa"/>
            <w:right w:w="62" w:type="dxa"/>
          </w:tblCellMar>
          <w:tblLook w:val="0000"/>
        </w:tblPrEx>
        <w:tc>
          <w:tcPr>
            <w:tcW w:w="903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The evidence guide provides advice on assessment and must be read in conjunction with the performance criteria, required skills and knowledge, </w:t>
            </w:r>
            <w:r w:rsidRPr="001D18D0">
              <w:t>range statement and the Assessment Guidelines for the Training Package.</w:t>
            </w:r>
          </w:p>
        </w:tc>
      </w:tr>
    </w:tbl>
    <w:p w:rsidR="00000000" w:rsidRPr="001D18D0" w:rsidP="001D18D0">
      <w:pPr>
        <w:pStyle w:val="BodyText"/>
      </w:pPr>
    </w:p>
    <w:tbl>
      <w:tblPr>
        <w:tblW w:w="0" w:type="auto"/>
        <w:tblLayout w:type="fixed"/>
        <w:tblCellMar>
          <w:left w:w="62" w:type="dxa"/>
          <w:right w:w="62" w:type="dxa"/>
        </w:tblCellMar>
        <w:tblLook w:val="0000"/>
      </w:tblPr>
      <w:tblGrid>
        <w:gridCol w:w="2698"/>
        <w:gridCol w:w="4560"/>
      </w:tblGrid>
      <w:tr w:rsidTr="001D18D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Overview of assessment</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A person who demonstrates competency in this unit must be able to provide evidence that they can implement and monitor cultural heritage identification </w:t>
            </w:r>
            <w:r w:rsidRPr="001D18D0">
              <w:t>and protection principles in a workplace environment</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Critical aspects for assessment and evidence required to demonstrate competency in this unit</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The evidence required to demonstrate competency in this unit must be relevant to and satisfy all of the requ</w:t>
            </w:r>
            <w:r w:rsidRPr="001D18D0">
              <w:t xml:space="preserve">irements of the elements of this unit and include demonstration of: </w:t>
            </w:r>
          </w:p>
          <w:p w:rsidR="00000000" w:rsidRPr="001D18D0" w:rsidP="001D18D0">
            <w:pPr>
              <w:pStyle w:val="ListBullet"/>
            </w:pPr>
            <w:r w:rsidRPr="001D18D0">
              <w:t xml:space="preserve">following federal, state or territory legislative and regulatory requirements and codes of practice relevant to implementing cultural heritage protection principles </w:t>
            </w:r>
          </w:p>
          <w:p w:rsidR="00000000" w:rsidRPr="001D18D0" w:rsidP="001D18D0">
            <w:pPr>
              <w:pStyle w:val="ListBullet"/>
            </w:pPr>
            <w:r w:rsidRPr="001D18D0">
              <w:t>following organisati</w:t>
            </w:r>
            <w:r w:rsidRPr="001D18D0">
              <w:t xml:space="preserve">onal policies and procedures relevant to implementing and monitoring cultural heritage protection principles </w:t>
            </w:r>
          </w:p>
          <w:p w:rsidR="00000000" w:rsidRPr="001D18D0" w:rsidP="001D18D0">
            <w:pPr>
              <w:pStyle w:val="ListBullet"/>
            </w:pPr>
            <w:r w:rsidRPr="001D18D0">
              <w:t>effective communication and safe work practices</w:t>
            </w:r>
          </w:p>
          <w:p w:rsidR="00000000" w:rsidRPr="001D18D0" w:rsidP="001D18D0">
            <w:pPr>
              <w:pStyle w:val="ListBullet"/>
            </w:pPr>
            <w:r w:rsidRPr="001D18D0">
              <w:t>applying best practice and industry-acceptable cultural heritage protection procedures</w:t>
            </w:r>
          </w:p>
          <w:p w:rsidR="00000000" w:rsidRPr="001D18D0" w:rsidP="001D18D0">
            <w:pPr>
              <w:pStyle w:val="ListBullet"/>
            </w:pPr>
            <w:r w:rsidRPr="001D18D0">
              <w:t>monitoring and maintaining cultural heritage protection procedures</w:t>
            </w:r>
          </w:p>
          <w:p w:rsidR="00000000" w:rsidRPr="001D18D0" w:rsidP="001D18D0">
            <w:pPr>
              <w:pStyle w:val="ListBullet"/>
            </w:pPr>
            <w:r w:rsidRPr="001D18D0">
              <w:t>identifying and reporting non-compliant work practices</w:t>
            </w:r>
          </w:p>
          <w:p w:rsidR="00000000" w:rsidRPr="001D18D0" w:rsidP="001D18D0">
            <w:pPr>
              <w:pStyle w:val="ListBullet"/>
            </w:pPr>
            <w:r w:rsidRPr="001D18D0">
              <w:t>completing relevant workplace documentation and reporting procedures</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Context of and specific resources for assessment</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Competency is</w:t>
            </w:r>
            <w:r w:rsidRPr="001D18D0">
              <w:t xml:space="preserve"> to be assessed in the workplace or a realistically simulated workplace </w:t>
            </w:r>
          </w:p>
          <w:p w:rsidR="00000000" w:rsidRPr="001D18D0" w:rsidP="001D18D0">
            <w:pPr>
              <w:pStyle w:val="ListBullet"/>
            </w:pPr>
            <w:r w:rsidRPr="001D18D0">
              <w:t xml:space="preserve">Assessment is to occur under standard and authorised work practices, safety requirements and environmental constraints </w:t>
            </w:r>
          </w:p>
          <w:p w:rsidR="00000000" w:rsidRPr="001D18D0" w:rsidP="001D18D0">
            <w:pPr>
              <w:pStyle w:val="ListBullet"/>
            </w:pPr>
            <w:r w:rsidRPr="001D18D0">
              <w:t>Assessment of required knowledge, other than confirmatory quest</w:t>
            </w:r>
            <w:r w:rsidRPr="001D18D0">
              <w:t xml:space="preserve">ions, will usually be conducted in an off-site context </w:t>
            </w:r>
          </w:p>
          <w:p w:rsidR="00000000" w:rsidRPr="001D18D0" w:rsidP="001D18D0">
            <w:pPr>
              <w:pStyle w:val="ListBullet"/>
            </w:pPr>
            <w:r w:rsidRPr="001D18D0">
              <w:t>Assessment is to follow relevant regulatory requirements and Australian standards</w:t>
            </w:r>
          </w:p>
          <w:p w:rsidR="00000000" w:rsidRPr="001D18D0" w:rsidP="001D18D0">
            <w:pPr>
              <w:pStyle w:val="ListBullet"/>
            </w:pPr>
            <w:r w:rsidRPr="001D18D0">
              <w:t xml:space="preserve">The following resources should be made available: </w:t>
            </w:r>
          </w:p>
          <w:p w:rsidR="00000000" w:rsidRPr="001D18D0" w:rsidP="001D18D0">
            <w:pPr>
              <w:pStyle w:val="ListBullet2"/>
            </w:pPr>
            <w:r w:rsidRPr="001D18D0">
              <w:t xml:space="preserve">workplace location or simulated workplace </w:t>
            </w:r>
          </w:p>
          <w:p w:rsidR="00000000" w:rsidRPr="001D18D0" w:rsidP="001D18D0">
            <w:pPr>
              <w:pStyle w:val="ListBullet2"/>
            </w:pPr>
            <w:r w:rsidRPr="001D18D0">
              <w:t xml:space="preserve">materials and equipment relevant to undertaking work applicable to this unit </w:t>
            </w:r>
          </w:p>
          <w:p w:rsidR="00000000" w:rsidRPr="001D18D0" w:rsidP="001D18D0">
            <w:pPr>
              <w:pStyle w:val="ListBullet2"/>
            </w:pPr>
            <w:r w:rsidRPr="001D18D0">
              <w:t>specifications and work instructions</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Method of assessment</w:t>
            </w:r>
          </w:p>
        </w:tc>
        <w:tc>
          <w:tcPr>
            <w:tcW w:w="4560"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Assessment methods must satisfy the endorsed Assessment Guidelines of the FPI11 Training Package</w:t>
            </w:r>
          </w:p>
          <w:p w:rsidR="00000000" w:rsidRPr="001D18D0" w:rsidP="001D18D0">
            <w:pPr>
              <w:pStyle w:val="ListBullet"/>
            </w:pPr>
            <w:r w:rsidRPr="001D18D0">
              <w:t>Assessment methods m</w:t>
            </w:r>
            <w:r w:rsidRPr="001D18D0">
              <w:t>ust confirm consistency and accuracy of performance (over time and in a range of workplace relevant contexts) together with application of required knowledge</w:t>
            </w:r>
          </w:p>
          <w:p w:rsidR="00000000" w:rsidRPr="001D18D0" w:rsidP="001D18D0">
            <w:pPr>
              <w:pStyle w:val="ListBullet"/>
            </w:pPr>
            <w:r w:rsidRPr="001D18D0">
              <w:t>Assessment must be by direct observation of tasks, with questioning on required knowledge and it must also reinforce the integration of employability skills</w:t>
            </w:r>
          </w:p>
          <w:p w:rsidR="00000000" w:rsidRPr="001D18D0" w:rsidP="001D18D0">
            <w:pPr>
              <w:pStyle w:val="ListBullet"/>
            </w:pPr>
            <w:r w:rsidRPr="001D18D0">
              <w:t>Assessment methods must confirm the ability to access, interpret and apply the required knowledge</w:t>
            </w:r>
          </w:p>
          <w:p w:rsidR="00000000" w:rsidRPr="001D18D0" w:rsidP="001D18D0">
            <w:pPr>
              <w:pStyle w:val="ListBullet"/>
            </w:pPr>
            <w:r w:rsidRPr="001D18D0">
              <w:t>A</w:t>
            </w:r>
            <w:r w:rsidRPr="001D18D0">
              <w:t>ssessment may be applied under project-related conditions (real or simulated) and require evidence of process</w:t>
            </w:r>
          </w:p>
          <w:p w:rsidR="00000000" w:rsidRPr="001D18D0" w:rsidP="001D18D0">
            <w:pPr>
              <w:pStyle w:val="ListBullet"/>
            </w:pPr>
            <w:r w:rsidRPr="001D18D0">
              <w:t xml:space="preserve">Assessment must confirm a reasonable inference that competency is able not only to be satisfied under the particular circumstance, but is able to </w:t>
            </w:r>
            <w:r w:rsidRPr="001D18D0">
              <w:t>be transferred to other circumstances</w:t>
            </w:r>
          </w:p>
          <w:p w:rsidR="00000000" w:rsidRPr="001D18D0" w:rsidP="001D18D0">
            <w:pPr>
              <w:pStyle w:val="ListBullet"/>
            </w:pPr>
            <w:r w:rsidRPr="001D18D0">
              <w:t>Assessment may be in conjunction with assessment of other units of competency</w:t>
            </w:r>
          </w:p>
          <w:p w:rsidR="00000000" w:rsidRPr="001D18D0" w:rsidP="001D18D0">
            <w:pPr>
              <w:pStyle w:val="ListBullet"/>
            </w:pPr>
            <w:r w:rsidRPr="001D18D0">
              <w:t>The assessment environment should not disadvantage the candidate</w:t>
            </w:r>
          </w:p>
          <w:p w:rsidR="00000000" w:rsidRPr="001D18D0" w:rsidP="001D18D0">
            <w:pPr>
              <w:pStyle w:val="ListBullet"/>
            </w:pPr>
            <w:r w:rsidRPr="001D18D0">
              <w:t>Assessment practices should take into account any relevant language or cult</w:t>
            </w:r>
            <w:r w:rsidRPr="001D18D0">
              <w:t>ural issues related to Aboriginality, gender or language backgrounds other than English</w:t>
            </w:r>
          </w:p>
          <w:p w:rsidR="00000000" w:rsidRPr="001D18D0" w:rsidP="001D18D0">
            <w:pPr>
              <w:pStyle w:val="ListBullet"/>
            </w:pPr>
            <w:r w:rsidRPr="001D18D0">
              <w:t>Where the participant has a disability, reasonable adjustment may be applied during assessment</w:t>
            </w:r>
          </w:p>
          <w:p w:rsidR="00000000" w:rsidRPr="001D18D0" w:rsidP="001D18D0">
            <w:pPr>
              <w:pStyle w:val="ListBullet"/>
            </w:pPr>
            <w:r w:rsidRPr="001D18D0">
              <w:t>Language and literacy demands of the assessment task should not be higher</w:t>
            </w:r>
            <w:r w:rsidRPr="001D18D0">
              <w:t xml:space="preserve"> than those of the work role</w:t>
            </w:r>
          </w:p>
        </w:tc>
      </w:tr>
    </w:tbl>
    <w:p w:rsidR="00000000" w:rsidRPr="001D18D0" w:rsidP="001D18D0">
      <w:pPr>
        <w:pStyle w:val="BodyText"/>
      </w:pPr>
    </w:p>
    <w:p w:rsidR="00000000" w:rsidRPr="001D18D0" w:rsidP="001D18D0">
      <w:pPr>
        <w:pStyle w:val="AllowPageBreak"/>
      </w:pPr>
    </w:p>
    <w:p w:rsidR="00000000" w:rsidRPr="001D18D0" w:rsidP="001D18D0">
      <w:pPr>
        <w:pStyle w:val="Heading1"/>
      </w:pPr>
      <w:bookmarkStart w:id="11" w:name="O_375277"/>
      <w:bookmarkEnd w:id="11"/>
      <w:r w:rsidRPr="001D18D0">
        <w:t>Range Statement</w:t>
      </w:r>
    </w:p>
    <w:tbl>
      <w:tblPr>
        <w:tblW w:w="0" w:type="auto"/>
        <w:tblLayout w:type="fixed"/>
        <w:tblCellMar>
          <w:left w:w="62" w:type="dxa"/>
          <w:right w:w="62" w:type="dxa"/>
        </w:tblCellMar>
        <w:tblLook w:val="0000"/>
      </w:tblPr>
      <w:tblGrid>
        <w:gridCol w:w="7455"/>
      </w:tblGrid>
      <w:tr w:rsidTr="003A7280">
        <w:tblPrEx>
          <w:tblW w:w="0" w:type="auto"/>
          <w:tblLayout w:type="fixed"/>
          <w:tblCellMar>
            <w:left w:w="62" w:type="dxa"/>
            <w:right w:w="62" w:type="dxa"/>
          </w:tblCellMar>
          <w:tblLook w:val="0000"/>
        </w:tblPrEx>
        <w:tc>
          <w:tcPr>
            <w:tcW w:w="7455"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 xml:space="preserve">The range statement relates to the unit of competency as a whole. It allows for different work environments and situations that may affect performance. Bold italicised wording, if used in the </w:t>
            </w:r>
            <w:r w:rsidRPr="001D18D0">
              <w:t>performance criteria, is detailed below. Essential operating conditions that may be present with training and assessment (depending on the work situation, needs of the candidate, accessibility of the item, and local industry and regional contexts) may also</w:t>
            </w:r>
            <w:r w:rsidRPr="001D18D0">
              <w:t xml:space="preserve"> be included.</w:t>
            </w:r>
          </w:p>
        </w:tc>
      </w:tr>
    </w:tbl>
    <w:p w:rsidR="00000000" w:rsidRPr="001D18D0" w:rsidP="001D18D0">
      <w:pPr>
        <w:pStyle w:val="BodyText"/>
      </w:pPr>
    </w:p>
    <w:tbl>
      <w:tblPr>
        <w:tblW w:w="0" w:type="auto"/>
        <w:tblLayout w:type="fixed"/>
        <w:tblCellMar>
          <w:left w:w="62" w:type="dxa"/>
          <w:right w:w="62" w:type="dxa"/>
        </w:tblCellMar>
        <w:tblLook w:val="0000"/>
      </w:tblPr>
      <w:tblGrid>
        <w:gridCol w:w="2835"/>
        <w:gridCol w:w="4558"/>
      </w:tblGrid>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OHS requirements:</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 xml:space="preserve">are to be in line with applicable federal, state or territory legislation and regulations, and organisational safety policies and procedures and may include: </w:t>
            </w:r>
          </w:p>
          <w:p w:rsidR="00000000" w:rsidRPr="001D18D0" w:rsidP="001D18D0">
            <w:pPr>
              <w:pStyle w:val="ListBullet2"/>
            </w:pPr>
            <w:r w:rsidRPr="001D18D0">
              <w:t>safe work procedures</w:t>
            </w:r>
          </w:p>
          <w:p w:rsidR="00000000" w:rsidRPr="001D18D0" w:rsidP="001D18D0">
            <w:pPr>
              <w:pStyle w:val="ListBullet2"/>
            </w:pPr>
            <w:r w:rsidRPr="001D18D0">
              <w:t>hazard and risk control</w:t>
            </w:r>
          </w:p>
          <w:p w:rsidR="00000000" w:rsidRPr="001D18D0" w:rsidP="001D18D0">
            <w:pPr>
              <w:pStyle w:val="ListBullet2"/>
            </w:pPr>
            <w:r w:rsidRPr="001D18D0">
              <w:t>elimination of hazardous materials and substances</w:t>
            </w:r>
          </w:p>
          <w:p w:rsidR="00000000" w:rsidRPr="001D18D0" w:rsidP="001D18D0">
            <w:pPr>
              <w:pStyle w:val="ListBullet2"/>
            </w:pPr>
            <w:r w:rsidRPr="001D18D0">
              <w:t>techniques for manual handling, including shifting, lifting and carrying</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Legislative requirements:</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are to be in line with applicable legislation from all levels of government that affect forest operation</w:t>
            </w:r>
            <w:r w:rsidRPr="001D18D0">
              <w:t>s in relation to cultural heritage protection and may include:</w:t>
            </w:r>
          </w:p>
          <w:p w:rsidR="00000000" w:rsidRPr="001D18D0" w:rsidP="001D18D0">
            <w:pPr>
              <w:pStyle w:val="ListBullet2"/>
            </w:pPr>
            <w:r w:rsidRPr="001D18D0">
              <w:t>specific site environmental management plans</w:t>
            </w:r>
          </w:p>
          <w:p w:rsidR="00000000" w:rsidRPr="001D18D0" w:rsidP="001D18D0">
            <w:pPr>
              <w:pStyle w:val="ListBullet2"/>
            </w:pPr>
            <w:r w:rsidRPr="001D18D0">
              <w:t>relevant codes of practice</w:t>
            </w:r>
          </w:p>
          <w:p w:rsidR="00000000" w:rsidRPr="001D18D0" w:rsidP="001D18D0">
            <w:pPr>
              <w:pStyle w:val="ListBullet2"/>
            </w:pPr>
            <w:r w:rsidRPr="001D18D0">
              <w:t>Safe Work Australia code of practice ‘Managing Risks in Forest Operations’</w:t>
            </w:r>
          </w:p>
          <w:p w:rsidR="00000000" w:rsidRPr="001D18D0" w:rsidP="001D18D0">
            <w:pPr>
              <w:pStyle w:val="ListBullet2"/>
            </w:pPr>
            <w:r w:rsidRPr="001D18D0">
              <w:t xml:space="preserve">relevant Australian and industry standards </w:t>
            </w:r>
          </w:p>
          <w:p w:rsidR="00000000" w:rsidRPr="001D18D0" w:rsidP="001D18D0">
            <w:pPr>
              <w:pStyle w:val="ListBullet2"/>
            </w:pPr>
            <w:r w:rsidRPr="001D18D0">
              <w:t>forest operational plans</w:t>
            </w:r>
          </w:p>
          <w:p w:rsidR="00000000" w:rsidRPr="001D18D0" w:rsidP="001D18D0">
            <w:pPr>
              <w:pStyle w:val="ListBullet2"/>
            </w:pPr>
            <w:r w:rsidRPr="001D18D0">
              <w:t>hazard reduction policy and procedures</w:t>
            </w:r>
          </w:p>
          <w:p w:rsidR="00000000" w:rsidRPr="001D18D0" w:rsidP="001D18D0">
            <w:pPr>
              <w:pStyle w:val="ListBullet2"/>
            </w:pPr>
            <w:r w:rsidRPr="001D18D0">
              <w:t>plantation legislation</w:t>
            </w:r>
          </w:p>
          <w:p w:rsidR="00000000" w:rsidRPr="001D18D0" w:rsidP="001D18D0">
            <w:pPr>
              <w:pStyle w:val="ListBullet2"/>
            </w:pPr>
            <w:r w:rsidRPr="001D18D0">
              <w:t xml:space="preserve">reforestation codes </w:t>
            </w:r>
          </w:p>
          <w:p w:rsidR="00000000" w:rsidRPr="001D18D0" w:rsidP="001D18D0">
            <w:pPr>
              <w:pStyle w:val="ListBullet2"/>
            </w:pPr>
            <w:r w:rsidRPr="001D18D0">
              <w:t>duty of care</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Organisational requirements</w:t>
            </w:r>
            <w:r w:rsidRPr="001D18D0">
              <w:t xml:space="preserve"> may include:</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legal compliance documentation</w:t>
            </w:r>
          </w:p>
          <w:p w:rsidR="00000000" w:rsidRPr="001D18D0" w:rsidP="001D18D0">
            <w:pPr>
              <w:pStyle w:val="ListBullet"/>
            </w:pPr>
            <w:r w:rsidRPr="001D18D0">
              <w:t xml:space="preserve">organisational and site guidelines </w:t>
            </w:r>
          </w:p>
          <w:p w:rsidR="00000000" w:rsidRPr="001D18D0" w:rsidP="001D18D0">
            <w:pPr>
              <w:pStyle w:val="ListBullet"/>
            </w:pPr>
            <w:r w:rsidRPr="001D18D0">
              <w:t xml:space="preserve">policies and procedures relating to own role and responsibility </w:t>
            </w:r>
          </w:p>
          <w:p w:rsidR="00000000" w:rsidRPr="001D18D0" w:rsidP="001D18D0">
            <w:pPr>
              <w:pStyle w:val="ListBullet"/>
            </w:pPr>
            <w:r w:rsidRPr="001D18D0">
              <w:t>procedural manuals</w:t>
            </w:r>
          </w:p>
          <w:p w:rsidR="00000000" w:rsidRPr="001D18D0" w:rsidP="001D18D0">
            <w:pPr>
              <w:pStyle w:val="ListBullet"/>
            </w:pPr>
            <w:r w:rsidRPr="001D18D0">
              <w:t xml:space="preserve">quality and continuous improvement processes and standards </w:t>
            </w:r>
          </w:p>
          <w:p w:rsidR="00000000" w:rsidRPr="001D18D0" w:rsidP="001D18D0">
            <w:pPr>
              <w:pStyle w:val="ListBullet"/>
            </w:pPr>
            <w:r w:rsidRPr="001D18D0">
              <w:t>OHS emergency and evacuation procedures</w:t>
            </w:r>
          </w:p>
          <w:p w:rsidR="00000000" w:rsidRPr="001D18D0" w:rsidP="001D18D0">
            <w:pPr>
              <w:pStyle w:val="ListBullet"/>
            </w:pPr>
            <w:r w:rsidRPr="001D18D0">
              <w:t>ethical standards</w:t>
            </w:r>
          </w:p>
          <w:p w:rsidR="00000000" w:rsidRPr="001D18D0" w:rsidP="001D18D0">
            <w:pPr>
              <w:pStyle w:val="ListBullet"/>
            </w:pPr>
            <w:r w:rsidRPr="001D18D0">
              <w:t>recording and reporting</w:t>
            </w:r>
          </w:p>
          <w:p w:rsidR="00000000" w:rsidRPr="001D18D0" w:rsidP="001D18D0">
            <w:pPr>
              <w:pStyle w:val="ListBullet"/>
            </w:pPr>
            <w:r w:rsidRPr="001D18D0">
              <w:t>equipment use, maintenance and</w:t>
            </w:r>
            <w:r w:rsidRPr="001D18D0">
              <w:t xml:space="preserve"> storage</w:t>
            </w:r>
          </w:p>
          <w:p w:rsidR="00000000" w:rsidRPr="001D18D0" w:rsidP="001D18D0">
            <w:pPr>
              <w:pStyle w:val="ListBullet"/>
            </w:pPr>
            <w:r w:rsidRPr="001D18D0">
              <w:t>environmental management requirements, including waste minimisation and disposal, recycling and re-use guidelines</w:t>
            </w:r>
          </w:p>
          <w:p w:rsidR="00000000" w:rsidRPr="001D18D0" w:rsidP="001D18D0">
            <w:pPr>
              <w:pStyle w:val="ListBullet"/>
            </w:pPr>
            <w:r w:rsidRPr="001D18D0">
              <w:t>supervision requirements</w:t>
            </w:r>
          </w:p>
          <w:p w:rsidR="00000000" w:rsidRPr="001D18D0" w:rsidP="001D18D0">
            <w:pPr>
              <w:pStyle w:val="ListBullet"/>
            </w:pPr>
            <w:r w:rsidRPr="001D18D0">
              <w:t>training and licensing</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Government departments and agencies:</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are those federal, state or territory and loc</w:t>
            </w:r>
            <w:r w:rsidRPr="001D18D0">
              <w:t>al departments, authorities, commissions or offices responsible for and administering cultural heritage legislation, codes, guidelines and policy and procedures, and may include:</w:t>
            </w:r>
          </w:p>
          <w:p w:rsidR="00000000" w:rsidRPr="001D18D0" w:rsidP="001D18D0">
            <w:pPr>
              <w:pStyle w:val="ListBullet2"/>
            </w:pPr>
            <w:r w:rsidRPr="001D18D0">
              <w:t>Indigenous affairs and culture</w:t>
            </w:r>
          </w:p>
          <w:p w:rsidR="00000000" w:rsidRPr="001D18D0" w:rsidP="001D18D0">
            <w:pPr>
              <w:pStyle w:val="ListBullet2"/>
            </w:pPr>
            <w:r w:rsidRPr="001D18D0">
              <w:t>heritage and history</w:t>
            </w:r>
          </w:p>
          <w:p w:rsidR="00000000" w:rsidRPr="001D18D0" w:rsidP="001D18D0">
            <w:pPr>
              <w:pStyle w:val="ListBullet2"/>
            </w:pPr>
            <w:r w:rsidRPr="001D18D0">
              <w:t>environment</w:t>
            </w:r>
          </w:p>
          <w:p w:rsidR="00000000" w:rsidRPr="001D18D0" w:rsidP="001D18D0">
            <w:pPr>
              <w:pStyle w:val="ListBullet2"/>
            </w:pPr>
            <w:r w:rsidRPr="001D18D0">
              <w:t>sustainability</w:t>
            </w:r>
          </w:p>
          <w:p w:rsidR="00000000" w:rsidRPr="001D18D0" w:rsidP="001D18D0">
            <w:pPr>
              <w:pStyle w:val="ListBullet2"/>
            </w:pPr>
            <w:r w:rsidRPr="001D18D0">
              <w:t>forestry</w:t>
            </w:r>
          </w:p>
          <w:p w:rsidR="00000000" w:rsidRPr="001D18D0" w:rsidP="001D18D0">
            <w:pPr>
              <w:pStyle w:val="ListBullet2"/>
            </w:pPr>
            <w:r w:rsidRPr="001D18D0">
              <w:t>parks and wildlife</w:t>
            </w:r>
          </w:p>
          <w:p w:rsidR="00000000" w:rsidRPr="001D18D0" w:rsidP="001D18D0">
            <w:pPr>
              <w:pStyle w:val="ListBullet2"/>
            </w:pPr>
            <w:r w:rsidRPr="001D18D0">
              <w:t>water</w:t>
            </w:r>
          </w:p>
          <w:p w:rsidR="00000000" w:rsidP="001D18D0">
            <w:pPr>
              <w:pStyle w:val="BodyText"/>
              <w:rPr>
                <w:lang w:val="en-NZ"/>
              </w:rPr>
            </w:pPr>
          </w:p>
        </w:tc>
      </w:tr>
      <w:tr w:rsidTr="001D18D0">
        <w:tblPrEx>
          <w:tblW w:w="0" w:type="auto"/>
          <w:tblLayout w:type="fixed"/>
          <w:tblCellMar>
            <w:left w:w="62" w:type="dxa"/>
            <w:right w:w="62" w:type="dxa"/>
          </w:tblCellMar>
          <w:tblLook w:val="0000"/>
        </w:tblPrEx>
        <w:trPr>
          <w:trHeight w:val="361"/>
        </w:trPr>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Indigenous heritage:</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consists of any place or object of significance to Indigenous people because of their traditions, observances, lore, customs, beliefs and history, and may include:</w:t>
            </w:r>
          </w:p>
          <w:p w:rsidR="00000000" w:rsidRPr="001D18D0" w:rsidP="001D18D0">
            <w:pPr>
              <w:pStyle w:val="ListBullet2"/>
            </w:pPr>
            <w:r w:rsidRPr="001D18D0">
              <w:t>sacred sites</w:t>
            </w:r>
          </w:p>
          <w:p w:rsidR="00000000" w:rsidRPr="001D18D0" w:rsidP="001D18D0">
            <w:pPr>
              <w:pStyle w:val="ListBullet2"/>
            </w:pPr>
            <w:r w:rsidRPr="001D18D0">
              <w:t>ceremonial sites</w:t>
            </w:r>
          </w:p>
          <w:p w:rsidR="00000000" w:rsidRPr="001D18D0" w:rsidP="001D18D0">
            <w:pPr>
              <w:pStyle w:val="ListBullet2"/>
            </w:pPr>
            <w:r w:rsidRPr="001D18D0">
              <w:t>burial sites</w:t>
            </w:r>
          </w:p>
          <w:p w:rsidR="00000000" w:rsidRPr="001D18D0" w:rsidP="001D18D0">
            <w:pPr>
              <w:pStyle w:val="ListBullet2"/>
            </w:pPr>
            <w:r w:rsidRPr="001D18D0">
              <w:t>rock art and engravings</w:t>
            </w:r>
          </w:p>
          <w:p w:rsidR="00000000" w:rsidRPr="001D18D0" w:rsidP="001D18D0">
            <w:pPr>
              <w:pStyle w:val="ListBullet2"/>
            </w:pPr>
            <w:r w:rsidRPr="001D18D0">
              <w:t>ochre pits</w:t>
            </w:r>
          </w:p>
          <w:p w:rsidR="00000000" w:rsidRPr="001D18D0" w:rsidP="001D18D0">
            <w:pPr>
              <w:pStyle w:val="ListBullet2"/>
            </w:pPr>
            <w:r w:rsidRPr="001D18D0">
              <w:t>scatter sites</w:t>
            </w:r>
          </w:p>
          <w:p w:rsidR="00000000" w:rsidRPr="001D18D0" w:rsidP="001D18D0">
            <w:pPr>
              <w:pStyle w:val="ListBullet2"/>
            </w:pPr>
            <w:r w:rsidRPr="001D18D0">
              <w:t xml:space="preserve">scarred or carved trees </w:t>
            </w:r>
          </w:p>
          <w:p w:rsidR="00000000" w:rsidRPr="001D18D0" w:rsidP="001D18D0">
            <w:pPr>
              <w:pStyle w:val="ListBullet2"/>
            </w:pPr>
            <w:r w:rsidRPr="001D18D0">
              <w:t>stone arrangements or bora rings</w:t>
            </w:r>
          </w:p>
          <w:p w:rsidR="00000000" w:rsidRPr="001D18D0" w:rsidP="001D18D0">
            <w:pPr>
              <w:pStyle w:val="ListBullet2"/>
            </w:pPr>
            <w:r w:rsidRPr="001D18D0">
              <w:t>stone tool manufacture and grinding sites</w:t>
            </w:r>
          </w:p>
          <w:p w:rsidR="00000000" w:rsidRPr="001D18D0" w:rsidP="001D18D0">
            <w:pPr>
              <w:pStyle w:val="ListBullet2"/>
            </w:pPr>
            <w:r w:rsidRPr="001D18D0">
              <w:t>artefacts</w:t>
            </w:r>
          </w:p>
          <w:p w:rsidR="00000000" w:rsidRPr="001D18D0" w:rsidP="001D18D0">
            <w:pPr>
              <w:pStyle w:val="ListBullet2"/>
            </w:pPr>
            <w:r w:rsidRPr="001D18D0">
              <w:t>massacre sites</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Historical heritage:</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 xml:space="preserve">is the legacy of physical artefacts inherited from past generations, maintained in the present and bestowed for the benefit of future generations, and may include: </w:t>
            </w:r>
          </w:p>
          <w:p w:rsidR="00000000" w:rsidRPr="001D18D0" w:rsidP="001D18D0">
            <w:pPr>
              <w:pStyle w:val="ListBullet2"/>
            </w:pPr>
            <w:r w:rsidRPr="001D18D0">
              <w:t>buildings</w:t>
            </w:r>
          </w:p>
          <w:p w:rsidR="00000000" w:rsidRPr="001D18D0" w:rsidP="001D18D0">
            <w:pPr>
              <w:pStyle w:val="ListBullet2"/>
            </w:pPr>
            <w:r w:rsidRPr="001D18D0">
              <w:t xml:space="preserve">constructions </w:t>
            </w:r>
          </w:p>
          <w:p w:rsidR="00000000" w:rsidRPr="001D18D0" w:rsidP="001D18D0">
            <w:pPr>
              <w:pStyle w:val="ListBullet2"/>
            </w:pPr>
            <w:r w:rsidRPr="001D18D0">
              <w:t>mining ruins</w:t>
            </w:r>
          </w:p>
          <w:p w:rsidR="00000000" w:rsidRPr="001D18D0" w:rsidP="001D18D0">
            <w:pPr>
              <w:pStyle w:val="ListBullet2"/>
            </w:pPr>
            <w:r w:rsidRPr="001D18D0">
              <w:t>roadways</w:t>
            </w:r>
          </w:p>
          <w:p w:rsidR="00000000" w:rsidRPr="001D18D0" w:rsidP="001D18D0">
            <w:pPr>
              <w:pStyle w:val="ListBullet2"/>
            </w:pPr>
            <w:r w:rsidRPr="001D18D0">
              <w:t>landscape features, including:</w:t>
            </w:r>
          </w:p>
          <w:p w:rsidR="00000000" w:rsidRPr="001D18D0" w:rsidP="001D18D0">
            <w:pPr>
              <w:pStyle w:val="ListBullet3"/>
            </w:pPr>
            <w:r w:rsidRPr="001D18D0">
              <w:t>convict markings or carvings</w:t>
            </w:r>
          </w:p>
          <w:p w:rsidR="00000000" w:rsidRPr="001D18D0" w:rsidP="001D18D0">
            <w:pPr>
              <w:pStyle w:val="ListBullet3"/>
            </w:pPr>
            <w:r w:rsidRPr="001D18D0">
              <w:t>blazed trees</w:t>
            </w:r>
          </w:p>
          <w:p w:rsidR="00000000" w:rsidRPr="001D18D0" w:rsidP="001D18D0">
            <w:pPr>
              <w:pStyle w:val="ListBullet3"/>
            </w:pPr>
            <w:r w:rsidRPr="001D18D0">
              <w:t>historic locations and sites</w:t>
            </w:r>
          </w:p>
          <w:p w:rsidR="00000000" w:rsidRPr="001D18D0" w:rsidP="001D18D0">
            <w:pPr>
              <w:pStyle w:val="ListBullet2"/>
            </w:pPr>
            <w:r w:rsidRPr="001D18D0">
              <w:t>monuments</w:t>
            </w:r>
          </w:p>
          <w:p w:rsidR="00000000" w:rsidRPr="001D18D0" w:rsidP="001D18D0">
            <w:pPr>
              <w:pStyle w:val="ListBullet2"/>
            </w:pPr>
            <w:r w:rsidRPr="001D18D0">
              <w:t>historic artefacts and objects</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Natural heritage:</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designates outstanding physical, biological and geological features, which may include:</w:t>
            </w:r>
          </w:p>
          <w:p w:rsidR="00000000" w:rsidRPr="001D18D0" w:rsidP="001D18D0">
            <w:pPr>
              <w:pStyle w:val="ListBullet2"/>
            </w:pPr>
            <w:r w:rsidRPr="001D18D0">
              <w:t>physiological feature</w:t>
            </w:r>
          </w:p>
          <w:p w:rsidR="00000000" w:rsidRPr="001D18D0" w:rsidP="001D18D0">
            <w:pPr>
              <w:pStyle w:val="ListBullet2"/>
            </w:pPr>
            <w:r w:rsidRPr="001D18D0">
              <w:t>paleontological feature</w:t>
            </w:r>
          </w:p>
          <w:p w:rsidR="00000000" w:rsidRPr="001D18D0" w:rsidP="001D18D0">
            <w:pPr>
              <w:pStyle w:val="ListBullet2"/>
            </w:pPr>
            <w:r w:rsidRPr="001D18D0">
              <w:t>biological formation</w:t>
            </w:r>
          </w:p>
          <w:p w:rsidR="00000000" w:rsidRPr="001D18D0" w:rsidP="001D18D0">
            <w:pPr>
              <w:pStyle w:val="ListBullet2"/>
            </w:pPr>
            <w:r w:rsidRPr="001D18D0">
              <w:t>habitat of protected, rare or endangered species</w:t>
            </w:r>
          </w:p>
          <w:p w:rsidR="00000000" w:rsidRPr="001D18D0" w:rsidP="001D18D0">
            <w:pPr>
              <w:pStyle w:val="ListBullet2"/>
            </w:pPr>
            <w:r w:rsidRPr="001D18D0">
              <w:t>specific species management area</w:t>
            </w:r>
          </w:p>
          <w:p w:rsidR="00000000" w:rsidRPr="001D18D0" w:rsidP="001D18D0">
            <w:pPr>
              <w:pStyle w:val="ListBullet2"/>
            </w:pPr>
            <w:r w:rsidRPr="001D18D0">
              <w:t>scientific site</w:t>
            </w:r>
          </w:p>
          <w:p w:rsidR="00000000" w:rsidRPr="001D18D0" w:rsidP="001D18D0">
            <w:pPr>
              <w:pStyle w:val="ListBullet2"/>
            </w:pPr>
            <w:r w:rsidRPr="001D18D0">
              <w:t>educational significant site</w:t>
            </w:r>
          </w:p>
          <w:p w:rsidR="00000000" w:rsidRPr="001D18D0" w:rsidP="001D18D0">
            <w:pPr>
              <w:pStyle w:val="ListBullet2"/>
            </w:pPr>
            <w:r w:rsidRPr="001D18D0">
              <w:t>spiritual site</w:t>
            </w:r>
          </w:p>
          <w:p w:rsidR="00000000" w:rsidRPr="001D18D0" w:rsidP="001D18D0">
            <w:pPr>
              <w:pStyle w:val="ListBullet2"/>
            </w:pPr>
            <w:r w:rsidRPr="001D18D0">
              <w:t>nature reserve</w:t>
            </w:r>
          </w:p>
          <w:p w:rsidR="00000000" w:rsidRPr="001D18D0" w:rsidP="001D18D0">
            <w:pPr>
              <w:pStyle w:val="ListBullet2"/>
            </w:pPr>
            <w:r w:rsidRPr="001D18D0">
              <w:t xml:space="preserve">wilderness area </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Operational plan:</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may include:</w:t>
            </w:r>
          </w:p>
          <w:p w:rsidR="00000000" w:rsidRPr="001D18D0" w:rsidP="001D18D0">
            <w:pPr>
              <w:pStyle w:val="ListBullet2"/>
            </w:pPr>
            <w:r w:rsidRPr="001D18D0">
              <w:t>harvesting plan</w:t>
            </w:r>
          </w:p>
          <w:p w:rsidR="00000000" w:rsidRPr="001D18D0" w:rsidP="001D18D0">
            <w:pPr>
              <w:pStyle w:val="ListBullet2"/>
            </w:pPr>
            <w:r w:rsidRPr="001D18D0">
              <w:t>coupe plan</w:t>
            </w:r>
          </w:p>
          <w:p w:rsidR="00000000" w:rsidRPr="001D18D0" w:rsidP="001D18D0">
            <w:pPr>
              <w:pStyle w:val="ListBullet2"/>
            </w:pPr>
            <w:r w:rsidRPr="001D18D0">
              <w:t>road plan</w:t>
            </w:r>
          </w:p>
          <w:p w:rsidR="00000000" w:rsidRPr="001D18D0" w:rsidP="001D18D0">
            <w:pPr>
              <w:pStyle w:val="ListBullet2"/>
            </w:pPr>
            <w:r w:rsidRPr="001D18D0">
              <w:t>drainage plan</w:t>
            </w:r>
          </w:p>
          <w:p w:rsidR="00000000" w:rsidRPr="001D18D0" w:rsidP="001D18D0">
            <w:pPr>
              <w:pStyle w:val="ListBullet2"/>
            </w:pPr>
            <w:r w:rsidRPr="001D18D0">
              <w:t>maps</w:t>
            </w:r>
          </w:p>
          <w:p w:rsidR="00000000" w:rsidRPr="001D18D0" w:rsidP="001D18D0">
            <w:pPr>
              <w:pStyle w:val="ListBullet2"/>
            </w:pPr>
            <w:r w:rsidRPr="001D18D0">
              <w:t>aerial photographs</w:t>
            </w:r>
          </w:p>
          <w:p w:rsidR="00000000" w:rsidRPr="001D18D0" w:rsidP="001D18D0">
            <w:pPr>
              <w:pStyle w:val="ListBullet"/>
            </w:pPr>
            <w:r w:rsidRPr="001D18D0">
              <w:t>generally includes information and instructions relevant to:</w:t>
            </w:r>
          </w:p>
          <w:p w:rsidR="00000000" w:rsidRPr="001D18D0" w:rsidP="001D18D0">
            <w:pPr>
              <w:pStyle w:val="ListBullet2"/>
            </w:pPr>
            <w:r w:rsidRPr="001D18D0">
              <w:t>general coupe/compartment requirements</w:t>
            </w:r>
          </w:p>
          <w:p w:rsidR="00000000" w:rsidRPr="001D18D0" w:rsidP="001D18D0">
            <w:pPr>
              <w:pStyle w:val="ListBullet2"/>
            </w:pPr>
            <w:r w:rsidRPr="001D18D0">
              <w:t>forest inventory</w:t>
            </w:r>
          </w:p>
          <w:p w:rsidR="00000000" w:rsidRPr="001D18D0" w:rsidP="001D18D0">
            <w:pPr>
              <w:pStyle w:val="ListBullet2"/>
            </w:pPr>
            <w:r w:rsidRPr="001D18D0">
              <w:t xml:space="preserve">trees to be felled and retained </w:t>
            </w:r>
          </w:p>
          <w:p w:rsidR="00000000" w:rsidRPr="001D18D0" w:rsidP="001D18D0">
            <w:pPr>
              <w:pStyle w:val="ListBullet2"/>
            </w:pPr>
            <w:r w:rsidRPr="001D18D0">
              <w:t>site plan and environmental f</w:t>
            </w:r>
            <w:r w:rsidRPr="001D18D0">
              <w:t>eatures</w:t>
            </w:r>
          </w:p>
          <w:p w:rsidR="00000000" w:rsidRPr="001D18D0" w:rsidP="001D18D0">
            <w:pPr>
              <w:pStyle w:val="ListBullet2"/>
            </w:pPr>
            <w:r w:rsidRPr="001D18D0">
              <w:t>environmental requirements</w:t>
            </w:r>
          </w:p>
          <w:p w:rsidR="00000000" w:rsidRPr="001D18D0" w:rsidP="001D18D0">
            <w:pPr>
              <w:pStyle w:val="ListBullet2"/>
            </w:pPr>
            <w:r w:rsidRPr="001D18D0">
              <w:t>exclusion zone data and details</w:t>
            </w:r>
          </w:p>
          <w:p w:rsidR="00000000" w:rsidRPr="001D18D0" w:rsidP="001D18D0">
            <w:pPr>
              <w:pStyle w:val="ListBullet2"/>
            </w:pPr>
            <w:r w:rsidRPr="001D18D0">
              <w:t>sensitive habitat locations</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Appropriate personnel</w:t>
            </w:r>
            <w:r w:rsidRPr="001D18D0">
              <w:t xml:space="preserve"> may include:</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colleagues</w:t>
            </w:r>
          </w:p>
          <w:p w:rsidR="00000000" w:rsidRPr="001D18D0" w:rsidP="001D18D0">
            <w:pPr>
              <w:pStyle w:val="ListBullet"/>
            </w:pPr>
            <w:r w:rsidRPr="001D18D0">
              <w:t>supervisors</w:t>
            </w:r>
          </w:p>
          <w:p w:rsidR="00000000" w:rsidRPr="001D18D0" w:rsidP="001D18D0">
            <w:pPr>
              <w:pStyle w:val="ListBullet"/>
            </w:pPr>
            <w:r w:rsidRPr="001D18D0">
              <w:t>managers</w:t>
            </w:r>
          </w:p>
          <w:p w:rsidR="00000000" w:rsidRPr="001D18D0" w:rsidP="001D18D0">
            <w:pPr>
              <w:pStyle w:val="ListBullet"/>
            </w:pPr>
            <w:r w:rsidRPr="001D18D0">
              <w:t>regulatory agency personnel</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Protection zones:</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are areas or zones where operational conditions are varied by prescriptions for the management and protection of cultural heritage sites, and may include:</w:t>
            </w:r>
          </w:p>
          <w:p w:rsidR="00000000" w:rsidRPr="001D18D0" w:rsidP="001D18D0">
            <w:pPr>
              <w:pStyle w:val="ListBullet2"/>
            </w:pPr>
            <w:r w:rsidRPr="001D18D0">
              <w:t>sites of cultural or heritage significance</w:t>
            </w:r>
          </w:p>
          <w:p w:rsidR="00000000" w:rsidRPr="001D18D0" w:rsidP="001D18D0">
            <w:pPr>
              <w:pStyle w:val="ListBullet2"/>
            </w:pPr>
            <w:r w:rsidRPr="001D18D0">
              <w:t>Indigenous sacred sites</w:t>
            </w:r>
          </w:p>
          <w:p w:rsidR="00000000" w:rsidRPr="001D18D0" w:rsidP="001D18D0">
            <w:pPr>
              <w:pStyle w:val="ListBullet2"/>
            </w:pPr>
            <w:r w:rsidRPr="001D18D0">
              <w:t>protected areas or features</w:t>
            </w:r>
          </w:p>
          <w:p w:rsidR="00000000" w:rsidRPr="001D18D0" w:rsidP="001D18D0">
            <w:pPr>
              <w:pStyle w:val="ListBullet2"/>
            </w:pPr>
            <w:r w:rsidRPr="001D18D0">
              <w:t>sites containing danger or risk</w:t>
            </w:r>
          </w:p>
          <w:p w:rsidR="00000000" w:rsidRPr="001D18D0" w:rsidP="001D18D0">
            <w:pPr>
              <w:pStyle w:val="ListBullet2"/>
            </w:pPr>
            <w:r w:rsidRPr="001D18D0">
              <w:t>exclusion zones</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Changing conditions:</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are those conditions that can alter or change and therefore require different work strategies or practices to maximise cultural heritage protection from an increased risk of harm and m</w:t>
            </w:r>
            <w:r w:rsidRPr="001D18D0">
              <w:t>ay include:</w:t>
            </w:r>
          </w:p>
          <w:p w:rsidR="00000000" w:rsidRPr="001D18D0" w:rsidP="001D18D0">
            <w:pPr>
              <w:pStyle w:val="ListBullet2"/>
            </w:pPr>
            <w:r w:rsidRPr="001D18D0">
              <w:t>unexpected discovery of an Indigenous site</w:t>
            </w:r>
          </w:p>
          <w:p w:rsidR="00000000" w:rsidRPr="001D18D0" w:rsidP="001D18D0">
            <w:pPr>
              <w:pStyle w:val="ListBullet2"/>
            </w:pPr>
            <w:r w:rsidRPr="001D18D0">
              <w:t>changing cultural sensitivity</w:t>
            </w:r>
          </w:p>
          <w:p w:rsidR="00000000" w:rsidRPr="001D18D0" w:rsidP="001D18D0">
            <w:pPr>
              <w:pStyle w:val="ListBullet2"/>
            </w:pPr>
            <w:r w:rsidRPr="001D18D0">
              <w:t>unexpected discovery of a heritage or historic site</w:t>
            </w:r>
          </w:p>
          <w:p w:rsidR="00000000" w:rsidRPr="001D18D0" w:rsidP="001D18D0">
            <w:pPr>
              <w:pStyle w:val="ListBullet2"/>
            </w:pPr>
            <w:r w:rsidRPr="001D18D0">
              <w:t xml:space="preserve">environmental features, changing ecology or ecosystem or habitat </w:t>
            </w:r>
          </w:p>
          <w:p w:rsidR="00000000" w:rsidRPr="001D18D0" w:rsidP="001D18D0">
            <w:pPr>
              <w:pStyle w:val="ListBullet2"/>
            </w:pPr>
            <w:r w:rsidRPr="001D18D0">
              <w:t>protected, rare or endangered species encountered</w:t>
            </w:r>
          </w:p>
          <w:p w:rsidR="00000000" w:rsidRPr="001D18D0" w:rsidP="001D18D0">
            <w:pPr>
              <w:pStyle w:val="ListBullet2"/>
            </w:pPr>
            <w:r w:rsidRPr="001D18D0">
              <w:t>operational conditions, such as:</w:t>
            </w:r>
          </w:p>
          <w:p w:rsidR="00000000" w:rsidRPr="001D18D0" w:rsidP="001D18D0">
            <w:pPr>
              <w:pStyle w:val="ListBullet3"/>
            </w:pPr>
            <w:r w:rsidRPr="001D18D0">
              <w:t>adverse weather conditions</w:t>
            </w:r>
          </w:p>
          <w:p w:rsidR="00000000" w:rsidRPr="001D18D0" w:rsidP="001D18D0">
            <w:pPr>
              <w:pStyle w:val="ListBullet3"/>
            </w:pPr>
            <w:r w:rsidRPr="001D18D0">
              <w:t>wind</w:t>
            </w:r>
          </w:p>
          <w:p w:rsidR="00000000" w:rsidRPr="001D18D0" w:rsidP="001D18D0">
            <w:pPr>
              <w:pStyle w:val="ListBullet3"/>
            </w:pPr>
            <w:r w:rsidRPr="001D18D0">
              <w:t>light</w:t>
            </w:r>
          </w:p>
          <w:p w:rsidR="00000000" w:rsidRPr="001D18D0" w:rsidP="001D18D0">
            <w:pPr>
              <w:pStyle w:val="ListBullet2"/>
            </w:pPr>
            <w:r w:rsidRPr="001D18D0">
              <w:t>ground conditions</w:t>
            </w:r>
          </w:p>
          <w:p w:rsidR="00000000" w:rsidRPr="001D18D0" w:rsidP="001D18D0">
            <w:pPr>
              <w:pStyle w:val="ListBullet2"/>
            </w:pPr>
            <w:r w:rsidRPr="001D18D0">
              <w:t>fire</w:t>
            </w:r>
          </w:p>
          <w:p w:rsidR="00000000" w:rsidP="001D18D0">
            <w:pPr>
              <w:pStyle w:val="BodyText"/>
              <w:rPr>
                <w:lang w:val="en-NZ"/>
              </w:rPr>
            </w:pPr>
          </w:p>
        </w:tc>
      </w:tr>
      <w:tr w:rsidTr="001D18D0">
        <w:tblPrEx>
          <w:tblW w:w="0" w:type="auto"/>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Documentation and reporting</w:t>
            </w:r>
            <w:r w:rsidRPr="001D18D0">
              <w:t xml:space="preserve"> may include:</w:t>
            </w:r>
          </w:p>
        </w:tc>
        <w:tc>
          <w:tcPr>
            <w:tcW w:w="4558" w:type="dxa"/>
            <w:tcBorders>
              <w:top w:val="nil"/>
              <w:left w:val="nil"/>
              <w:bottom w:val="nil"/>
              <w:right w:val="nil"/>
            </w:tcBorders>
            <w:tcMar>
              <w:top w:w="0" w:type="dxa"/>
              <w:left w:w="62" w:type="dxa"/>
              <w:bottom w:w="0" w:type="dxa"/>
              <w:right w:w="62" w:type="dxa"/>
            </w:tcMar>
          </w:tcPr>
          <w:p w:rsidR="00000000" w:rsidRPr="001D18D0" w:rsidP="001D18D0">
            <w:pPr>
              <w:pStyle w:val="ListBullet"/>
            </w:pPr>
            <w:r w:rsidRPr="001D18D0">
              <w:t>notifiable Indigenous heritage information requirements</w:t>
            </w:r>
          </w:p>
          <w:p w:rsidR="00000000" w:rsidRPr="001D18D0" w:rsidP="001D18D0">
            <w:pPr>
              <w:pStyle w:val="ListBullet"/>
            </w:pPr>
            <w:r w:rsidRPr="001D18D0">
              <w:t>archaeological or historic finds</w:t>
            </w:r>
          </w:p>
          <w:p w:rsidR="00000000" w:rsidRPr="001D18D0" w:rsidP="001D18D0">
            <w:pPr>
              <w:pStyle w:val="ListBullet"/>
            </w:pPr>
            <w:r w:rsidRPr="001D18D0">
              <w:t>legislative compliance</w:t>
            </w:r>
          </w:p>
          <w:p w:rsidR="00000000" w:rsidRPr="001D18D0" w:rsidP="001D18D0">
            <w:pPr>
              <w:pStyle w:val="ListBullet"/>
            </w:pPr>
            <w:r w:rsidRPr="001D18D0">
              <w:t>environmental compliance</w:t>
            </w:r>
          </w:p>
          <w:p w:rsidR="00000000" w:rsidRPr="001D18D0" w:rsidP="001D18D0">
            <w:pPr>
              <w:pStyle w:val="ListBullet"/>
            </w:pPr>
            <w:r w:rsidRPr="001D18D0">
              <w:t>information on appropriate habitats or landscape features</w:t>
            </w:r>
          </w:p>
          <w:p w:rsidR="00000000" w:rsidRPr="001D18D0" w:rsidP="001D18D0">
            <w:pPr>
              <w:pStyle w:val="ListBullet"/>
            </w:pPr>
            <w:r w:rsidRPr="001D18D0">
              <w:t>exclusion zones</w:t>
            </w:r>
          </w:p>
          <w:p w:rsidR="00000000" w:rsidRPr="001D18D0" w:rsidP="001D18D0">
            <w:pPr>
              <w:pStyle w:val="ListBullet"/>
            </w:pPr>
            <w:r w:rsidRPr="001D18D0">
              <w:t>hazards or potential cultural heritage hazards and risks</w:t>
            </w:r>
          </w:p>
          <w:p w:rsidR="00000000" w:rsidRPr="001D18D0" w:rsidP="001D18D0">
            <w:pPr>
              <w:pStyle w:val="ListBullet"/>
            </w:pPr>
            <w:r w:rsidRPr="001D18D0">
              <w:t>quality outcome requirements and records</w:t>
            </w:r>
          </w:p>
          <w:p w:rsidR="00000000" w:rsidRPr="001D18D0" w:rsidP="001D18D0">
            <w:pPr>
              <w:pStyle w:val="ListBullet"/>
            </w:pPr>
            <w:r w:rsidRPr="001D18D0">
              <w:t>certification requirements</w:t>
            </w:r>
          </w:p>
          <w:p w:rsidR="00000000" w:rsidRPr="001D18D0" w:rsidP="001D18D0">
            <w:pPr>
              <w:pStyle w:val="ListBullet"/>
            </w:pPr>
            <w:r w:rsidRPr="001D18D0">
              <w:t>maintenance schedules and record</w:t>
            </w:r>
            <w:r w:rsidRPr="001D18D0">
              <w:t>s</w:t>
            </w:r>
          </w:p>
          <w:p w:rsidR="00000000" w:rsidRPr="001D18D0" w:rsidP="001D18D0">
            <w:pPr>
              <w:pStyle w:val="ListBullet"/>
            </w:pPr>
            <w:r w:rsidRPr="001D18D0">
              <w:t xml:space="preserve">verbal, manual or computer-based system </w:t>
            </w:r>
          </w:p>
        </w:tc>
      </w:tr>
    </w:tbl>
    <w:p w:rsidR="00000000" w:rsidRPr="001D18D0" w:rsidP="001D18D0">
      <w:pPr>
        <w:pStyle w:val="BodyText"/>
      </w:pPr>
    </w:p>
    <w:p w:rsidR="00000000" w:rsidRPr="001D18D0" w:rsidP="001D18D0">
      <w:pPr>
        <w:pStyle w:val="AllowPageBreak"/>
      </w:pPr>
    </w:p>
    <w:p w:rsidR="00000000" w:rsidRPr="001D18D0" w:rsidP="001D18D0">
      <w:pPr>
        <w:pStyle w:val="Heading1"/>
      </w:pPr>
      <w:bookmarkStart w:id="12" w:name="O_375278"/>
      <w:bookmarkEnd w:id="12"/>
      <w:r w:rsidRPr="001D18D0">
        <w:t>Unit Sector(s)</w:t>
      </w:r>
    </w:p>
    <w:p w:rsidR="00000000" w:rsidRPr="001D18D0" w:rsidP="001D18D0">
      <w:pPr>
        <w:pStyle w:val="BodyText"/>
      </w:pPr>
      <w:r w:rsidRPr="001D18D0">
        <w:t>Common Technical</w:t>
      </w:r>
    </w:p>
    <w:p w:rsidR="00000000" w:rsidRPr="001D18D0" w:rsidP="001D18D0">
      <w:pPr>
        <w:pStyle w:val="AllowPageBreak"/>
      </w:pPr>
    </w:p>
    <w:p w:rsidR="00000000" w:rsidRPr="001D18D0" w:rsidP="001D18D0">
      <w:pPr>
        <w:pStyle w:val="Heading1"/>
      </w:pPr>
      <w:bookmarkStart w:id="13" w:name="O_375279"/>
      <w:bookmarkEnd w:id="13"/>
      <w:r w:rsidRPr="001D18D0">
        <w:t>Competency field</w:t>
      </w:r>
    </w:p>
    <w:tbl>
      <w:tblPr>
        <w:tblW w:w="0" w:type="auto"/>
        <w:tblLayout w:type="fixed"/>
        <w:tblCellMar>
          <w:left w:w="62" w:type="dxa"/>
          <w:right w:w="62" w:type="dxa"/>
        </w:tblCellMar>
        <w:tblLook w:val="0000"/>
      </w:tblPr>
      <w:tblGrid>
        <w:gridCol w:w="2779"/>
        <w:gridCol w:w="5743"/>
      </w:tblGrid>
      <w:tr w:rsidTr="003A728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D18D0">
            <w:pPr>
              <w:pStyle w:val="BodyText"/>
              <w:rPr>
                <w:lang w:val="en-NZ"/>
              </w:rPr>
            </w:pPr>
            <w:r w:rsidRPr="001D18D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D18D0" w:rsidP="001D18D0">
            <w:pPr>
              <w:pStyle w:val="BodyText"/>
            </w:pPr>
            <w:r w:rsidRPr="001D18D0">
              <w:t>n/a</w:t>
            </w:r>
          </w:p>
        </w:tc>
      </w:tr>
    </w:tbl>
    <w:p w:rsidR="00000000" w:rsidRPr="001D18D0" w:rsidP="001D18D0">
      <w:pPr>
        <w:pStyle w:val="BodyText"/>
      </w:pPr>
    </w:p>
    <w:p w:rsidR="00000000" w:rsidRPr="001D18D0" w:rsidP="001D18D0"/>
    <w:sectPr w:rsidSect="001D18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280" w:rsidP="003A7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80" w:rsidP="001D18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7280" w:rsidP="001D18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A7280" w:rsidP="001D18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280" w:rsidP="003A72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80" w:rsidP="001D18D0">
    <w:pPr>
      <w:pStyle w:val="Header"/>
      <w:framePr w:wrap="around"/>
    </w:pPr>
    <w:r>
      <w:fldChar w:fldCharType="begin"/>
    </w:r>
    <w:r>
      <w:instrText xml:space="preserve"> TITLE   \* MERGEFORMAT </w:instrText>
    </w:r>
    <w:r>
      <w:fldChar w:fldCharType="separate"/>
    </w:r>
    <w:r>
      <w:t>FPICOT3257 Follow cultural heritage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7280" w:rsidP="001D18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02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94E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87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8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18D0"/>
    <w:pPr>
      <w:spacing w:before="360" w:after="60"/>
      <w:outlineLvl w:val="0"/>
    </w:pPr>
    <w:rPr>
      <w:sz w:val="32"/>
    </w:rPr>
  </w:style>
  <w:style w:type="paragraph" w:styleId="Heading2">
    <w:name w:val="heading 2"/>
    <w:basedOn w:val="HeadingBase"/>
    <w:next w:val="BodyText"/>
    <w:link w:val="Heading2Char"/>
    <w:qFormat/>
    <w:rsid w:val="001D18D0"/>
    <w:pPr>
      <w:keepLines/>
      <w:spacing w:before="240" w:after="120"/>
      <w:outlineLvl w:val="1"/>
    </w:pPr>
    <w:rPr>
      <w:sz w:val="28"/>
      <w:szCs w:val="40"/>
    </w:rPr>
  </w:style>
  <w:style w:type="paragraph" w:styleId="Heading3">
    <w:name w:val="heading 3"/>
    <w:basedOn w:val="HeadingBase"/>
    <w:next w:val="BodyText"/>
    <w:link w:val="Heading3Char"/>
    <w:qFormat/>
    <w:rsid w:val="001D18D0"/>
    <w:pPr>
      <w:spacing w:before="180" w:after="120"/>
      <w:outlineLvl w:val="2"/>
    </w:pPr>
    <w:rPr>
      <w:spacing w:val="-10"/>
      <w:kern w:val="32"/>
    </w:rPr>
  </w:style>
  <w:style w:type="paragraph" w:styleId="Heading4">
    <w:name w:val="heading 4"/>
    <w:basedOn w:val="HeadingBase"/>
    <w:next w:val="BodyText"/>
    <w:link w:val="Heading4Char"/>
    <w:qFormat/>
    <w:rsid w:val="001D18D0"/>
    <w:pPr>
      <w:spacing w:before="160" w:after="120"/>
      <w:outlineLvl w:val="3"/>
    </w:pPr>
    <w:rPr>
      <w:sz w:val="22"/>
    </w:rPr>
  </w:style>
  <w:style w:type="paragraph" w:styleId="Heading5">
    <w:name w:val="heading 5"/>
    <w:basedOn w:val="HeadingBase"/>
    <w:next w:val="Normal"/>
    <w:link w:val="Heading5Char"/>
    <w:qFormat/>
    <w:rsid w:val="001D18D0"/>
    <w:pPr>
      <w:spacing w:before="80"/>
      <w:outlineLvl w:val="4"/>
    </w:pPr>
    <w:rPr>
      <w:color w:val="918585"/>
      <w:sz w:val="20"/>
    </w:rPr>
  </w:style>
  <w:style w:type="paragraph" w:styleId="Heading6">
    <w:name w:val="heading 6"/>
    <w:basedOn w:val="HeadingBase"/>
    <w:next w:val="Normal"/>
    <w:link w:val="Heading6Char"/>
    <w:qFormat/>
    <w:rsid w:val="001D18D0"/>
    <w:pPr>
      <w:spacing w:before="60"/>
      <w:outlineLvl w:val="5"/>
    </w:pPr>
    <w:rPr>
      <w:color w:val="918585"/>
      <w:sz w:val="20"/>
    </w:rPr>
  </w:style>
  <w:style w:type="paragraph" w:styleId="Heading7">
    <w:name w:val="heading 7"/>
    <w:basedOn w:val="Normal"/>
    <w:next w:val="Normal"/>
    <w:link w:val="Heading7Char"/>
    <w:qFormat/>
    <w:rsid w:val="001D18D0"/>
    <w:pPr>
      <w:ind w:left="720"/>
      <w:outlineLvl w:val="6"/>
    </w:pPr>
    <w:rPr>
      <w:i/>
    </w:rPr>
  </w:style>
  <w:style w:type="paragraph" w:styleId="Heading8">
    <w:name w:val="heading 8"/>
    <w:basedOn w:val="Normal"/>
    <w:next w:val="Normal"/>
    <w:link w:val="Heading8Char"/>
    <w:qFormat/>
    <w:rsid w:val="001D18D0"/>
    <w:pPr>
      <w:ind w:left="720"/>
      <w:outlineLvl w:val="7"/>
    </w:pPr>
    <w:rPr>
      <w:i/>
    </w:rPr>
  </w:style>
  <w:style w:type="paragraph" w:styleId="Heading9">
    <w:name w:val="heading 9"/>
    <w:basedOn w:val="Normal"/>
    <w:next w:val="Normal"/>
    <w:link w:val="Heading9Char"/>
    <w:qFormat/>
    <w:rsid w:val="001D18D0"/>
    <w:pPr>
      <w:ind w:left="720"/>
      <w:outlineLvl w:val="8"/>
    </w:pPr>
    <w:rPr>
      <w:i/>
    </w:rPr>
  </w:style>
  <w:style w:type="character" w:default="1" w:styleId="DefaultParagraphFont">
    <w:name w:val="Default Paragraph Font"/>
    <w:uiPriority w:val="1"/>
    <w:unhideWhenUsed/>
    <w:rsid w:val="001D1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8D0"/>
  </w:style>
  <w:style w:type="character" w:customStyle="1" w:styleId="Heading1Char">
    <w:name w:val="Heading 1 Char"/>
    <w:basedOn w:val="DefaultParagraphFont"/>
    <w:link w:val="Heading1"/>
    <w:rsid w:val="001D18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D18D0"/>
    <w:rPr>
      <w:rFonts w:ascii="Times New Roman" w:eastAsia="Times New Roman" w:hAnsi="Times New Roman" w:cs="Times New Roman"/>
      <w:b/>
      <w:szCs w:val="20"/>
      <w:lang w:eastAsia="en-US"/>
    </w:rPr>
  </w:style>
  <w:style w:type="paragraph" w:styleId="BodyText">
    <w:name w:val="Body Text"/>
    <w:basedOn w:val="Normal"/>
    <w:link w:val="BodyTextChar"/>
    <w:rsid w:val="001D18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8D0"/>
    <w:rPr>
      <w:rFonts w:ascii="Times New Roman" w:eastAsia="Times New Roman" w:hAnsi="Times New Roman" w:cs="Times New Roman"/>
      <w:sz w:val="24"/>
      <w:lang w:val="en-US" w:eastAsia="en-US"/>
    </w:rPr>
  </w:style>
  <w:style w:type="paragraph" w:styleId="Footer">
    <w:name w:val="footer"/>
    <w:basedOn w:val="Normal"/>
    <w:link w:val="FooterChar"/>
    <w:rsid w:val="001D1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8D0"/>
    <w:rPr>
      <w:rFonts w:ascii="Times New Roman" w:eastAsia="Times New Roman" w:hAnsi="Times New Roman" w:cs="Times New Roman"/>
      <w:sz w:val="16"/>
      <w:lang w:val="en-US" w:eastAsia="en-US"/>
    </w:rPr>
  </w:style>
  <w:style w:type="paragraph" w:styleId="ListBullet">
    <w:name w:val="List Bullet"/>
    <w:basedOn w:val="List"/>
    <w:rsid w:val="001D18D0"/>
    <w:pPr>
      <w:numPr>
        <w:numId w:val="14"/>
      </w:numPr>
      <w:tabs>
        <w:tab w:val="clear" w:pos="340"/>
      </w:tabs>
      <w:spacing w:before="40" w:after="40"/>
    </w:pPr>
  </w:style>
  <w:style w:type="character" w:customStyle="1" w:styleId="SpecialBold">
    <w:name w:val="Special Bold"/>
    <w:basedOn w:val="DefaultParagraphFont"/>
    <w:rsid w:val="001D18D0"/>
    <w:rPr>
      <w:b/>
      <w:spacing w:val="0"/>
    </w:rPr>
  </w:style>
  <w:style w:type="paragraph" w:styleId="ListBullet2">
    <w:name w:val="List Bullet 2"/>
    <w:basedOn w:val="List2"/>
    <w:rsid w:val="001D18D0"/>
    <w:pPr>
      <w:numPr>
        <w:numId w:val="15"/>
      </w:numPr>
      <w:tabs>
        <w:tab w:val="clear" w:pos="680"/>
      </w:tabs>
    </w:pPr>
  </w:style>
  <w:style w:type="paragraph" w:styleId="Header">
    <w:name w:val="header"/>
    <w:basedOn w:val="Normal"/>
    <w:link w:val="HeaderChar"/>
    <w:rsid w:val="001D1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8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18D0"/>
    <w:pPr>
      <w:spacing w:before="240" w:after="120"/>
      <w:outlineLvl w:val="0"/>
    </w:pPr>
    <w:rPr>
      <w:rFonts w:ascii="Times New Roman" w:hAnsi="Times New Roman"/>
      <w:b/>
      <w:sz w:val="28"/>
    </w:rPr>
  </w:style>
  <w:style w:type="paragraph" w:customStyle="1" w:styleId="AllowPageBreak">
    <w:name w:val="AllowPageBreak"/>
    <w:rsid w:val="001D18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18D0"/>
    <w:pPr>
      <w:numPr>
        <w:numId w:val="3"/>
      </w:numPr>
      <w:tabs>
        <w:tab w:val="clear" w:pos="1021"/>
      </w:tabs>
      <w:ind w:left="1037" w:hanging="357"/>
    </w:pPr>
  </w:style>
  <w:style w:type="character" w:customStyle="1" w:styleId="BoldandItalics">
    <w:name w:val="Bold and Italics"/>
    <w:qFormat/>
    <w:rsid w:val="001D18D0"/>
    <w:rPr>
      <w:b/>
      <w:i/>
      <w:u w:val="none"/>
    </w:rPr>
  </w:style>
  <w:style w:type="character" w:customStyle="1" w:styleId="Heading2Char">
    <w:name w:val="Heading 2 Char"/>
    <w:basedOn w:val="DefaultParagraphFont"/>
    <w:link w:val="Heading2"/>
    <w:rsid w:val="001D1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8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D1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8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18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18D0"/>
    <w:rPr>
      <w:rFonts w:ascii="Courier New" w:eastAsia="Times New Roman" w:hAnsi="Courier New" w:cs="Times New Roman"/>
      <w:i/>
      <w:szCs w:val="20"/>
      <w:lang w:val="en-US" w:eastAsia="en-US"/>
    </w:rPr>
  </w:style>
  <w:style w:type="paragraph" w:customStyle="1" w:styleId="HeadingBase">
    <w:name w:val="Heading Base"/>
    <w:rsid w:val="001D1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8D0"/>
    <w:pPr>
      <w:tabs>
        <w:tab w:val="right" w:leader="dot" w:pos="9072"/>
      </w:tabs>
      <w:ind w:left="567"/>
    </w:pPr>
    <w:rPr>
      <w:szCs w:val="22"/>
    </w:rPr>
  </w:style>
  <w:style w:type="paragraph" w:customStyle="1" w:styleId="TOCBase">
    <w:name w:val="TOC Base"/>
    <w:rsid w:val="001D1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8D0"/>
    <w:pPr>
      <w:tabs>
        <w:tab w:val="right" w:leader="dot" w:pos="9072"/>
      </w:tabs>
      <w:spacing w:before="40" w:after="40"/>
      <w:ind w:left="284"/>
    </w:pPr>
    <w:rPr>
      <w:rFonts w:ascii="Times New Roman" w:hAnsi="Times New Roman"/>
    </w:rPr>
  </w:style>
  <w:style w:type="paragraph" w:styleId="TOC1">
    <w:name w:val="toc 1"/>
    <w:basedOn w:val="TOCBase"/>
    <w:next w:val="Normal"/>
    <w:rsid w:val="001D18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18D0"/>
    <w:pPr>
      <w:spacing w:before="5040"/>
      <w:jc w:val="center"/>
    </w:pPr>
    <w:rPr>
      <w:sz w:val="48"/>
      <w:szCs w:val="72"/>
      <w:lang w:val="en-US"/>
    </w:rPr>
  </w:style>
  <w:style w:type="character" w:customStyle="1" w:styleId="TitleChar">
    <w:name w:val="Title Char"/>
    <w:basedOn w:val="DefaultParagraphFont"/>
    <w:link w:val="Title"/>
    <w:rsid w:val="001D1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8D0"/>
    <w:pPr>
      <w:tabs>
        <w:tab w:val="left" w:pos="3600"/>
        <w:tab w:val="left" w:pos="3958"/>
      </w:tabs>
    </w:pPr>
  </w:style>
  <w:style w:type="paragraph" w:styleId="List">
    <w:name w:val="List"/>
    <w:basedOn w:val="BodyText"/>
    <w:next w:val="BodyText"/>
    <w:rsid w:val="001D18D0"/>
    <w:pPr>
      <w:tabs>
        <w:tab w:val="left" w:pos="340"/>
      </w:tabs>
      <w:spacing w:before="60" w:after="60"/>
      <w:ind w:left="340" w:hanging="340"/>
    </w:pPr>
  </w:style>
  <w:style w:type="paragraph" w:customStyle="1" w:styleId="Note">
    <w:name w:val="Note"/>
    <w:basedOn w:val="BodyText"/>
    <w:rsid w:val="001D1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8D0"/>
    <w:pPr>
      <w:framePr w:wrap="auto" w:hAnchor="text" w:y="6049"/>
    </w:pPr>
    <w:rPr>
      <w:color w:val="000000"/>
      <w:sz w:val="40"/>
    </w:rPr>
  </w:style>
  <w:style w:type="paragraph" w:customStyle="1" w:styleId="TOCTitle">
    <w:name w:val="TOCTitle"/>
    <w:basedOn w:val="Heading1"/>
    <w:rsid w:val="001D18D0"/>
    <w:pPr>
      <w:spacing w:after="240"/>
      <w:jc w:val="center"/>
      <w:outlineLvl w:val="9"/>
    </w:pPr>
    <w:rPr>
      <w:caps/>
    </w:rPr>
  </w:style>
  <w:style w:type="paragraph" w:customStyle="1" w:styleId="Version">
    <w:name w:val="Version"/>
    <w:rsid w:val="001D18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8D0"/>
    <w:pPr>
      <w:keepNext w:val="0"/>
      <w:tabs>
        <w:tab w:val="right" w:pos="4176"/>
      </w:tabs>
      <w:ind w:left="198" w:hanging="198"/>
    </w:pPr>
    <w:rPr>
      <w:rFonts w:ascii="Garamond" w:hAnsi="Garamond"/>
    </w:rPr>
  </w:style>
  <w:style w:type="paragraph" w:styleId="IndexHeading">
    <w:name w:val="index heading"/>
    <w:basedOn w:val="Normal"/>
    <w:next w:val="Index1"/>
    <w:semiHidden/>
    <w:rsid w:val="001D18D0"/>
    <w:pPr>
      <w:spacing w:before="120" w:after="120"/>
    </w:pPr>
    <w:rPr>
      <w:rFonts w:ascii="Arial" w:hAnsi="Arial"/>
      <w:b/>
      <w:color w:val="918585"/>
      <w:sz w:val="24"/>
    </w:rPr>
  </w:style>
  <w:style w:type="paragraph" w:customStyle="1" w:styleId="Chapter">
    <w:name w:val="Chapter"/>
    <w:basedOn w:val="Normal"/>
    <w:rsid w:val="001D18D0"/>
    <w:pPr>
      <w:spacing w:before="240"/>
    </w:pPr>
    <w:rPr>
      <w:rFonts w:ascii="Times New Roman" w:hAnsi="Times New Roman"/>
      <w:smallCaps/>
      <w:spacing w:val="80"/>
      <w:sz w:val="28"/>
    </w:rPr>
  </w:style>
  <w:style w:type="paragraph" w:customStyle="1" w:styleId="InChapter">
    <w:name w:val="InChapter"/>
    <w:basedOn w:val="Heading3"/>
    <w:rsid w:val="001D18D0"/>
    <w:pPr>
      <w:spacing w:after="240"/>
      <w:outlineLvl w:val="9"/>
    </w:pPr>
    <w:rPr>
      <w:noProof/>
    </w:rPr>
  </w:style>
  <w:style w:type="paragraph" w:styleId="Index2">
    <w:name w:val="index 2"/>
    <w:basedOn w:val="Normal"/>
    <w:next w:val="Normal"/>
    <w:semiHidden/>
    <w:rsid w:val="001D18D0"/>
    <w:pPr>
      <w:tabs>
        <w:tab w:val="right" w:pos="4176"/>
      </w:tabs>
      <w:ind w:left="568" w:hanging="284"/>
    </w:pPr>
    <w:rPr>
      <w:rFonts w:ascii="Garamond" w:hAnsi="Garamond"/>
    </w:rPr>
  </w:style>
  <w:style w:type="paragraph" w:customStyle="1" w:styleId="Byline">
    <w:name w:val="Byline"/>
    <w:rsid w:val="001D1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8D0"/>
    <w:pPr>
      <w:tabs>
        <w:tab w:val="clear" w:pos="3600"/>
        <w:tab w:val="clear" w:pos="3958"/>
      </w:tabs>
      <w:jc w:val="right"/>
    </w:pPr>
  </w:style>
  <w:style w:type="character" w:styleId="Emphasis">
    <w:name w:val="Emphasis"/>
    <w:basedOn w:val="DefaultParagraphFont"/>
    <w:qFormat/>
    <w:rsid w:val="001D18D0"/>
    <w:rPr>
      <w:i/>
    </w:rPr>
  </w:style>
  <w:style w:type="paragraph" w:styleId="Caption">
    <w:name w:val="caption"/>
    <w:basedOn w:val="BodyText"/>
    <w:next w:val="Normal"/>
    <w:qFormat/>
    <w:rsid w:val="001D18D0"/>
    <w:pPr>
      <w:framePr w:w="2268" w:hSpace="181" w:vSpace="181" w:wrap="around" w:vAnchor="text" w:hAnchor="page" w:x="1135" w:y="285" w:anchorLock="1"/>
    </w:pPr>
    <w:rPr>
      <w:i/>
    </w:rPr>
  </w:style>
  <w:style w:type="paragraph" w:customStyle="1" w:styleId="MiniTOCTitle">
    <w:name w:val="MiniTOCTitle"/>
    <w:basedOn w:val="Heading4"/>
    <w:rsid w:val="001D18D0"/>
    <w:pPr>
      <w:spacing w:before="240"/>
      <w:outlineLvl w:val="9"/>
    </w:pPr>
    <w:rPr>
      <w:noProof/>
      <w:sz w:val="24"/>
    </w:rPr>
  </w:style>
  <w:style w:type="paragraph" w:customStyle="1" w:styleId="MiniTOCItem">
    <w:name w:val="MiniTOCItem"/>
    <w:basedOn w:val="ListBullet"/>
    <w:rsid w:val="001D18D0"/>
    <w:pPr>
      <w:numPr>
        <w:numId w:val="0"/>
      </w:numPr>
      <w:tabs>
        <w:tab w:val="right" w:leader="dot" w:pos="6521"/>
      </w:tabs>
      <w:spacing w:before="0" w:after="0"/>
    </w:pPr>
  </w:style>
  <w:style w:type="paragraph" w:customStyle="1" w:styleId="TOFTitle">
    <w:name w:val="TOFTitle"/>
    <w:basedOn w:val="TOCTitle"/>
    <w:rsid w:val="001D18D0"/>
  </w:style>
  <w:style w:type="paragraph" w:styleId="TableofFigures">
    <w:name w:val="table of figures"/>
    <w:basedOn w:val="Normal"/>
    <w:next w:val="Normal"/>
    <w:semiHidden/>
    <w:rsid w:val="001D18D0"/>
    <w:pPr>
      <w:tabs>
        <w:tab w:val="right" w:leader="dot" w:pos="9072"/>
      </w:tabs>
      <w:ind w:left="970" w:hanging="403"/>
    </w:pPr>
    <w:rPr>
      <w:rFonts w:ascii="Times New Roman" w:hAnsi="Times New Roman"/>
      <w:b/>
    </w:rPr>
  </w:style>
  <w:style w:type="paragraph" w:styleId="ListNumber">
    <w:name w:val="List Number"/>
    <w:basedOn w:val="List"/>
    <w:rsid w:val="001D18D0"/>
    <w:pPr>
      <w:numPr>
        <w:numId w:val="12"/>
      </w:numPr>
    </w:pPr>
  </w:style>
  <w:style w:type="character" w:customStyle="1" w:styleId="WingdingSymbols">
    <w:name w:val="Wingding Symbols"/>
    <w:rsid w:val="001D18D0"/>
    <w:rPr>
      <w:rFonts w:ascii="Wingdings" w:hAnsi="Wingdings"/>
    </w:rPr>
  </w:style>
  <w:style w:type="paragraph" w:customStyle="1" w:styleId="TableHeading">
    <w:name w:val="Table Heading"/>
    <w:basedOn w:val="HeadingBase"/>
    <w:rsid w:val="001D18D0"/>
    <w:pPr>
      <w:keepLines/>
      <w:pBdr>
        <w:bottom w:val="single" w:sz="6" w:space="1" w:color="918585"/>
      </w:pBdr>
      <w:spacing w:before="240"/>
    </w:pPr>
  </w:style>
  <w:style w:type="character" w:customStyle="1" w:styleId="HotSpot">
    <w:name w:val="HotSpot"/>
    <w:rsid w:val="001D18D0"/>
    <w:rPr>
      <w:color w:val="0033CC"/>
      <w:u w:val="none"/>
    </w:rPr>
  </w:style>
  <w:style w:type="paragraph" w:customStyle="1" w:styleId="BodyTextRight">
    <w:name w:val="Body Text Right"/>
    <w:basedOn w:val="BodyText"/>
    <w:rsid w:val="001D18D0"/>
    <w:pPr>
      <w:spacing w:before="0" w:after="0"/>
      <w:jc w:val="right"/>
    </w:pPr>
  </w:style>
  <w:style w:type="paragraph" w:styleId="Index3">
    <w:name w:val="index 3"/>
    <w:basedOn w:val="ListNumber2"/>
    <w:next w:val="Normal"/>
    <w:semiHidden/>
    <w:rsid w:val="001D18D0"/>
    <w:pPr>
      <w:numPr>
        <w:numId w:val="0"/>
      </w:numPr>
      <w:tabs>
        <w:tab w:val="right" w:leader="dot" w:pos="4176"/>
      </w:tabs>
    </w:pPr>
  </w:style>
  <w:style w:type="paragraph" w:styleId="ListNumber2">
    <w:name w:val="List Number 2"/>
    <w:basedOn w:val="List2"/>
    <w:rsid w:val="001D18D0"/>
    <w:pPr>
      <w:numPr>
        <w:numId w:val="11"/>
      </w:numPr>
      <w:tabs>
        <w:tab w:val="clear" w:pos="1060"/>
      </w:tabs>
    </w:pPr>
  </w:style>
  <w:style w:type="paragraph" w:customStyle="1" w:styleId="MarginNote">
    <w:name w:val="Margin Note"/>
    <w:basedOn w:val="BodyText"/>
    <w:rsid w:val="001D1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8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18D0"/>
    <w:rPr>
      <w:sz w:val="32"/>
    </w:rPr>
  </w:style>
  <w:style w:type="paragraph" w:customStyle="1" w:styleId="HeadingProcedure">
    <w:name w:val="Heading Procedure"/>
    <w:basedOn w:val="HeadingBase"/>
    <w:next w:val="Normal"/>
    <w:rsid w:val="001D18D0"/>
    <w:pPr>
      <w:tabs>
        <w:tab w:val="left" w:pos="0"/>
      </w:tabs>
      <w:spacing w:before="120" w:after="60"/>
    </w:pPr>
    <w:rPr>
      <w:i/>
      <w:color w:val="918585"/>
      <w:sz w:val="22"/>
    </w:rPr>
  </w:style>
  <w:style w:type="paragraph" w:customStyle="1" w:styleId="TableBodyText">
    <w:name w:val="Table Body Text"/>
    <w:basedOn w:val="BodyText"/>
    <w:rsid w:val="001D18D0"/>
    <w:pPr>
      <w:spacing w:before="60" w:after="60"/>
    </w:pPr>
  </w:style>
  <w:style w:type="paragraph" w:styleId="ListContinue">
    <w:name w:val="List Continue"/>
    <w:basedOn w:val="List"/>
    <w:rsid w:val="001D18D0"/>
    <w:pPr>
      <w:ind w:firstLine="0"/>
    </w:pPr>
  </w:style>
  <w:style w:type="paragraph" w:customStyle="1" w:styleId="ListNote">
    <w:name w:val="List Note"/>
    <w:basedOn w:val="List"/>
    <w:rsid w:val="001D18D0"/>
    <w:pPr>
      <w:pBdr>
        <w:top w:val="single" w:sz="6" w:space="2" w:color="918585"/>
        <w:bottom w:val="single" w:sz="6" w:space="2" w:color="918585"/>
      </w:pBdr>
      <w:tabs>
        <w:tab w:val="left" w:pos="1021"/>
      </w:tabs>
      <w:ind w:firstLine="0"/>
    </w:pPr>
  </w:style>
  <w:style w:type="paragraph" w:customStyle="1" w:styleId="Warning">
    <w:name w:val="Warning"/>
    <w:basedOn w:val="BodyText"/>
    <w:rsid w:val="001D18D0"/>
    <w:pPr>
      <w:shd w:val="clear" w:color="auto" w:fill="D9D9D9"/>
      <w:tabs>
        <w:tab w:val="left" w:pos="992"/>
      </w:tabs>
      <w:ind w:left="119" w:right="119"/>
    </w:pPr>
    <w:rPr>
      <w:sz w:val="20"/>
    </w:rPr>
  </w:style>
  <w:style w:type="paragraph" w:customStyle="1" w:styleId="MarginIcons">
    <w:name w:val="Margin Icons"/>
    <w:basedOn w:val="BodyText"/>
    <w:rsid w:val="001D1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8D0"/>
    <w:rPr>
      <w:rFonts w:ascii="Courier New" w:hAnsi="Courier New"/>
    </w:rPr>
  </w:style>
  <w:style w:type="paragraph" w:customStyle="1" w:styleId="NoteBullet">
    <w:name w:val="Note Bullet"/>
    <w:basedOn w:val="Note"/>
    <w:rsid w:val="001D18D0"/>
    <w:pPr>
      <w:tabs>
        <w:tab w:val="clear" w:pos="680"/>
      </w:tabs>
      <w:spacing w:before="60" w:after="60"/>
    </w:pPr>
  </w:style>
  <w:style w:type="paragraph" w:customStyle="1" w:styleId="SubHeading2">
    <w:name w:val="SubHeading2"/>
    <w:basedOn w:val="HeadingBase"/>
    <w:rsid w:val="001D18D0"/>
    <w:pPr>
      <w:spacing w:before="240" w:after="60"/>
    </w:pPr>
    <w:rPr>
      <w:sz w:val="20"/>
    </w:rPr>
  </w:style>
  <w:style w:type="paragraph" w:customStyle="1" w:styleId="SubHeading1">
    <w:name w:val="SubHeading1"/>
    <w:basedOn w:val="HeadingBase"/>
    <w:rsid w:val="001D18D0"/>
    <w:pPr>
      <w:spacing w:before="240" w:after="60"/>
    </w:pPr>
    <w:rPr>
      <w:color w:val="918585"/>
      <w:sz w:val="22"/>
    </w:rPr>
  </w:style>
  <w:style w:type="paragraph" w:customStyle="1" w:styleId="SideHeading">
    <w:name w:val="Side Heading"/>
    <w:basedOn w:val="HeadingBase"/>
    <w:rsid w:val="001D1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8D0"/>
    <w:pPr>
      <w:numPr>
        <w:numId w:val="13"/>
      </w:numPr>
    </w:pPr>
  </w:style>
  <w:style w:type="paragraph" w:styleId="PlainText">
    <w:name w:val="Plain Text"/>
    <w:basedOn w:val="Normal"/>
    <w:link w:val="PlainTextChar"/>
    <w:rsid w:val="001D18D0"/>
    <w:rPr>
      <w:sz w:val="20"/>
    </w:rPr>
  </w:style>
  <w:style w:type="character" w:customStyle="1" w:styleId="PlainTextChar">
    <w:name w:val="Plain Text Char"/>
    <w:basedOn w:val="DefaultParagraphFont"/>
    <w:link w:val="PlainText"/>
    <w:rsid w:val="001D18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18D0"/>
    <w:rPr>
      <w:b/>
      <w:smallCaps/>
    </w:rPr>
  </w:style>
  <w:style w:type="paragraph" w:customStyle="1" w:styleId="TableListNumber">
    <w:name w:val="Table List Number"/>
    <w:basedOn w:val="ListNumber"/>
    <w:rsid w:val="001D18D0"/>
    <w:pPr>
      <w:numPr>
        <w:numId w:val="0"/>
      </w:numPr>
    </w:pPr>
  </w:style>
  <w:style w:type="paragraph" w:styleId="TOC4">
    <w:name w:val="toc 4"/>
    <w:basedOn w:val="TOCBase"/>
    <w:next w:val="Normal"/>
    <w:semiHidden/>
    <w:rsid w:val="001D18D0"/>
    <w:pPr>
      <w:tabs>
        <w:tab w:val="right" w:leader="dot" w:pos="9071"/>
      </w:tabs>
      <w:ind w:left="1701"/>
    </w:pPr>
  </w:style>
  <w:style w:type="paragraph" w:customStyle="1" w:styleId="ListAlpha">
    <w:name w:val="List Alpha"/>
    <w:basedOn w:val="List"/>
    <w:rsid w:val="001D18D0"/>
    <w:pPr>
      <w:numPr>
        <w:numId w:val="10"/>
      </w:numPr>
    </w:pPr>
  </w:style>
  <w:style w:type="paragraph" w:customStyle="1" w:styleId="ListAlpha2">
    <w:name w:val="List Alpha 2"/>
    <w:basedOn w:val="List2"/>
    <w:rsid w:val="001D18D0"/>
    <w:pPr>
      <w:numPr>
        <w:numId w:val="9"/>
      </w:numPr>
    </w:pPr>
  </w:style>
  <w:style w:type="paragraph" w:styleId="List2">
    <w:name w:val="List 2"/>
    <w:basedOn w:val="BodyText"/>
    <w:rsid w:val="001D18D0"/>
    <w:pPr>
      <w:tabs>
        <w:tab w:val="left" w:pos="680"/>
      </w:tabs>
      <w:spacing w:before="60" w:after="60"/>
      <w:ind w:left="680" w:hanging="340"/>
    </w:pPr>
  </w:style>
  <w:style w:type="paragraph" w:styleId="List3">
    <w:name w:val="List 3"/>
    <w:basedOn w:val="BodyText"/>
    <w:rsid w:val="001D18D0"/>
    <w:pPr>
      <w:tabs>
        <w:tab w:val="left" w:pos="1021"/>
      </w:tabs>
      <w:spacing w:before="60" w:after="60"/>
      <w:ind w:left="1020" w:hanging="340"/>
    </w:pPr>
  </w:style>
  <w:style w:type="paragraph" w:styleId="List4">
    <w:name w:val="List 4"/>
    <w:basedOn w:val="BodyText"/>
    <w:rsid w:val="001D18D0"/>
    <w:pPr>
      <w:tabs>
        <w:tab w:val="left" w:pos="1361"/>
      </w:tabs>
      <w:spacing w:before="60" w:after="60"/>
      <w:ind w:left="1361" w:hanging="340"/>
    </w:pPr>
  </w:style>
  <w:style w:type="paragraph" w:styleId="List5">
    <w:name w:val="List 5"/>
    <w:basedOn w:val="BodyText"/>
    <w:rsid w:val="001D18D0"/>
    <w:pPr>
      <w:tabs>
        <w:tab w:val="left" w:pos="1701"/>
      </w:tabs>
      <w:spacing w:before="60" w:after="60"/>
      <w:ind w:left="1701" w:hanging="340"/>
    </w:pPr>
  </w:style>
  <w:style w:type="paragraph" w:styleId="ListBullet4">
    <w:name w:val="List Bullet 4"/>
    <w:basedOn w:val="List4"/>
    <w:rsid w:val="001D18D0"/>
    <w:pPr>
      <w:numPr>
        <w:numId w:val="4"/>
      </w:numPr>
    </w:pPr>
  </w:style>
  <w:style w:type="paragraph" w:styleId="ListBullet5">
    <w:name w:val="List Bullet 5"/>
    <w:basedOn w:val="List5"/>
    <w:rsid w:val="001D18D0"/>
    <w:pPr>
      <w:numPr>
        <w:numId w:val="5"/>
      </w:numPr>
    </w:pPr>
  </w:style>
  <w:style w:type="paragraph" w:styleId="ListContinue2">
    <w:name w:val="List Continue 2"/>
    <w:basedOn w:val="List2"/>
    <w:rsid w:val="001D18D0"/>
    <w:pPr>
      <w:ind w:firstLine="0"/>
    </w:pPr>
  </w:style>
  <w:style w:type="paragraph" w:styleId="ListContinue3">
    <w:name w:val="List Continue 3"/>
    <w:basedOn w:val="List3"/>
    <w:rsid w:val="001D18D0"/>
    <w:pPr>
      <w:ind w:left="1021" w:firstLine="0"/>
    </w:pPr>
  </w:style>
  <w:style w:type="paragraph" w:styleId="ListContinue4">
    <w:name w:val="List Continue 4"/>
    <w:basedOn w:val="List4"/>
    <w:rsid w:val="001D18D0"/>
    <w:pPr>
      <w:ind w:firstLine="0"/>
    </w:pPr>
  </w:style>
  <w:style w:type="paragraph" w:styleId="ListContinue5">
    <w:name w:val="List Continue 5"/>
    <w:basedOn w:val="List5"/>
    <w:rsid w:val="001D18D0"/>
    <w:pPr>
      <w:ind w:firstLine="0"/>
    </w:pPr>
  </w:style>
  <w:style w:type="paragraph" w:styleId="ListNumber3">
    <w:name w:val="List Number 3"/>
    <w:basedOn w:val="List3"/>
    <w:rsid w:val="001D18D0"/>
    <w:pPr>
      <w:numPr>
        <w:numId w:val="6"/>
      </w:numPr>
    </w:pPr>
  </w:style>
  <w:style w:type="paragraph" w:styleId="ListNumber4">
    <w:name w:val="List Number 4"/>
    <w:basedOn w:val="List4"/>
    <w:rsid w:val="001D18D0"/>
    <w:pPr>
      <w:numPr>
        <w:numId w:val="7"/>
      </w:numPr>
    </w:pPr>
  </w:style>
  <w:style w:type="paragraph" w:styleId="ListNumber5">
    <w:name w:val="List Number 5"/>
    <w:basedOn w:val="List5"/>
    <w:rsid w:val="001D18D0"/>
    <w:pPr>
      <w:numPr>
        <w:numId w:val="8"/>
      </w:numPr>
    </w:pPr>
  </w:style>
  <w:style w:type="paragraph" w:styleId="BlockText">
    <w:name w:val="Block Text"/>
    <w:basedOn w:val="Normal"/>
    <w:rsid w:val="001D18D0"/>
    <w:pPr>
      <w:spacing w:after="120"/>
      <w:ind w:left="1440" w:right="1440"/>
    </w:pPr>
  </w:style>
  <w:style w:type="character" w:customStyle="1" w:styleId="Subscript">
    <w:name w:val="Subscript"/>
    <w:basedOn w:val="DefaultParagraphFont"/>
    <w:rsid w:val="001D18D0"/>
    <w:rPr>
      <w:sz w:val="16"/>
      <w:vertAlign w:val="subscript"/>
    </w:rPr>
  </w:style>
  <w:style w:type="character" w:customStyle="1" w:styleId="Superscript">
    <w:name w:val="Superscript"/>
    <w:basedOn w:val="DefaultParagraphFont"/>
    <w:rsid w:val="001D18D0"/>
    <w:rPr>
      <w:sz w:val="16"/>
      <w:vertAlign w:val="superscript"/>
    </w:rPr>
  </w:style>
  <w:style w:type="character" w:customStyle="1" w:styleId="Symbols">
    <w:name w:val="Symbols"/>
    <w:basedOn w:val="DefaultParagraphFont"/>
    <w:rsid w:val="001D18D0"/>
    <w:rPr>
      <w:rFonts w:ascii="Symbol" w:hAnsi="Symbol"/>
    </w:rPr>
  </w:style>
  <w:style w:type="character" w:customStyle="1" w:styleId="MenuOptions">
    <w:name w:val="Menu Options"/>
    <w:basedOn w:val="DefaultParagraphFont"/>
    <w:rsid w:val="001D18D0"/>
    <w:rPr>
      <w:rFonts w:ascii="Arial Narrow" w:hAnsi="Arial Narrow"/>
      <w:smallCaps/>
    </w:rPr>
  </w:style>
  <w:style w:type="character" w:customStyle="1" w:styleId="Buttons">
    <w:name w:val="Buttons"/>
    <w:basedOn w:val="DefaultParagraphFont"/>
    <w:rsid w:val="001D18D0"/>
    <w:rPr>
      <w:b/>
    </w:rPr>
  </w:style>
  <w:style w:type="character" w:customStyle="1" w:styleId="Underlined">
    <w:name w:val="Underlined"/>
    <w:basedOn w:val="DefaultParagraphFont"/>
    <w:rsid w:val="001D18D0"/>
    <w:rPr>
      <w:u w:val="single"/>
    </w:rPr>
  </w:style>
  <w:style w:type="paragraph" w:customStyle="1" w:styleId="TableBodyTextRight">
    <w:name w:val="Table Body Text Right"/>
    <w:basedOn w:val="TableBodyText"/>
    <w:rsid w:val="001D18D0"/>
    <w:pPr>
      <w:widowControl w:val="0"/>
      <w:autoSpaceDE w:val="0"/>
      <w:autoSpaceDN w:val="0"/>
      <w:adjustRightInd w:val="0"/>
      <w:jc w:val="right"/>
    </w:pPr>
    <w:rPr>
      <w:rFonts w:cs="Arial"/>
      <w:szCs w:val="18"/>
    </w:rPr>
  </w:style>
  <w:style w:type="paragraph" w:customStyle="1" w:styleId="CopyrightText">
    <w:name w:val="Copyright Text"/>
    <w:basedOn w:val="BodyText"/>
    <w:rsid w:val="001D18D0"/>
    <w:rPr>
      <w:sz w:val="18"/>
    </w:rPr>
  </w:style>
  <w:style w:type="paragraph" w:customStyle="1" w:styleId="BodySmallRight">
    <w:name w:val="Body Small Right"/>
    <w:basedOn w:val="BodyTextRight"/>
    <w:rsid w:val="001D18D0"/>
    <w:rPr>
      <w:sz w:val="18"/>
      <w:szCs w:val="18"/>
    </w:rPr>
  </w:style>
  <w:style w:type="paragraph" w:customStyle="1" w:styleId="MarginEdition">
    <w:name w:val="Margin Edition"/>
    <w:basedOn w:val="MarginNote"/>
    <w:rsid w:val="001D18D0"/>
    <w:pPr>
      <w:spacing w:before="0" w:after="0"/>
    </w:pPr>
    <w:rPr>
      <w:rFonts w:ascii="Times New Roman" w:hAnsi="Times New Roman"/>
      <w:color w:val="999999"/>
    </w:rPr>
  </w:style>
  <w:style w:type="paragraph" w:customStyle="1" w:styleId="Spacer">
    <w:name w:val="Spacer"/>
    <w:basedOn w:val="Normal"/>
    <w:rsid w:val="001D18D0"/>
    <w:rPr>
      <w:sz w:val="2"/>
      <w:szCs w:val="2"/>
    </w:rPr>
  </w:style>
  <w:style w:type="character" w:customStyle="1" w:styleId="Small">
    <w:name w:val="Small"/>
    <w:basedOn w:val="DefaultParagraphFont"/>
    <w:rsid w:val="001D18D0"/>
    <w:rPr>
      <w:sz w:val="16"/>
    </w:rPr>
  </w:style>
  <w:style w:type="paragraph" w:customStyle="1" w:styleId="WideTable">
    <w:name w:val="Wide Table"/>
    <w:basedOn w:val="Normal"/>
    <w:rsid w:val="001D18D0"/>
    <w:pPr>
      <w:ind w:left="-1418"/>
    </w:pPr>
    <w:rPr>
      <w:sz w:val="2"/>
      <w:szCs w:val="2"/>
    </w:rPr>
  </w:style>
  <w:style w:type="character" w:styleId="PageNumber">
    <w:name w:val="page number"/>
    <w:basedOn w:val="DefaultParagraphFont"/>
    <w:rsid w:val="001D18D0"/>
  </w:style>
  <w:style w:type="paragraph" w:styleId="Quote">
    <w:name w:val="Quote"/>
    <w:basedOn w:val="Heading1"/>
    <w:link w:val="QuoteChar"/>
    <w:qFormat/>
    <w:rsid w:val="001D18D0"/>
    <w:rPr>
      <w:b w:val="0"/>
      <w:sz w:val="72"/>
      <w:szCs w:val="72"/>
      <w:lang w:val="en-NZ"/>
    </w:rPr>
  </w:style>
  <w:style w:type="character" w:customStyle="1" w:styleId="QuoteChar">
    <w:name w:val="Quote Char"/>
    <w:basedOn w:val="DefaultParagraphFont"/>
    <w:link w:val="Quote"/>
    <w:rsid w:val="001D1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8D0"/>
    <w:pPr>
      <w:pageBreakBefore/>
    </w:pPr>
  </w:style>
  <w:style w:type="paragraph" w:customStyle="1" w:styleId="Border">
    <w:name w:val="Border"/>
    <w:basedOn w:val="Normal"/>
    <w:qFormat/>
    <w:rsid w:val="001D1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8D0"/>
    <w:rPr>
      <w:b/>
      <w:bCs/>
      <w:i/>
      <w:iCs/>
      <w:color w:val="auto"/>
    </w:rPr>
  </w:style>
  <w:style w:type="paragraph" w:styleId="IntenseQuote">
    <w:name w:val="Intense Quote"/>
    <w:basedOn w:val="Normal"/>
    <w:next w:val="Normal"/>
    <w:link w:val="IntenseQuoteChar"/>
    <w:uiPriority w:val="30"/>
    <w:qFormat/>
    <w:rsid w:val="001D1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8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18D0"/>
    <w:rPr>
      <w:smallCaps/>
      <w:color w:val="auto"/>
      <w:u w:val="single"/>
    </w:rPr>
  </w:style>
  <w:style w:type="character" w:styleId="IntenseReference">
    <w:name w:val="Intense Reference"/>
    <w:basedOn w:val="DefaultParagraphFont"/>
    <w:uiPriority w:val="32"/>
    <w:qFormat/>
    <w:rsid w:val="001D18D0"/>
    <w:rPr>
      <w:b/>
      <w:bCs/>
      <w:smallCaps/>
      <w:color w:val="auto"/>
      <w:spacing w:val="5"/>
      <w:u w:val="single"/>
    </w:rPr>
  </w:style>
  <w:style w:type="paragraph" w:customStyle="1" w:styleId="2ColumnHeading">
    <w:name w:val="2Column Heading"/>
    <w:basedOn w:val="BodyText"/>
    <w:qFormat/>
    <w:rsid w:val="001D18D0"/>
    <w:pPr>
      <w:spacing w:after="60"/>
      <w:ind w:left="-2268"/>
    </w:pPr>
    <w:rPr>
      <w:b/>
    </w:rPr>
  </w:style>
  <w:style w:type="paragraph" w:customStyle="1" w:styleId="Heading1TOC">
    <w:name w:val="Heading1 TOC"/>
    <w:basedOn w:val="Normal"/>
    <w:qFormat/>
    <w:rsid w:val="001D18D0"/>
    <w:pPr>
      <w:spacing w:before="240" w:after="120"/>
    </w:pPr>
    <w:rPr>
      <w:rFonts w:ascii="Times New Roman" w:hAnsi="Times New Roman"/>
      <w:b/>
      <w:sz w:val="32"/>
    </w:rPr>
  </w:style>
  <w:style w:type="paragraph" w:customStyle="1" w:styleId="Heading2TOC">
    <w:name w:val="Heading2 TOC"/>
    <w:basedOn w:val="Normal"/>
    <w:qFormat/>
    <w:rsid w:val="001D18D0"/>
    <w:pPr>
      <w:spacing w:before="240" w:after="60"/>
    </w:pPr>
    <w:rPr>
      <w:rFonts w:ascii="Times New Roman" w:hAnsi="Times New Roman"/>
      <w:b/>
      <w:sz w:val="28"/>
    </w:rPr>
  </w:style>
  <w:style w:type="character" w:customStyle="1" w:styleId="Underline">
    <w:name w:val="Underline"/>
    <w:basedOn w:val="DefaultParagraphFont"/>
    <w:qFormat/>
    <w:rsid w:val="001D18D0"/>
    <w:rPr>
      <w:u w:val="single"/>
    </w:rPr>
  </w:style>
  <w:style w:type="paragraph" w:styleId="BalloonText">
    <w:name w:val="Balloon Text"/>
    <w:basedOn w:val="Normal"/>
    <w:link w:val="BalloonTextChar"/>
    <w:rsid w:val="001D18D0"/>
    <w:rPr>
      <w:rFonts w:ascii="Tahoma" w:hAnsi="Tahoma" w:cs="Tahoma"/>
      <w:sz w:val="16"/>
      <w:szCs w:val="16"/>
    </w:rPr>
  </w:style>
  <w:style w:type="character" w:customStyle="1" w:styleId="BalloonTextChar">
    <w:name w:val="Balloon Text Char"/>
    <w:basedOn w:val="DefaultParagraphFont"/>
    <w:link w:val="BalloonText"/>
    <w:rsid w:val="001D18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18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8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1742</Words>
  <Characters>11606</Characters>
  <Application>Microsoft Office Word</Application>
  <DocSecurity>0</DocSecurity>
  <Lines>454</Lines>
  <Paragraphs>230</Paragraphs>
  <ScaleCrop>false</ScaleCrop>
  <Company>Author-it Software Corporation Ltd.</Company>
  <LinksUpToDate>false</LinksUpToDate>
  <CharactersWithSpaces>13307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FPICOT3257 Follow cultural heritage requirements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2012-05-26T16:35:00Z</dcterms:created>
  <dcterms:modified xsi:type="dcterms:W3CDTF">2012-05-26T16:35:00Z</dcterms:modified>
</cp:coreProperties>
</file>