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427E" w:rsidP="000C427E">
      <w:pPr>
        <w:pStyle w:val="Title"/>
      </w:pPr>
      <w:r>
        <w:fldChar w:fldCharType="begin"/>
      </w:r>
      <w:r>
        <w:instrText xml:space="preserve"> TITLE   \* MERGEFORMAT </w:instrText>
      </w:r>
      <w:r>
        <w:fldChar w:fldCharType="separate"/>
      </w:r>
      <w:r>
        <w:t>FPIWPP3219B Blend and test binding mixes</w:t>
      </w:r>
      <w:r>
        <w:fldChar w:fldCharType="end"/>
      </w:r>
    </w:p>
    <w:p w:rsidR="000C427E" w:rsidP="000C427E">
      <w:pPr>
        <w:pStyle w:val="Version"/>
        <w:sectPr w:rsidSect="004243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432F" w:rsidP="0042432F">
      <w:pPr>
        <w:pStyle w:val="SuperHeading"/>
      </w:pPr>
      <w:r w:rsidRPr="0042432F">
        <w:t>FPIWPP3219B Blend and test binding mixes</w:t>
      </w:r>
    </w:p>
    <w:p w:rsidR="00000000" w:rsidRPr="0042432F" w:rsidP="0042432F">
      <w:pPr>
        <w:pStyle w:val="Heading1"/>
      </w:pPr>
      <w:bookmarkStart w:id="1" w:name="O_270784"/>
      <w:bookmarkEnd w:id="1"/>
      <w:r w:rsidRPr="0042432F">
        <w:t>Modification History</w:t>
      </w:r>
    </w:p>
    <w:p w:rsidR="00000000" w:rsidRPr="0042432F" w:rsidP="0042432F">
      <w:pPr>
        <w:pStyle w:val="BodyText"/>
      </w:pPr>
      <w:r w:rsidRPr="0042432F">
        <w:t>Not Applicable</w:t>
      </w:r>
    </w:p>
    <w:p w:rsidR="00000000" w:rsidRPr="0042432F" w:rsidP="0042432F">
      <w:pPr>
        <w:pStyle w:val="AllowPageBreak"/>
      </w:pPr>
    </w:p>
    <w:p w:rsidR="00000000" w:rsidRPr="0042432F" w:rsidP="0042432F">
      <w:pPr>
        <w:pStyle w:val="Heading1"/>
      </w:pPr>
      <w:bookmarkStart w:id="2" w:name="O_204540"/>
      <w:bookmarkEnd w:id="2"/>
      <w:r w:rsidRPr="0042432F">
        <w:t>Unit Descriptor</w:t>
      </w:r>
    </w:p>
    <w:tbl>
      <w:tblPr>
        <w:tblW w:w="0" w:type="auto"/>
        <w:tblLayout w:type="fixed"/>
        <w:tblCellMar>
          <w:left w:w="62" w:type="dxa"/>
          <w:right w:w="62" w:type="dxa"/>
        </w:tblCellMar>
        <w:tblLook w:val="0000"/>
      </w:tblPr>
      <w:tblGrid>
        <w:gridCol w:w="2664"/>
        <w:gridCol w:w="5858"/>
      </w:tblGrid>
      <w:tr w:rsidTr="000C427E">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42432F" w:rsidP="0042432F">
            <w:pPr>
              <w:pStyle w:val="BodyText"/>
            </w:pPr>
            <w:r w:rsidRPr="0042432F">
              <w:t>This unit describes the outcomes required to blend and test binding mixes for use in the forming of chip, flak</w:t>
            </w:r>
            <w:r w:rsidRPr="0042432F">
              <w:t>e and fibre boards</w:t>
            </w:r>
          </w:p>
          <w:p w:rsidR="00000000" w:rsidRPr="0042432F" w:rsidP="0042432F">
            <w:pPr>
              <w:pStyle w:val="BodyText"/>
            </w:pPr>
            <w:r w:rsidRPr="0042432F">
              <w:t>General workplace legislative and regulatory requirements apply to this unit; however there are no specific licensing or certification requirements at the time of publication</w:t>
            </w:r>
          </w:p>
          <w:p w:rsidR="00000000" w:rsidRPr="0042432F" w:rsidP="0042432F">
            <w:pPr>
              <w:pStyle w:val="BodyText"/>
            </w:pPr>
            <w:r w:rsidRPr="0042432F">
              <w:t>This unit replaces FPIWPP3219A Blend and test binding mixes</w:t>
            </w:r>
          </w:p>
        </w:tc>
      </w:tr>
    </w:tbl>
    <w:p w:rsidR="000C427E" w:rsidP="0042432F">
      <w:pPr>
        <w:pStyle w:val="BodyText"/>
      </w:pPr>
    </w:p>
    <w:p w:rsidR="000C427E" w:rsidP="0042432F">
      <w:pPr>
        <w:pStyle w:val="BodyText"/>
      </w:pPr>
    </w:p>
    <w:p w:rsidR="00000000" w:rsidRPr="0042432F" w:rsidP="0042432F">
      <w:pPr>
        <w:pStyle w:val="Heading1"/>
      </w:pPr>
      <w:bookmarkStart w:id="3" w:name="O_204544"/>
      <w:bookmarkEnd w:id="3"/>
      <w:r w:rsidRPr="0042432F">
        <w:t>Application of the Unit</w:t>
      </w:r>
    </w:p>
    <w:tbl>
      <w:tblPr>
        <w:tblW w:w="0" w:type="auto"/>
        <w:tblLayout w:type="fixed"/>
        <w:tblCellMar>
          <w:left w:w="62" w:type="dxa"/>
          <w:right w:w="62" w:type="dxa"/>
        </w:tblCellMar>
        <w:tblLook w:val="0000"/>
      </w:tblPr>
      <w:tblGrid>
        <w:gridCol w:w="2755"/>
        <w:gridCol w:w="5767"/>
      </w:tblGrid>
      <w:tr w:rsidTr="000C427E">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42432F" w:rsidP="0042432F">
            <w:pPr>
              <w:pStyle w:val="BodyText"/>
            </w:pPr>
            <w:r w:rsidRPr="0042432F">
              <w:t>The unit involves blending and testing binding mixes in a forest products factory setting</w:t>
            </w:r>
          </w:p>
          <w:p w:rsidR="00000000" w:rsidRPr="0042432F" w:rsidP="0042432F">
            <w:pPr>
              <w:pStyle w:val="BodyText"/>
            </w:pPr>
            <w:r w:rsidRPr="0042432F">
              <w:t>The skills and knowledge required for competent workplace performance are to be used within the scop</w:t>
            </w:r>
            <w:r w:rsidRPr="0042432F">
              <w:t>e of the person's job and authority</w:t>
            </w:r>
          </w:p>
        </w:tc>
      </w:tr>
    </w:tbl>
    <w:p w:rsidR="000C427E" w:rsidP="0042432F">
      <w:pPr>
        <w:pStyle w:val="BodyText"/>
      </w:pPr>
    </w:p>
    <w:p w:rsidR="000C427E" w:rsidP="0042432F">
      <w:pPr>
        <w:pStyle w:val="BodyText"/>
      </w:pPr>
    </w:p>
    <w:p w:rsidR="00000000" w:rsidRPr="0042432F" w:rsidP="0042432F">
      <w:pPr>
        <w:pStyle w:val="Heading1"/>
      </w:pPr>
      <w:bookmarkStart w:id="4" w:name="O_279044"/>
      <w:bookmarkEnd w:id="4"/>
      <w:r w:rsidRPr="0042432F">
        <w:t>Licensing/Regulatory Information</w:t>
      </w:r>
    </w:p>
    <w:p w:rsidR="00000000" w:rsidRPr="0042432F" w:rsidP="0042432F">
      <w:pPr>
        <w:pStyle w:val="BodyText"/>
      </w:pPr>
      <w:r w:rsidRPr="0042432F">
        <w:t>Refer to Unit Descriptor</w:t>
      </w:r>
    </w:p>
    <w:p w:rsidR="00000000" w:rsidRPr="0042432F" w:rsidP="0042432F">
      <w:pPr>
        <w:pStyle w:val="AllowPageBreak"/>
      </w:pPr>
    </w:p>
    <w:p w:rsidR="00000000" w:rsidRPr="0042432F" w:rsidP="0042432F">
      <w:pPr>
        <w:pStyle w:val="Heading1"/>
      </w:pPr>
      <w:bookmarkStart w:id="5" w:name="O_204542"/>
      <w:bookmarkEnd w:id="5"/>
      <w:r w:rsidRPr="0042432F">
        <w:t>Pre-Requisites</w:t>
      </w:r>
    </w:p>
    <w:tbl>
      <w:tblPr>
        <w:tblW w:w="0" w:type="auto"/>
        <w:tblLayout w:type="fixed"/>
        <w:tblCellMar>
          <w:left w:w="62" w:type="dxa"/>
          <w:right w:w="62" w:type="dxa"/>
        </w:tblCellMar>
        <w:tblLook w:val="0000"/>
      </w:tblPr>
      <w:tblGrid>
        <w:gridCol w:w="2776"/>
        <w:gridCol w:w="2873"/>
        <w:gridCol w:w="2873"/>
      </w:tblGrid>
      <w:tr w:rsidTr="000C427E">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42432F">
            <w:pPr>
              <w:pStyle w:val="BodyText"/>
              <w:rPr>
                <w:lang w:val="en-NZ"/>
              </w:rPr>
            </w:pPr>
          </w:p>
        </w:tc>
      </w:tr>
      <w:tr w:rsidTr="000C427E">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p>
        </w:tc>
      </w:tr>
      <w:tr w:rsidTr="000C427E">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42432F" w:rsidP="0042432F">
            <w:pPr>
              <w:pStyle w:val="BodyText"/>
            </w:pPr>
          </w:p>
        </w:tc>
      </w:tr>
    </w:tbl>
    <w:p w:rsidR="000C427E" w:rsidP="0042432F">
      <w:pPr>
        <w:pStyle w:val="BodyText"/>
      </w:pPr>
    </w:p>
    <w:p w:rsidR="000C427E" w:rsidP="0042432F">
      <w:pPr>
        <w:pStyle w:val="BodyText"/>
      </w:pPr>
    </w:p>
    <w:p w:rsidR="00000000" w:rsidRPr="0042432F" w:rsidP="0042432F">
      <w:pPr>
        <w:pStyle w:val="Heading1"/>
      </w:pPr>
      <w:bookmarkStart w:id="6" w:name="O_204541"/>
      <w:bookmarkEnd w:id="6"/>
      <w:r w:rsidRPr="0042432F">
        <w:t>Employability Skills Information</w:t>
      </w:r>
    </w:p>
    <w:tbl>
      <w:tblPr>
        <w:tblW w:w="0" w:type="auto"/>
        <w:tblLayout w:type="fixed"/>
        <w:tblCellMar>
          <w:left w:w="62" w:type="dxa"/>
          <w:right w:w="62" w:type="dxa"/>
        </w:tblCellMar>
        <w:tblLook w:val="0000"/>
      </w:tblPr>
      <w:tblGrid>
        <w:gridCol w:w="2802"/>
        <w:gridCol w:w="5720"/>
      </w:tblGrid>
      <w:tr w:rsidTr="000C427E">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42432F" w:rsidP="0042432F">
            <w:pPr>
              <w:pStyle w:val="BodyText"/>
            </w:pPr>
            <w:r w:rsidRPr="0042432F">
              <w:t>This unit contains employability skills</w:t>
            </w:r>
          </w:p>
        </w:tc>
      </w:tr>
    </w:tbl>
    <w:p w:rsidR="000C427E" w:rsidP="0042432F">
      <w:pPr>
        <w:pStyle w:val="BodyText"/>
      </w:pPr>
    </w:p>
    <w:p w:rsidR="000C427E" w:rsidP="0042432F">
      <w:pPr>
        <w:pStyle w:val="BodyText"/>
      </w:pPr>
    </w:p>
    <w:p w:rsidR="00000000" w:rsidRPr="0042432F" w:rsidP="0042432F">
      <w:pPr>
        <w:pStyle w:val="Heading1"/>
      </w:pPr>
      <w:bookmarkStart w:id="7" w:name="O_288830"/>
      <w:bookmarkEnd w:id="7"/>
      <w:r w:rsidRPr="0042432F">
        <w:t>Elements and Performance Criteria Pre-Content</w:t>
      </w:r>
    </w:p>
    <w:tbl>
      <w:tblPr>
        <w:tblW w:w="0" w:type="auto"/>
        <w:tblLayout w:type="fixed"/>
        <w:tblCellMar>
          <w:left w:w="62" w:type="dxa"/>
          <w:right w:w="62" w:type="dxa"/>
        </w:tblCellMar>
        <w:tblLook w:val="0000"/>
      </w:tblPr>
      <w:tblGrid>
        <w:gridCol w:w="2551"/>
        <w:gridCol w:w="5971"/>
      </w:tblGrid>
      <w:tr w:rsidTr="000C427E">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t>Elements describe the essential outcomes of a unit of competency.</w:t>
            </w:r>
          </w:p>
        </w:tc>
        <w:tc>
          <w:tcPr>
            <w:tcW w:w="5971" w:type="dxa"/>
            <w:tcBorders>
              <w:top w:val="nil"/>
              <w:left w:val="nil"/>
              <w:bottom w:val="nil"/>
              <w:right w:val="nil"/>
            </w:tcBorders>
            <w:tcMar>
              <w:top w:w="0" w:type="dxa"/>
              <w:left w:w="62" w:type="dxa"/>
              <w:bottom w:w="0" w:type="dxa"/>
              <w:right w:w="62" w:type="dxa"/>
            </w:tcMar>
          </w:tcPr>
          <w:p w:rsidR="00000000" w:rsidRPr="0042432F" w:rsidP="0042432F">
            <w:pPr>
              <w:pStyle w:val="BodyText"/>
            </w:pPr>
            <w:r w:rsidRPr="0042432F">
              <w:t>Performance criteria describe the performance needed to demonstrate achievement of t</w:t>
            </w:r>
            <w:r w:rsidRPr="0042432F">
              <w:t>he element. Where bold italicised text is used, further information is detailed in the required skills and knowledge section and the range statement. Assessment of performance is to be consistent with the evidence guide.</w:t>
            </w:r>
          </w:p>
        </w:tc>
      </w:tr>
    </w:tbl>
    <w:p w:rsidR="00000000" w:rsidRPr="0042432F" w:rsidP="0042432F">
      <w:pPr>
        <w:pStyle w:val="BodyText"/>
      </w:pPr>
    </w:p>
    <w:p w:rsidR="00000000" w:rsidRPr="0042432F" w:rsidP="0042432F">
      <w:pPr>
        <w:pStyle w:val="AllowPageBreak"/>
      </w:pPr>
    </w:p>
    <w:p w:rsidR="00000000" w:rsidRPr="0042432F" w:rsidP="0042432F">
      <w:pPr>
        <w:pStyle w:val="Heading1"/>
      </w:pPr>
      <w:bookmarkStart w:id="8" w:name="O_235497"/>
      <w:bookmarkEnd w:id="8"/>
      <w:r w:rsidRPr="0042432F">
        <w:t>Elements and Per</w:t>
      </w:r>
      <w:r w:rsidRPr="0042432F">
        <w:t>formance Criteria</w:t>
      </w:r>
    </w:p>
    <w:tbl>
      <w:tblPr>
        <w:tblW w:w="0" w:type="auto"/>
        <w:tblLayout w:type="fixed"/>
        <w:tblCellMar>
          <w:left w:w="62" w:type="dxa"/>
          <w:right w:w="62" w:type="dxa"/>
        </w:tblCellMar>
        <w:tblLook w:val="0000"/>
      </w:tblPr>
      <w:tblGrid>
        <w:gridCol w:w="2551"/>
        <w:gridCol w:w="5971"/>
      </w:tblGrid>
      <w:tr w:rsidTr="000C427E">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RPr="0042432F" w:rsidP="0042432F">
            <w:pPr>
              <w:pStyle w:val="BodyText"/>
            </w:pPr>
            <w:r w:rsidRPr="0042432F">
              <w:rPr>
                <w:rStyle w:val="SpecialBold"/>
              </w:rPr>
              <w:t>ELEMENT</w:t>
            </w:r>
          </w:p>
        </w:tc>
        <w:tc>
          <w:tcPr>
            <w:tcW w:w="5971"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PERFORMANCE CRITERIA</w:t>
            </w:r>
          </w:p>
        </w:tc>
      </w:tr>
      <w:tr w:rsidTr="000C427E">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42432F">
            <w:pPr>
              <w:pStyle w:val="List"/>
              <w:rPr>
                <w:lang w:val="en-NZ"/>
              </w:rPr>
            </w:pPr>
            <w:r w:rsidRPr="0042432F">
              <w:t>1.</w:t>
            </w:r>
            <w:r w:rsidRPr="0042432F">
              <w:tab/>
              <w:t>Prepare for blending</w:t>
            </w:r>
          </w:p>
        </w:tc>
        <w:tc>
          <w:tcPr>
            <w:tcW w:w="5971" w:type="dxa"/>
            <w:tcBorders>
              <w:top w:val="nil"/>
              <w:left w:val="nil"/>
              <w:bottom w:val="nil"/>
              <w:right w:val="nil"/>
            </w:tcBorders>
            <w:tcMar>
              <w:top w:w="0" w:type="dxa"/>
              <w:left w:w="62" w:type="dxa"/>
              <w:bottom w:w="0" w:type="dxa"/>
              <w:right w:w="62" w:type="dxa"/>
            </w:tcMar>
          </w:tcPr>
          <w:p w:rsidR="00000000" w:rsidRPr="0042432F" w:rsidP="0042432F">
            <w:pPr>
              <w:pStyle w:val="List2"/>
            </w:pPr>
            <w:r w:rsidRPr="0042432F">
              <w:t>1.1.</w:t>
            </w:r>
            <w:r w:rsidRPr="0042432F">
              <w:tab/>
              <w:t xml:space="preserve">Applicable </w:t>
            </w:r>
            <w:r w:rsidRPr="0042432F">
              <w:rPr>
                <w:rStyle w:val="BoldandItalics"/>
              </w:rPr>
              <w:t>Occupational Health and Safety</w:t>
            </w:r>
            <w:r w:rsidRPr="0042432F">
              <w:t xml:space="preserve"> (OHS), </w:t>
            </w:r>
            <w:r w:rsidRPr="0042432F">
              <w:rPr>
                <w:rStyle w:val="BoldandItalics"/>
              </w:rPr>
              <w:t>environmental</w:t>
            </w:r>
            <w:r w:rsidRPr="0042432F">
              <w:t xml:space="preserve">, </w:t>
            </w:r>
            <w:r w:rsidRPr="0042432F">
              <w:rPr>
                <w:rStyle w:val="BoldandItalics"/>
              </w:rPr>
              <w:t>legislative</w:t>
            </w:r>
            <w:r w:rsidRPr="0042432F">
              <w:t xml:space="preserve"> and </w:t>
            </w:r>
            <w:r w:rsidRPr="0042432F">
              <w:rPr>
                <w:rStyle w:val="BoldandItalics"/>
              </w:rPr>
              <w:t>organisational requirements</w:t>
            </w:r>
            <w:r w:rsidRPr="0042432F">
              <w:t xml:space="preserve"> relevant to </w:t>
            </w:r>
            <w:r w:rsidRPr="0042432F">
              <w:t>blending and testing binding mixes are identified and followed</w:t>
            </w:r>
          </w:p>
          <w:p w:rsidR="00000000" w:rsidRPr="0042432F" w:rsidP="0042432F">
            <w:pPr>
              <w:pStyle w:val="List2"/>
            </w:pPr>
            <w:r w:rsidRPr="0042432F">
              <w:t>1.2.</w:t>
            </w:r>
            <w:r w:rsidRPr="0042432F">
              <w:tab/>
            </w:r>
            <w:r w:rsidRPr="0042432F">
              <w:rPr>
                <w:rStyle w:val="BoldandItalics"/>
              </w:rPr>
              <w:t>Work order</w:t>
            </w:r>
            <w:r w:rsidRPr="0042432F">
              <w:t xml:space="preserve"> is reviewed and checked with </w:t>
            </w:r>
            <w:r w:rsidRPr="0042432F">
              <w:rPr>
                <w:rStyle w:val="BoldandItalics"/>
              </w:rPr>
              <w:t>appropriate personnel</w:t>
            </w:r>
          </w:p>
          <w:p w:rsidR="00000000" w:rsidRPr="0042432F" w:rsidP="0042432F">
            <w:pPr>
              <w:pStyle w:val="List2"/>
            </w:pPr>
            <w:r w:rsidRPr="0042432F">
              <w:t>1.3.</w:t>
            </w:r>
            <w:r w:rsidRPr="0042432F">
              <w:tab/>
              <w:t xml:space="preserve">Type and quantity of ingredients to form the </w:t>
            </w:r>
            <w:r w:rsidRPr="0042432F">
              <w:rPr>
                <w:rStyle w:val="BoldandItalics"/>
              </w:rPr>
              <w:t>binding mix</w:t>
            </w:r>
            <w:r w:rsidRPr="0042432F">
              <w:t xml:space="preserve"> to be blended is acquired from </w:t>
            </w:r>
            <w:r w:rsidRPr="0042432F">
              <w:rPr>
                <w:rStyle w:val="BoldandItalics"/>
              </w:rPr>
              <w:t>storage</w:t>
            </w:r>
          </w:p>
          <w:p w:rsidR="00000000" w:rsidRPr="0042432F" w:rsidP="0042432F">
            <w:pPr>
              <w:pStyle w:val="List2"/>
            </w:pPr>
            <w:r w:rsidRPr="0042432F">
              <w:t>1.4.</w:t>
            </w:r>
            <w:r w:rsidRPr="0042432F">
              <w:tab/>
            </w:r>
            <w:r w:rsidRPr="0042432F">
              <w:rPr>
                <w:rStyle w:val="BoldandItalics"/>
              </w:rPr>
              <w:t>Equipment</w:t>
            </w:r>
            <w:r w:rsidRPr="0042432F">
              <w:t xml:space="preserve"> is selecte</w:t>
            </w:r>
            <w:r w:rsidRPr="0042432F">
              <w:t>d appropriate to work requirements and checked for operational effectiveness in line with manufacturer's recommendations</w:t>
            </w:r>
          </w:p>
          <w:p w:rsidR="00000000" w:rsidRPr="0042432F" w:rsidP="0042432F">
            <w:pPr>
              <w:pStyle w:val="List2"/>
            </w:pPr>
            <w:r w:rsidRPr="0042432F">
              <w:t>1.5.</w:t>
            </w:r>
            <w:r w:rsidRPr="0042432F">
              <w:tab/>
              <w:t>Blending process is selected and planned in line with site procedures</w:t>
            </w:r>
          </w:p>
          <w:p w:rsidR="00000000" w:rsidP="0042432F">
            <w:pPr>
              <w:pStyle w:val="List2"/>
              <w:rPr>
                <w:lang w:val="en-NZ"/>
              </w:rPr>
            </w:pPr>
            <w:r w:rsidRPr="0042432F">
              <w:t>1.6.</w:t>
            </w:r>
            <w:r w:rsidRPr="0042432F">
              <w:tab/>
            </w:r>
            <w:r w:rsidRPr="0042432F">
              <w:rPr>
                <w:rStyle w:val="BoldandItalics"/>
              </w:rPr>
              <w:t>Communication</w:t>
            </w:r>
            <w:r w:rsidRPr="0042432F">
              <w:t xml:space="preserve"> with others is established and maintained</w:t>
            </w:r>
            <w:r w:rsidRPr="0042432F">
              <w:t xml:space="preserve"> in line with OHS requirements</w:t>
            </w:r>
          </w:p>
        </w:tc>
      </w:tr>
      <w:tr w:rsidTr="000C427E">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42432F">
            <w:pPr>
              <w:pStyle w:val="List"/>
              <w:rPr>
                <w:lang w:val="en-NZ"/>
              </w:rPr>
            </w:pPr>
            <w:r w:rsidRPr="0042432F">
              <w:t>2.</w:t>
            </w:r>
            <w:r w:rsidRPr="0042432F">
              <w:tab/>
              <w:t>Blend and test binding mix</w:t>
            </w:r>
          </w:p>
        </w:tc>
        <w:tc>
          <w:tcPr>
            <w:tcW w:w="5971" w:type="dxa"/>
            <w:tcBorders>
              <w:top w:val="nil"/>
              <w:left w:val="nil"/>
              <w:bottom w:val="nil"/>
              <w:right w:val="nil"/>
            </w:tcBorders>
            <w:tcMar>
              <w:top w:w="0" w:type="dxa"/>
              <w:left w:w="62" w:type="dxa"/>
              <w:bottom w:w="0" w:type="dxa"/>
              <w:right w:w="62" w:type="dxa"/>
            </w:tcMar>
          </w:tcPr>
          <w:p w:rsidR="00000000" w:rsidRPr="0042432F" w:rsidP="0042432F">
            <w:pPr>
              <w:pStyle w:val="List2"/>
            </w:pPr>
            <w:r w:rsidRPr="0042432F">
              <w:t>2.1.</w:t>
            </w:r>
            <w:r w:rsidRPr="0042432F">
              <w:tab/>
            </w:r>
            <w:r w:rsidRPr="0042432F">
              <w:rPr>
                <w:rStyle w:val="BoldandItalics"/>
              </w:rPr>
              <w:t>Pre start</w:t>
            </w:r>
            <w:r w:rsidRPr="0042432F">
              <w:t>-</w:t>
            </w:r>
            <w:r w:rsidRPr="0042432F">
              <w:rPr>
                <w:rStyle w:val="BoldandItalics"/>
              </w:rPr>
              <w:t>up checks</w:t>
            </w:r>
            <w:r w:rsidRPr="0042432F">
              <w:t xml:space="preserve"> are carried out on equipment in line with site requirements</w:t>
            </w:r>
          </w:p>
          <w:p w:rsidR="00000000" w:rsidRPr="0042432F" w:rsidP="0042432F">
            <w:pPr>
              <w:pStyle w:val="List2"/>
            </w:pPr>
            <w:r w:rsidRPr="0042432F">
              <w:t>2.2.</w:t>
            </w:r>
            <w:r w:rsidRPr="0042432F">
              <w:tab/>
              <w:t>Blend cycles are set in line with organisational requirements</w:t>
            </w:r>
          </w:p>
          <w:p w:rsidR="00000000" w:rsidRPr="0042432F" w:rsidP="0042432F">
            <w:pPr>
              <w:pStyle w:val="List2"/>
            </w:pPr>
            <w:r w:rsidRPr="0042432F">
              <w:t>2.3.</w:t>
            </w:r>
            <w:r w:rsidRPr="0042432F">
              <w:tab/>
            </w:r>
            <w:r w:rsidRPr="0042432F">
              <w:rPr>
                <w:rStyle w:val="BoldandItalics"/>
              </w:rPr>
              <w:t>Ingredients</w:t>
            </w:r>
            <w:r w:rsidRPr="0042432F">
              <w:t xml:space="preserve"> and </w:t>
            </w:r>
            <w:r w:rsidRPr="0042432F">
              <w:rPr>
                <w:rStyle w:val="BoldandItalics"/>
              </w:rPr>
              <w:t>additives</w:t>
            </w:r>
            <w:r w:rsidRPr="0042432F">
              <w:t xml:space="preserve"> are measured and blended ensuring minimum wastage in line with site and environmental requirements</w:t>
            </w:r>
          </w:p>
          <w:p w:rsidR="00000000" w:rsidRPr="0042432F" w:rsidP="0042432F">
            <w:pPr>
              <w:pStyle w:val="List2"/>
            </w:pPr>
            <w:r w:rsidRPr="0042432F">
              <w:t>2.4.</w:t>
            </w:r>
            <w:r w:rsidRPr="0042432F">
              <w:tab/>
              <w:t xml:space="preserve">Blend is transferred to appropriate storage location or production equipment without contamination through </w:t>
            </w:r>
            <w:r w:rsidRPr="0042432F">
              <w:rPr>
                <w:rStyle w:val="BoldandItalics"/>
              </w:rPr>
              <w:t>transfer lines</w:t>
            </w:r>
          </w:p>
          <w:p w:rsidR="00000000" w:rsidRPr="0042432F" w:rsidP="0042432F">
            <w:pPr>
              <w:pStyle w:val="List2"/>
            </w:pPr>
            <w:r w:rsidRPr="0042432F">
              <w:t>2.5.</w:t>
            </w:r>
            <w:r w:rsidRPr="0042432F">
              <w:tab/>
              <w:t>Addition rate of additiv</w:t>
            </w:r>
            <w:r w:rsidRPr="0042432F">
              <w:t>es are monitored and pumps adjusted</w:t>
            </w:r>
          </w:p>
          <w:p w:rsidR="00000000" w:rsidRPr="0042432F" w:rsidP="0042432F">
            <w:pPr>
              <w:pStyle w:val="List2"/>
            </w:pPr>
            <w:r w:rsidRPr="0042432F">
              <w:t>2.6.</w:t>
            </w:r>
            <w:r w:rsidRPr="0042432F">
              <w:tab/>
              <w:t xml:space="preserve">Samples of blend are regularly taken for </w:t>
            </w:r>
            <w:r w:rsidRPr="0042432F">
              <w:rPr>
                <w:rStyle w:val="BoldandItalics"/>
              </w:rPr>
              <w:t>testing</w:t>
            </w:r>
            <w:r w:rsidRPr="0042432F">
              <w:t xml:space="preserve"> to check tack and adhesion properties in line with standard operating procedures</w:t>
            </w:r>
          </w:p>
          <w:p w:rsidR="00000000" w:rsidRPr="0042432F" w:rsidP="0042432F">
            <w:pPr>
              <w:pStyle w:val="List2"/>
            </w:pPr>
            <w:r w:rsidRPr="0042432F">
              <w:t>2.7.</w:t>
            </w:r>
            <w:r w:rsidRPr="0042432F">
              <w:tab/>
              <w:t>Test results are interpreted and adjustments made to achieve desired properties</w:t>
            </w:r>
          </w:p>
          <w:p w:rsidR="00000000" w:rsidRPr="0042432F" w:rsidP="0042432F">
            <w:pPr>
              <w:pStyle w:val="List2"/>
            </w:pPr>
            <w:r w:rsidRPr="0042432F">
              <w:t>2.8.</w:t>
            </w:r>
            <w:r w:rsidRPr="0042432F">
              <w:tab/>
              <w:t xml:space="preserve">Sub-standard blend is rejected and disposed of in line with site procedures and environmental regulations </w:t>
            </w:r>
          </w:p>
          <w:p w:rsidR="00000000" w:rsidP="0042432F">
            <w:pPr>
              <w:pStyle w:val="List2"/>
              <w:rPr>
                <w:lang w:val="en-NZ"/>
              </w:rPr>
            </w:pPr>
            <w:r w:rsidRPr="0042432F">
              <w:t>2.9.</w:t>
            </w:r>
            <w:r w:rsidRPr="0042432F">
              <w:tab/>
              <w:t xml:space="preserve">Blending process and equipment faults are </w:t>
            </w:r>
            <w:r w:rsidRPr="0042432F">
              <w:rPr>
                <w:rStyle w:val="BoldandItalics"/>
              </w:rPr>
              <w:t>recorded and reported</w:t>
            </w:r>
            <w:r w:rsidRPr="0042432F">
              <w:t xml:space="preserve"> to the appropriate personnel</w:t>
            </w:r>
          </w:p>
        </w:tc>
      </w:tr>
      <w:tr w:rsidTr="000C427E">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42432F">
            <w:pPr>
              <w:pStyle w:val="List"/>
              <w:rPr>
                <w:lang w:val="en-NZ"/>
              </w:rPr>
            </w:pPr>
            <w:r w:rsidRPr="0042432F">
              <w:t>3.</w:t>
            </w:r>
            <w:r w:rsidRPr="0042432F">
              <w:tab/>
              <w:t>Maintain and clean equipment</w:t>
            </w:r>
          </w:p>
        </w:tc>
        <w:tc>
          <w:tcPr>
            <w:tcW w:w="5971" w:type="dxa"/>
            <w:tcBorders>
              <w:top w:val="nil"/>
              <w:left w:val="nil"/>
              <w:bottom w:val="nil"/>
              <w:right w:val="nil"/>
            </w:tcBorders>
            <w:tcMar>
              <w:top w:w="0" w:type="dxa"/>
              <w:left w:w="62" w:type="dxa"/>
              <w:bottom w:w="0" w:type="dxa"/>
              <w:right w:w="62" w:type="dxa"/>
            </w:tcMar>
          </w:tcPr>
          <w:p w:rsidR="00000000" w:rsidRPr="0042432F" w:rsidP="0042432F">
            <w:pPr>
              <w:pStyle w:val="List2"/>
            </w:pPr>
            <w:r w:rsidRPr="0042432F">
              <w:t>3.1.</w:t>
            </w:r>
            <w:r w:rsidRPr="0042432F">
              <w:tab/>
              <w:t>Blending</w:t>
            </w:r>
            <w:r w:rsidRPr="0042432F">
              <w:t>, storage and transfer equipment is cleaned to organisation requirements</w:t>
            </w:r>
          </w:p>
          <w:p w:rsidR="00000000" w:rsidRPr="0042432F" w:rsidP="0042432F">
            <w:pPr>
              <w:pStyle w:val="List2"/>
            </w:pPr>
            <w:r w:rsidRPr="0042432F">
              <w:t>3.2.</w:t>
            </w:r>
            <w:r w:rsidRPr="0042432F">
              <w:tab/>
              <w:t>Pumps are turned off and equipment flushed in line with organisational standard operating procedures</w:t>
            </w:r>
          </w:p>
          <w:p w:rsidR="00000000" w:rsidRPr="0042432F" w:rsidP="0042432F">
            <w:pPr>
              <w:pStyle w:val="List2"/>
            </w:pPr>
            <w:r w:rsidRPr="0042432F">
              <w:t>3.3.</w:t>
            </w:r>
            <w:r w:rsidRPr="0042432F">
              <w:tab/>
              <w:t>Excess blended material and additives are disposed of in line with statu</w:t>
            </w:r>
            <w:r w:rsidRPr="0042432F">
              <w:t>tory requirements</w:t>
            </w:r>
          </w:p>
          <w:p w:rsidR="00000000" w:rsidRPr="0042432F" w:rsidP="0042432F">
            <w:pPr>
              <w:pStyle w:val="List2"/>
            </w:pPr>
            <w:r w:rsidRPr="0042432F">
              <w:t>3.4.</w:t>
            </w:r>
            <w:r w:rsidRPr="0042432F">
              <w:tab/>
              <w:t>Equipment and ingredients are stored in line with statutory requirements</w:t>
            </w:r>
          </w:p>
        </w:tc>
      </w:tr>
    </w:tbl>
    <w:p w:rsidR="000C427E" w:rsidP="0042432F">
      <w:pPr>
        <w:pStyle w:val="BodyText"/>
      </w:pPr>
    </w:p>
    <w:p w:rsidR="000C427E" w:rsidP="0042432F">
      <w:pPr>
        <w:pStyle w:val="BodyText"/>
      </w:pPr>
    </w:p>
    <w:p w:rsidR="00000000" w:rsidRPr="0042432F" w:rsidP="0042432F">
      <w:pPr>
        <w:pStyle w:val="Heading1"/>
      </w:pPr>
      <w:bookmarkStart w:id="9" w:name="O_259447"/>
      <w:bookmarkEnd w:id="9"/>
      <w:r w:rsidRPr="0042432F">
        <w:t>Required Skills and Knowledge</w:t>
      </w:r>
    </w:p>
    <w:tbl>
      <w:tblPr>
        <w:tblW w:w="0" w:type="auto"/>
        <w:tblLayout w:type="fixed"/>
        <w:tblCellMar>
          <w:left w:w="62" w:type="dxa"/>
          <w:right w:w="62" w:type="dxa"/>
        </w:tblCellMar>
        <w:tblLook w:val="0000"/>
      </w:tblPr>
      <w:tblGrid>
        <w:gridCol w:w="8522"/>
      </w:tblGrid>
      <w:tr w:rsidTr="000C427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REQUIRED SKILLS AND KNOWLEDGE</w:t>
            </w:r>
          </w:p>
        </w:tc>
      </w:tr>
      <w:tr w:rsidTr="000C427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t>This describes the essential skills and knowledge and their level required for this unit.</w:t>
            </w:r>
          </w:p>
        </w:tc>
      </w:tr>
      <w:tr w:rsidTr="000C427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Required skills</w:t>
            </w:r>
          </w:p>
        </w:tc>
      </w:tr>
      <w:tr w:rsidTr="000C427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2432F" w:rsidP="0042432F">
            <w:pPr>
              <w:pStyle w:val="ListBullet"/>
            </w:pPr>
            <w:r w:rsidRPr="0042432F">
              <w:t>Technical skills sufficient to use and maintain relevant tools, machinery and equipment; efficiently and safely blend and test binding mixes</w:t>
            </w:r>
          </w:p>
          <w:p w:rsidR="00000000" w:rsidRPr="0042432F" w:rsidP="0042432F">
            <w:pPr>
              <w:pStyle w:val="ListBullet"/>
            </w:pPr>
            <w:r w:rsidRPr="0042432F">
              <w:t>Communication skills and interpersonal techniques sufficient to interact appropriately with colleagues and others in the workplace</w:t>
            </w:r>
          </w:p>
          <w:p w:rsidR="00000000" w:rsidRPr="0042432F" w:rsidP="0042432F">
            <w:pPr>
              <w:pStyle w:val="ListBullet"/>
            </w:pPr>
            <w:r w:rsidRPr="0042432F">
              <w:t xml:space="preserve">Literacy skills sufficient to accurately record and report workplace information, and maintain documentation </w:t>
            </w:r>
          </w:p>
          <w:p w:rsidR="00000000" w:rsidRPr="0042432F" w:rsidP="0042432F">
            <w:pPr>
              <w:pStyle w:val="ListBullet"/>
            </w:pPr>
            <w:r w:rsidRPr="0042432F">
              <w:t>Numeracy skills</w:t>
            </w:r>
            <w:r w:rsidRPr="0042432F">
              <w:t xml:space="preserve"> sufficient to estimate, measure and calculate time required to complete a task</w:t>
            </w:r>
          </w:p>
          <w:p w:rsidR="00000000" w:rsidRPr="0042432F" w:rsidP="0042432F">
            <w:pPr>
              <w:pStyle w:val="ListBullet"/>
            </w:pPr>
            <w:r w:rsidRPr="0042432F">
              <w:t>Problem solving skills sufficient to identify problems and equipment faults and demonstrate appropriate response procedures</w:t>
            </w:r>
          </w:p>
          <w:p w:rsidR="00000000" w:rsidP="0042432F">
            <w:pPr>
              <w:pStyle w:val="BodyText"/>
              <w:rPr>
                <w:lang w:val="en-NZ"/>
              </w:rPr>
            </w:pPr>
            <w:r w:rsidRPr="0042432F">
              <w:t xml:space="preserve"> </w:t>
            </w:r>
          </w:p>
        </w:tc>
      </w:tr>
      <w:tr w:rsidTr="000C427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Required knowledge</w:t>
            </w:r>
          </w:p>
        </w:tc>
      </w:tr>
      <w:tr w:rsidTr="000C427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2432F" w:rsidP="0042432F">
            <w:pPr>
              <w:pStyle w:val="ListBullet"/>
            </w:pPr>
            <w:r w:rsidRPr="0042432F">
              <w:t>Applicable Commonwealth, Sta</w:t>
            </w:r>
            <w:r w:rsidRPr="0042432F">
              <w:t>te or Territory legislation, regulations, standards, codes of practice and established safe practices relevant to the full range of processes for blending and testing binding mixes</w:t>
            </w:r>
          </w:p>
          <w:p w:rsidR="00000000" w:rsidRPr="0042432F" w:rsidP="0042432F">
            <w:pPr>
              <w:pStyle w:val="ListBullet"/>
            </w:pPr>
            <w:r w:rsidRPr="0042432F">
              <w:t>Environmental protection requirements, including the safe disposal of waste</w:t>
            </w:r>
            <w:r w:rsidRPr="0042432F">
              <w:t xml:space="preserve"> material, the safe use and storage of chemicals, and the cleaning of plant, tools and equipment</w:t>
            </w:r>
          </w:p>
          <w:p w:rsidR="00000000" w:rsidRPr="0042432F" w:rsidP="0042432F">
            <w:pPr>
              <w:pStyle w:val="ListBullet"/>
            </w:pPr>
            <w:r w:rsidRPr="0042432F">
              <w:t>Organisational and site standards, requirements, policies and procedures for blending and testing binding mixes</w:t>
            </w:r>
          </w:p>
          <w:p w:rsidR="00000000" w:rsidRPr="0042432F" w:rsidP="0042432F">
            <w:pPr>
              <w:pStyle w:val="ListBullet"/>
            </w:pPr>
            <w:r w:rsidRPr="0042432F">
              <w:t xml:space="preserve">Environmental risks and hazards </w:t>
            </w:r>
          </w:p>
          <w:p w:rsidR="00000000" w:rsidRPr="0042432F" w:rsidP="0042432F">
            <w:pPr>
              <w:pStyle w:val="ListBullet"/>
            </w:pPr>
            <w:r w:rsidRPr="0042432F">
              <w:t>Blending techniques and ingredients</w:t>
            </w:r>
          </w:p>
          <w:p w:rsidR="00000000" w:rsidRPr="0042432F" w:rsidP="0042432F">
            <w:pPr>
              <w:pStyle w:val="ListBullet"/>
            </w:pPr>
            <w:r w:rsidRPr="0042432F">
              <w:t>Characteristics of ingredients and additives</w:t>
            </w:r>
          </w:p>
          <w:p w:rsidR="00000000" w:rsidRPr="0042432F" w:rsidP="0042432F">
            <w:pPr>
              <w:pStyle w:val="ListBullet"/>
            </w:pPr>
            <w:r w:rsidRPr="0042432F">
              <w:t>Weather conditions affecting blending conditions</w:t>
            </w:r>
          </w:p>
          <w:p w:rsidR="00000000" w:rsidRPr="0042432F" w:rsidP="0042432F">
            <w:pPr>
              <w:pStyle w:val="ListBullet"/>
            </w:pPr>
            <w:r w:rsidRPr="0042432F">
              <w:t>Blending operations and maintenance procedures</w:t>
            </w:r>
          </w:p>
          <w:p w:rsidR="00000000" w:rsidRPr="0042432F" w:rsidP="0042432F">
            <w:pPr>
              <w:pStyle w:val="ListBullet"/>
            </w:pPr>
            <w:r w:rsidRPr="0042432F">
              <w:t>Storage systems and labelling</w:t>
            </w:r>
          </w:p>
          <w:p w:rsidR="00000000" w:rsidRPr="0042432F" w:rsidP="0042432F">
            <w:pPr>
              <w:pStyle w:val="ListBullet"/>
            </w:pPr>
            <w:r w:rsidRPr="0042432F">
              <w:t>Established communication channels and protocols</w:t>
            </w:r>
          </w:p>
          <w:p w:rsidR="00000000" w:rsidRPr="0042432F" w:rsidP="0042432F">
            <w:pPr>
              <w:pStyle w:val="ListBullet"/>
            </w:pPr>
            <w:r w:rsidRPr="0042432F">
              <w:t>Problem identification and resolution strategies and common fault finding techniques</w:t>
            </w:r>
          </w:p>
          <w:p w:rsidR="00000000" w:rsidRPr="0042432F" w:rsidP="0042432F">
            <w:pPr>
              <w:pStyle w:val="ListBullet"/>
            </w:pPr>
            <w:r w:rsidRPr="0042432F">
              <w:t>Types of tools and equipment and procedures for their use, operation and maintenance</w:t>
            </w:r>
          </w:p>
          <w:p w:rsidR="00000000" w:rsidRPr="0042432F" w:rsidP="0042432F">
            <w:pPr>
              <w:pStyle w:val="ListBullet"/>
            </w:pPr>
            <w:r w:rsidRPr="0042432F">
              <w:t>Appropriate mathematical procedures for estimating and measuring, including calculatin</w:t>
            </w:r>
            <w:r w:rsidRPr="0042432F">
              <w:t>g time to complete tasks</w:t>
            </w:r>
          </w:p>
          <w:p w:rsidR="00000000" w:rsidRPr="0042432F" w:rsidP="0042432F">
            <w:pPr>
              <w:pStyle w:val="ListBullet"/>
            </w:pPr>
            <w:r w:rsidRPr="0042432F">
              <w:t>Procedures for recording and reporting workplace information</w:t>
            </w:r>
          </w:p>
        </w:tc>
      </w:tr>
    </w:tbl>
    <w:p w:rsidR="000C427E" w:rsidP="0042432F">
      <w:pPr>
        <w:pStyle w:val="BodyText"/>
      </w:pPr>
    </w:p>
    <w:p w:rsidR="000C427E" w:rsidP="0042432F">
      <w:pPr>
        <w:pStyle w:val="BodyText"/>
      </w:pPr>
    </w:p>
    <w:p w:rsidR="00000000" w:rsidRPr="0042432F" w:rsidP="0042432F">
      <w:pPr>
        <w:pStyle w:val="AllowPageBreak"/>
      </w:pPr>
    </w:p>
    <w:p w:rsidR="00000000" w:rsidRPr="0042432F" w:rsidP="0042432F">
      <w:pPr>
        <w:pStyle w:val="Heading1"/>
      </w:pPr>
      <w:bookmarkStart w:id="10" w:name="O_243481"/>
      <w:bookmarkEnd w:id="10"/>
      <w:r w:rsidRPr="0042432F">
        <w:t>Evidence Guide</w:t>
      </w:r>
    </w:p>
    <w:tbl>
      <w:tblPr>
        <w:tblW w:w="9570" w:type="dxa"/>
        <w:tblLayout w:type="fixed"/>
        <w:tblCellMar>
          <w:left w:w="62" w:type="dxa"/>
          <w:right w:w="62" w:type="dxa"/>
        </w:tblCellMar>
        <w:tblLook w:val="0000"/>
      </w:tblPr>
      <w:tblGrid>
        <w:gridCol w:w="3908"/>
        <w:gridCol w:w="5662"/>
      </w:tblGrid>
      <w:tr w:rsidTr="000C427E">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EVIDENCE GUIDE</w:t>
            </w:r>
          </w:p>
        </w:tc>
      </w:tr>
      <w:tr w:rsidTr="000C427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t>The evidence guide provides advice on assessment and must be read in conjunction with the performance criteria, required skills and knowledge, range statement and the Assessment Guidelines for the Training Package.</w:t>
            </w:r>
          </w:p>
        </w:tc>
      </w:tr>
      <w:tr w:rsidTr="000C427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t>A person who d</w:t>
            </w:r>
            <w:r w:rsidRPr="0042432F">
              <w:t xml:space="preserve">emonstrates competency in this unit must be able to provide evidence that they can safely and efficiently blend and test binding mixes within organisational requirements </w:t>
            </w:r>
          </w:p>
        </w:tc>
      </w:tr>
      <w:tr w:rsidTr="000C427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Critical aspects for assessment and evidence required to demonstrate competency in t</w:t>
            </w:r>
            <w:r w:rsidRPr="0042432F">
              <w:rPr>
                <w:rStyle w:val="SpecialBold"/>
              </w:rPr>
              <w:t>his unit</w:t>
            </w:r>
          </w:p>
        </w:tc>
        <w:tc>
          <w:tcPr>
            <w:tcW w:w="5662" w:type="dxa"/>
            <w:tcBorders>
              <w:top w:val="nil"/>
              <w:left w:val="nil"/>
              <w:bottom w:val="nil"/>
              <w:right w:val="nil"/>
            </w:tcBorders>
            <w:tcMar>
              <w:top w:w="0" w:type="dxa"/>
              <w:left w:w="62" w:type="dxa"/>
              <w:bottom w:w="0" w:type="dxa"/>
              <w:right w:w="62" w:type="dxa"/>
            </w:tcMar>
          </w:tcPr>
          <w:p w:rsidR="00000000" w:rsidRPr="0042432F" w:rsidP="0042432F">
            <w:pPr>
              <w:pStyle w:val="BodyText"/>
            </w:pPr>
            <w:r w:rsidRPr="0042432F">
              <w:t xml:space="preserve">The evidence required to demonstrate competency in this unit must be relevant to and satisfy all of the requirements of the elements of this unit and include demonstration of: </w:t>
            </w:r>
          </w:p>
          <w:p w:rsidR="00000000" w:rsidRPr="0042432F" w:rsidP="0042432F">
            <w:pPr>
              <w:pStyle w:val="ListBullet"/>
            </w:pPr>
            <w:r w:rsidRPr="0042432F">
              <w:t>following applicable Commonwealth, State or Territory legislative and</w:t>
            </w:r>
            <w:r w:rsidRPr="0042432F">
              <w:t xml:space="preserve"> regulatory requirements and codes of practice relevant to blending and testing binding mixes</w:t>
            </w:r>
          </w:p>
          <w:p w:rsidR="00000000" w:rsidRPr="0042432F" w:rsidP="0042432F">
            <w:pPr>
              <w:pStyle w:val="ListBullet"/>
            </w:pPr>
            <w:r w:rsidRPr="0042432F">
              <w:t>following organisational policies and procedures relevant to blending and testing binding mixes</w:t>
            </w:r>
          </w:p>
          <w:p w:rsidR="00000000" w:rsidRPr="0042432F" w:rsidP="0042432F">
            <w:pPr>
              <w:pStyle w:val="ListBullet"/>
            </w:pPr>
            <w:r w:rsidRPr="0042432F">
              <w:t>blending and testing binding mixes in line with the work order and</w:t>
            </w:r>
            <w:r w:rsidRPr="0042432F">
              <w:t xml:space="preserve"> within prescribed organisational requirements</w:t>
            </w:r>
          </w:p>
          <w:p w:rsidR="00000000" w:rsidRPr="0042432F" w:rsidP="0042432F">
            <w:pPr>
              <w:pStyle w:val="ListBullet"/>
            </w:pPr>
            <w:r w:rsidRPr="0042432F">
              <w:t>conducting blending operations and maintenance procedures</w:t>
            </w:r>
          </w:p>
          <w:p w:rsidR="00000000" w:rsidP="0042432F">
            <w:pPr>
              <w:pStyle w:val="ListBullet"/>
              <w:rPr>
                <w:lang w:val="en-NZ"/>
              </w:rPr>
            </w:pPr>
            <w:r w:rsidRPr="0042432F">
              <w:t>storing batches of binding mix in line with organisational requirements and OHS regulations</w:t>
            </w:r>
          </w:p>
        </w:tc>
      </w:tr>
      <w:tr w:rsidTr="000C427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2432F" w:rsidP="0042432F">
            <w:pPr>
              <w:pStyle w:val="ListBullet"/>
            </w:pPr>
            <w:r w:rsidRPr="0042432F">
              <w:t>Competency is to be assessed in the workplace or realistically simulated workplace</w:t>
            </w:r>
          </w:p>
          <w:p w:rsidR="00000000" w:rsidRPr="0042432F" w:rsidP="0042432F">
            <w:pPr>
              <w:pStyle w:val="ListBullet"/>
            </w:pPr>
            <w:r w:rsidRPr="0042432F">
              <w:t>Assessment is to occur under standard and authorised work practices, safety requirements and environmental constraints</w:t>
            </w:r>
          </w:p>
          <w:p w:rsidR="00000000" w:rsidRPr="0042432F" w:rsidP="0042432F">
            <w:pPr>
              <w:pStyle w:val="ListBullet"/>
            </w:pPr>
            <w:r w:rsidRPr="0042432F">
              <w:t>Assessment of required knowledge, other than confirmat</w:t>
            </w:r>
            <w:r w:rsidRPr="0042432F">
              <w:t>ory questions, will usually be conducted in an off-site context</w:t>
            </w:r>
          </w:p>
          <w:p w:rsidR="00000000" w:rsidRPr="0042432F" w:rsidP="0042432F">
            <w:pPr>
              <w:pStyle w:val="ListBullet"/>
            </w:pPr>
            <w:r w:rsidRPr="0042432F">
              <w:t>Assessment is to follow relevant regulatory or Australian Standards requirements</w:t>
            </w:r>
          </w:p>
          <w:p w:rsidR="00000000" w:rsidRPr="0042432F" w:rsidP="0042432F">
            <w:pPr>
              <w:pStyle w:val="ListBullet"/>
            </w:pPr>
            <w:r w:rsidRPr="0042432F">
              <w:t>The following resources should be made available:</w:t>
            </w:r>
          </w:p>
          <w:p w:rsidR="00000000" w:rsidRPr="0042432F" w:rsidP="0042432F">
            <w:pPr>
              <w:pStyle w:val="ListBullet3"/>
            </w:pPr>
            <w:r w:rsidRPr="0042432F">
              <w:t>workplace location or simulated workplace</w:t>
            </w:r>
          </w:p>
          <w:p w:rsidR="00000000" w:rsidRPr="0042432F" w:rsidP="0042432F">
            <w:pPr>
              <w:pStyle w:val="ListBullet3"/>
            </w:pPr>
            <w:r w:rsidRPr="0042432F">
              <w:t>materials and equi</w:t>
            </w:r>
            <w:r w:rsidRPr="0042432F">
              <w:t>pment relevant to undertaking work applicable to this unit</w:t>
            </w:r>
          </w:p>
          <w:p w:rsidR="00000000" w:rsidP="0042432F">
            <w:pPr>
              <w:pStyle w:val="ListBullet3"/>
              <w:rPr>
                <w:lang w:val="en-NZ"/>
              </w:rPr>
            </w:pPr>
            <w:r w:rsidRPr="0042432F">
              <w:t>specifications and work instructions</w:t>
            </w:r>
          </w:p>
        </w:tc>
      </w:tr>
      <w:tr w:rsidTr="000C427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2432F" w:rsidP="0042432F">
            <w:pPr>
              <w:pStyle w:val="ListBullet"/>
            </w:pPr>
            <w:r w:rsidRPr="0042432F">
              <w:t>Assessment must satisfy the endorsed Assessment Guidelines of the FPI11 Training Package</w:t>
            </w:r>
          </w:p>
          <w:p w:rsidR="00000000" w:rsidRPr="0042432F" w:rsidP="0042432F">
            <w:pPr>
              <w:pStyle w:val="ListBullet"/>
            </w:pPr>
            <w:r w:rsidRPr="0042432F">
              <w:t xml:space="preserve">Assessment methods must confirm consistency and </w:t>
            </w:r>
            <w:r w:rsidRPr="0042432F">
              <w:t>accuracy of performance (over time and in a range of workplace relevant contexts) together with application of required knowledge</w:t>
            </w:r>
          </w:p>
          <w:p w:rsidR="00000000" w:rsidRPr="0042432F" w:rsidP="0042432F">
            <w:pPr>
              <w:pStyle w:val="ListBullet"/>
            </w:pPr>
            <w:r w:rsidRPr="0042432F">
              <w:t>Assessment must be by direct observation of tasks, with questioning on required knowledge and it must also reinforce the integration of employability skills</w:t>
            </w:r>
          </w:p>
          <w:p w:rsidR="00000000" w:rsidRPr="0042432F" w:rsidP="0042432F">
            <w:pPr>
              <w:pStyle w:val="ListBullet"/>
            </w:pPr>
            <w:r w:rsidRPr="0042432F">
              <w:t>Assessment methods must confirm the ability to access and correctly interpret and apply the require</w:t>
            </w:r>
            <w:r w:rsidRPr="0042432F">
              <w:t>d knowledge</w:t>
            </w:r>
          </w:p>
          <w:p w:rsidR="00000000" w:rsidRPr="0042432F" w:rsidP="0042432F">
            <w:pPr>
              <w:pStyle w:val="ListBullet"/>
            </w:pPr>
            <w:r w:rsidRPr="0042432F">
              <w:t>Assessment may be applied under project-related conditions (real or simulated) and require evidence of process</w:t>
            </w:r>
          </w:p>
          <w:p w:rsidR="00000000" w:rsidRPr="0042432F" w:rsidP="0042432F">
            <w:pPr>
              <w:pStyle w:val="ListBullet"/>
            </w:pPr>
            <w:r w:rsidRPr="0042432F">
              <w:t>Assessment must confirm a reasonable inference that competency is able not only to be satisfied under the particular circumstance, bu</w:t>
            </w:r>
            <w:r w:rsidRPr="0042432F">
              <w:t>t is able to be transferred to other circumstances</w:t>
            </w:r>
          </w:p>
          <w:p w:rsidR="00000000" w:rsidRPr="0042432F" w:rsidP="0042432F">
            <w:pPr>
              <w:pStyle w:val="ListBullet"/>
            </w:pPr>
            <w:r w:rsidRPr="0042432F">
              <w:t>Assessment may be in conjunction with assessment of other units of competency</w:t>
            </w:r>
          </w:p>
          <w:p w:rsidR="00000000" w:rsidRPr="0042432F" w:rsidP="0042432F">
            <w:pPr>
              <w:pStyle w:val="ListBullet"/>
            </w:pPr>
            <w:r w:rsidRPr="0042432F">
              <w:t>The assessment environment should not disadvantage the candidate</w:t>
            </w:r>
          </w:p>
          <w:p w:rsidR="00000000" w:rsidRPr="0042432F" w:rsidP="0042432F">
            <w:pPr>
              <w:pStyle w:val="ListBullet"/>
            </w:pPr>
            <w:r w:rsidRPr="0042432F">
              <w:t>Assessment practices should take into account any relevant lan</w:t>
            </w:r>
            <w:r w:rsidRPr="0042432F">
              <w:t>guage or cultural issues related to Aboriginality, gender or language backgrounds other than English</w:t>
            </w:r>
          </w:p>
          <w:p w:rsidR="00000000" w:rsidRPr="0042432F" w:rsidP="0042432F">
            <w:pPr>
              <w:pStyle w:val="ListBullet"/>
            </w:pPr>
            <w:r w:rsidRPr="0042432F">
              <w:t>Where the participant has a disability, reasonable adjustment may be applied during assessment</w:t>
            </w:r>
          </w:p>
          <w:p w:rsidR="00000000" w:rsidRPr="0042432F" w:rsidP="0042432F">
            <w:pPr>
              <w:pStyle w:val="ListBullet"/>
            </w:pPr>
            <w:r w:rsidRPr="0042432F">
              <w:t xml:space="preserve">Language and literacy demands of the assessment task should </w:t>
            </w:r>
            <w:r w:rsidRPr="0042432F">
              <w:t>not be higher than those of the work role</w:t>
            </w:r>
          </w:p>
        </w:tc>
      </w:tr>
    </w:tbl>
    <w:p w:rsidR="000C427E" w:rsidP="0042432F">
      <w:pPr>
        <w:pStyle w:val="BodyText"/>
      </w:pPr>
    </w:p>
    <w:p w:rsidR="000C427E" w:rsidP="0042432F">
      <w:pPr>
        <w:pStyle w:val="BodyText"/>
      </w:pPr>
    </w:p>
    <w:p w:rsidR="00000000" w:rsidRPr="0042432F" w:rsidP="0042432F">
      <w:pPr>
        <w:pStyle w:val="Heading1"/>
      </w:pPr>
      <w:bookmarkStart w:id="11" w:name="O_251464"/>
      <w:bookmarkEnd w:id="11"/>
      <w:r w:rsidRPr="0042432F">
        <w:t>Range Statement</w:t>
      </w:r>
    </w:p>
    <w:tbl>
      <w:tblPr>
        <w:tblW w:w="0" w:type="auto"/>
        <w:tblLayout w:type="fixed"/>
        <w:tblCellMar>
          <w:left w:w="62" w:type="dxa"/>
          <w:right w:w="62" w:type="dxa"/>
        </w:tblCellMar>
        <w:tblLook w:val="0000"/>
      </w:tblPr>
      <w:tblGrid>
        <w:gridCol w:w="3537"/>
        <w:gridCol w:w="4985"/>
      </w:tblGrid>
      <w:tr w:rsidTr="000C427E">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RANGE STATEMENT</w:t>
            </w:r>
          </w:p>
        </w:tc>
      </w:tr>
      <w:tr w:rsidTr="000C427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t xml:space="preserve">The range statement relates to the unit of competency as a whole. It allows for different work environments and situations that may affect </w:t>
            </w:r>
            <w:r w:rsidRPr="0042432F">
              <w:t>performance. Bold italicised wording, if used in the performance criteria, is detailed below. Essential operating conditions that may be present with training and assessment (depending on the work situation, needs of the candidate, accessibility of the ite</w:t>
            </w:r>
            <w:r w:rsidRPr="0042432F">
              <w:t>m, and local industry and regional contexts) may also be included.</w:t>
            </w:r>
          </w:p>
        </w:tc>
      </w:tr>
      <w:tr w:rsidTr="000C42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OHS requirements</w:t>
            </w:r>
            <w:r w:rsidRPr="0042432F">
              <w:t>:</w:t>
            </w:r>
          </w:p>
        </w:tc>
        <w:tc>
          <w:tcPr>
            <w:tcW w:w="4985" w:type="dxa"/>
            <w:tcBorders>
              <w:top w:val="nil"/>
              <w:left w:val="nil"/>
              <w:bottom w:val="nil"/>
              <w:right w:val="nil"/>
            </w:tcBorders>
            <w:tcMar>
              <w:top w:w="0" w:type="dxa"/>
              <w:left w:w="62" w:type="dxa"/>
              <w:bottom w:w="0" w:type="dxa"/>
              <w:right w:w="62" w:type="dxa"/>
            </w:tcMar>
          </w:tcPr>
          <w:p w:rsidR="00000000" w:rsidRPr="0042432F" w:rsidP="0042432F">
            <w:pPr>
              <w:pStyle w:val="BodyText"/>
            </w:pPr>
            <w:r w:rsidRPr="0042432F">
              <w:t>are to be in line with applicable Commonwealth, State or Territory legislation and regulations, and organisational safety policies and procedures, and may include:</w:t>
            </w:r>
          </w:p>
          <w:p w:rsidR="00000000" w:rsidRPr="0042432F" w:rsidP="0042432F">
            <w:pPr>
              <w:pStyle w:val="ListBullet"/>
            </w:pPr>
            <w:r w:rsidRPr="0042432F">
              <w:t>pers</w:t>
            </w:r>
            <w:r w:rsidRPr="0042432F">
              <w:t>onal protective equipment and clothing</w:t>
            </w:r>
          </w:p>
          <w:p w:rsidR="00000000" w:rsidRPr="0042432F" w:rsidP="0042432F">
            <w:pPr>
              <w:pStyle w:val="ListBullet"/>
            </w:pPr>
            <w:r w:rsidRPr="0042432F">
              <w:t>safety equipment</w:t>
            </w:r>
          </w:p>
          <w:p w:rsidR="00000000" w:rsidRPr="0042432F" w:rsidP="0042432F">
            <w:pPr>
              <w:pStyle w:val="ListBullet"/>
            </w:pPr>
            <w:r w:rsidRPr="0042432F">
              <w:t>first aid equipment</w:t>
            </w:r>
          </w:p>
          <w:p w:rsidR="00000000" w:rsidRPr="0042432F" w:rsidP="0042432F">
            <w:pPr>
              <w:pStyle w:val="ListBullet"/>
            </w:pPr>
            <w:r w:rsidRPr="0042432F">
              <w:t>fire fighting equipment</w:t>
            </w:r>
          </w:p>
          <w:p w:rsidR="00000000" w:rsidRPr="0042432F" w:rsidP="0042432F">
            <w:pPr>
              <w:pStyle w:val="ListBullet"/>
            </w:pPr>
            <w:r w:rsidRPr="0042432F">
              <w:t>hazard and risk control</w:t>
            </w:r>
          </w:p>
          <w:p w:rsidR="00000000" w:rsidRPr="0042432F" w:rsidP="0042432F">
            <w:pPr>
              <w:pStyle w:val="ListBullet"/>
            </w:pPr>
            <w:r w:rsidRPr="0042432F">
              <w:t>fatigue management</w:t>
            </w:r>
          </w:p>
          <w:p w:rsidR="00000000" w:rsidRPr="0042432F" w:rsidP="0042432F">
            <w:pPr>
              <w:pStyle w:val="ListBullet"/>
            </w:pPr>
            <w:r w:rsidRPr="0042432F">
              <w:t>elimination of hazardous materials and substances</w:t>
            </w:r>
          </w:p>
          <w:p w:rsidR="00000000" w:rsidRPr="0042432F" w:rsidP="0042432F">
            <w:pPr>
              <w:pStyle w:val="ListBullet"/>
            </w:pPr>
            <w:r w:rsidRPr="0042432F">
              <w:t>safe forest practices including required actions relating to forest fire</w:t>
            </w:r>
          </w:p>
          <w:p w:rsidR="00000000" w:rsidP="0042432F">
            <w:pPr>
              <w:pStyle w:val="ListBullet"/>
              <w:rPr>
                <w:lang w:val="en-NZ"/>
              </w:rPr>
            </w:pPr>
            <w:r w:rsidRPr="0042432F">
              <w:t>manual handling including shifting, lifting and carrying</w:t>
            </w:r>
          </w:p>
        </w:tc>
      </w:tr>
      <w:tr w:rsidTr="000C42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Environmental requirements</w:t>
            </w:r>
            <w:r w:rsidRPr="0042432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2432F" w:rsidP="0042432F">
            <w:pPr>
              <w:pStyle w:val="ListBullet"/>
            </w:pPr>
            <w:r w:rsidRPr="0042432F">
              <w:t>legislation</w:t>
            </w:r>
          </w:p>
          <w:p w:rsidR="00000000" w:rsidRPr="0042432F" w:rsidP="0042432F">
            <w:pPr>
              <w:pStyle w:val="ListBullet"/>
            </w:pPr>
            <w:r w:rsidRPr="0042432F">
              <w:t>organisational policies and procedures</w:t>
            </w:r>
          </w:p>
          <w:p w:rsidR="00000000" w:rsidP="0042432F">
            <w:pPr>
              <w:pStyle w:val="ListBullet"/>
              <w:rPr>
                <w:lang w:val="en-NZ"/>
              </w:rPr>
            </w:pPr>
            <w:r w:rsidRPr="0042432F">
              <w:t>workplace practices</w:t>
            </w:r>
          </w:p>
        </w:tc>
      </w:tr>
      <w:tr w:rsidTr="000C42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 xml:space="preserve">Legislative </w:t>
            </w:r>
            <w:r w:rsidRPr="0042432F">
              <w:rPr>
                <w:rStyle w:val="SpecialBold"/>
              </w:rPr>
              <w:t>requirements</w:t>
            </w:r>
            <w:r w:rsidRPr="0042432F">
              <w:t>:</w:t>
            </w:r>
          </w:p>
        </w:tc>
        <w:tc>
          <w:tcPr>
            <w:tcW w:w="4985" w:type="dxa"/>
            <w:tcBorders>
              <w:top w:val="nil"/>
              <w:left w:val="nil"/>
              <w:bottom w:val="nil"/>
              <w:right w:val="nil"/>
            </w:tcBorders>
            <w:tcMar>
              <w:top w:w="0" w:type="dxa"/>
              <w:left w:w="62" w:type="dxa"/>
              <w:bottom w:w="0" w:type="dxa"/>
              <w:right w:w="62" w:type="dxa"/>
            </w:tcMar>
          </w:tcPr>
          <w:p w:rsidR="00000000" w:rsidRPr="0042432F" w:rsidP="0042432F">
            <w:pPr>
              <w:pStyle w:val="BodyText"/>
            </w:pPr>
            <w:r w:rsidRPr="0042432F">
              <w:t>are to be in line with applicable Commonwealth, State or Territory legislation, regulations, certification requirements and codes of practice and may include:</w:t>
            </w:r>
          </w:p>
          <w:p w:rsidR="00000000" w:rsidRPr="0042432F" w:rsidP="0042432F">
            <w:pPr>
              <w:pStyle w:val="ListBullet"/>
            </w:pPr>
            <w:r w:rsidRPr="0042432F">
              <w:t>award and enterprise agreements</w:t>
            </w:r>
          </w:p>
          <w:p w:rsidR="00000000" w:rsidRPr="0042432F" w:rsidP="0042432F">
            <w:pPr>
              <w:pStyle w:val="ListBullet"/>
            </w:pPr>
            <w:r w:rsidRPr="0042432F">
              <w:t>industrial relations</w:t>
            </w:r>
          </w:p>
          <w:p w:rsidR="00000000" w:rsidRPr="0042432F" w:rsidP="0042432F">
            <w:pPr>
              <w:pStyle w:val="ListBullet"/>
            </w:pPr>
            <w:r w:rsidRPr="0042432F">
              <w:t>Australian Standards</w:t>
            </w:r>
          </w:p>
          <w:p w:rsidR="00000000" w:rsidRPr="0042432F" w:rsidP="0042432F">
            <w:pPr>
              <w:pStyle w:val="ListBullet"/>
            </w:pPr>
            <w:r w:rsidRPr="0042432F">
              <w:t>confidentiality and privacy</w:t>
            </w:r>
          </w:p>
          <w:p w:rsidR="00000000" w:rsidRPr="0042432F" w:rsidP="0042432F">
            <w:pPr>
              <w:pStyle w:val="ListBullet"/>
            </w:pPr>
            <w:r w:rsidRPr="0042432F">
              <w:t>OHS</w:t>
            </w:r>
          </w:p>
          <w:p w:rsidR="00000000" w:rsidRPr="0042432F" w:rsidP="0042432F">
            <w:pPr>
              <w:pStyle w:val="ListBullet"/>
            </w:pPr>
            <w:r w:rsidRPr="0042432F">
              <w:t>the environment</w:t>
            </w:r>
          </w:p>
          <w:p w:rsidR="00000000" w:rsidRPr="0042432F" w:rsidP="0042432F">
            <w:pPr>
              <w:pStyle w:val="ListBullet"/>
            </w:pPr>
            <w:r w:rsidRPr="0042432F">
              <w:t>equal opportunity</w:t>
            </w:r>
          </w:p>
          <w:p w:rsidR="00000000" w:rsidRPr="0042432F" w:rsidP="0042432F">
            <w:pPr>
              <w:pStyle w:val="ListBullet"/>
            </w:pPr>
            <w:r w:rsidRPr="0042432F">
              <w:t>anti-discrimination</w:t>
            </w:r>
          </w:p>
          <w:p w:rsidR="00000000" w:rsidRPr="0042432F" w:rsidP="0042432F">
            <w:pPr>
              <w:pStyle w:val="ListBullet"/>
            </w:pPr>
            <w:r w:rsidRPr="0042432F">
              <w:t>relevant industry codes of practice</w:t>
            </w:r>
          </w:p>
          <w:p w:rsidR="00000000" w:rsidP="0042432F">
            <w:pPr>
              <w:pStyle w:val="ListBullet"/>
              <w:rPr>
                <w:lang w:val="en-NZ"/>
              </w:rPr>
            </w:pPr>
            <w:r w:rsidRPr="0042432F">
              <w:t>duty of care</w:t>
            </w:r>
          </w:p>
        </w:tc>
      </w:tr>
      <w:tr w:rsidTr="000C42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Organisational requirements</w:t>
            </w:r>
            <w:r w:rsidRPr="0042432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2432F" w:rsidP="0042432F">
            <w:pPr>
              <w:pStyle w:val="ListBullet"/>
            </w:pPr>
            <w:r w:rsidRPr="0042432F">
              <w:t xml:space="preserve">legal </w:t>
            </w:r>
          </w:p>
          <w:p w:rsidR="00000000" w:rsidRPr="0042432F" w:rsidP="0042432F">
            <w:pPr>
              <w:pStyle w:val="ListBullet"/>
            </w:pPr>
            <w:r w:rsidRPr="0042432F">
              <w:t>organisational and site guidelines</w:t>
            </w:r>
          </w:p>
          <w:p w:rsidR="00000000" w:rsidRPr="0042432F" w:rsidP="0042432F">
            <w:pPr>
              <w:pStyle w:val="ListBullet"/>
            </w:pPr>
            <w:r w:rsidRPr="0042432F">
              <w:t>policies and procedures relating to own role and responsibility</w:t>
            </w:r>
          </w:p>
          <w:p w:rsidR="00000000" w:rsidRPr="0042432F" w:rsidP="0042432F">
            <w:pPr>
              <w:pStyle w:val="ListBullet"/>
            </w:pPr>
            <w:r w:rsidRPr="0042432F">
              <w:t>quality assurance</w:t>
            </w:r>
          </w:p>
          <w:p w:rsidR="00000000" w:rsidRPr="0042432F" w:rsidP="0042432F">
            <w:pPr>
              <w:pStyle w:val="ListBullet"/>
            </w:pPr>
            <w:r w:rsidRPr="0042432F">
              <w:t>procedural manuals</w:t>
            </w:r>
          </w:p>
          <w:p w:rsidR="00000000" w:rsidRPr="0042432F" w:rsidP="0042432F">
            <w:pPr>
              <w:pStyle w:val="ListBullet"/>
            </w:pPr>
            <w:r w:rsidRPr="0042432F">
              <w:t>quality and continuous improvement processes and standards</w:t>
            </w:r>
          </w:p>
          <w:p w:rsidR="00000000" w:rsidRPr="0042432F" w:rsidP="0042432F">
            <w:pPr>
              <w:pStyle w:val="ListBullet"/>
            </w:pPr>
            <w:r w:rsidRPr="0042432F">
              <w:t>OHS, emergency and evacuation procedures</w:t>
            </w:r>
          </w:p>
          <w:p w:rsidR="00000000" w:rsidRPr="0042432F" w:rsidP="0042432F">
            <w:pPr>
              <w:pStyle w:val="ListBullet"/>
            </w:pPr>
            <w:r w:rsidRPr="0042432F">
              <w:t>ethical standards</w:t>
            </w:r>
          </w:p>
          <w:p w:rsidR="00000000" w:rsidRPr="0042432F" w:rsidP="0042432F">
            <w:pPr>
              <w:pStyle w:val="ListBullet"/>
            </w:pPr>
            <w:r w:rsidRPr="0042432F">
              <w:t>recording and reporting requirements</w:t>
            </w:r>
          </w:p>
          <w:p w:rsidR="00000000" w:rsidRPr="0042432F" w:rsidP="0042432F">
            <w:pPr>
              <w:pStyle w:val="ListBullet"/>
            </w:pPr>
            <w:r w:rsidRPr="0042432F">
              <w:t>equipment use and maintenance and storage requirements</w:t>
            </w:r>
          </w:p>
          <w:p w:rsidR="00000000" w:rsidP="0042432F">
            <w:pPr>
              <w:pStyle w:val="ListBullet"/>
              <w:rPr>
                <w:lang w:val="en-NZ"/>
              </w:rPr>
            </w:pPr>
            <w:r w:rsidRPr="0042432F">
              <w:t>environmental management requirements (waste minimisation and disposal, recycling and re-use guidelines)</w:t>
            </w:r>
          </w:p>
        </w:tc>
      </w:tr>
      <w:tr w:rsidTr="000C42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Work order</w:t>
            </w:r>
            <w:r w:rsidRPr="0042432F">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42432F" w:rsidP="0042432F">
            <w:pPr>
              <w:pStyle w:val="ListBullet"/>
            </w:pPr>
            <w:r w:rsidRPr="0042432F">
              <w:t xml:space="preserve">instructions for the blending of binding mixes </w:t>
            </w:r>
          </w:p>
          <w:p w:rsidR="00000000" w:rsidRPr="0042432F" w:rsidP="0042432F">
            <w:pPr>
              <w:pStyle w:val="BodyText"/>
            </w:pPr>
            <w:r w:rsidRPr="0042432F">
              <w:t>and may include:</w:t>
            </w:r>
          </w:p>
          <w:p w:rsidR="00000000" w:rsidRPr="0042432F" w:rsidP="0042432F">
            <w:pPr>
              <w:pStyle w:val="ListBullet"/>
            </w:pPr>
            <w:r w:rsidRPr="0042432F">
              <w:t>ty</w:t>
            </w:r>
            <w:r w:rsidRPr="0042432F">
              <w:t>pe</w:t>
            </w:r>
          </w:p>
          <w:p w:rsidR="00000000" w:rsidRPr="0042432F" w:rsidP="0042432F">
            <w:pPr>
              <w:pStyle w:val="ListBullet"/>
            </w:pPr>
            <w:r w:rsidRPr="0042432F">
              <w:t>quantity</w:t>
            </w:r>
          </w:p>
          <w:p w:rsidR="00000000" w:rsidRPr="0042432F" w:rsidP="0042432F">
            <w:pPr>
              <w:pStyle w:val="ListBullet"/>
            </w:pPr>
            <w:r w:rsidRPr="0042432F">
              <w:t>setting rate</w:t>
            </w:r>
          </w:p>
          <w:p w:rsidR="00000000" w:rsidRPr="0042432F" w:rsidP="0042432F">
            <w:pPr>
              <w:pStyle w:val="ListBullet"/>
            </w:pPr>
            <w:r w:rsidRPr="0042432F">
              <w:t>mixing percentages</w:t>
            </w:r>
          </w:p>
          <w:p w:rsidR="00000000" w:rsidRPr="0042432F" w:rsidP="0042432F">
            <w:pPr>
              <w:pStyle w:val="ListBullet"/>
            </w:pPr>
            <w:r w:rsidRPr="0042432F">
              <w:t xml:space="preserve">additives </w:t>
            </w:r>
          </w:p>
          <w:p w:rsidR="00000000" w:rsidRPr="0042432F" w:rsidP="0042432F">
            <w:pPr>
              <w:pStyle w:val="ListBullet"/>
            </w:pPr>
            <w:r w:rsidRPr="0042432F">
              <w:t>hardness</w:t>
            </w:r>
          </w:p>
          <w:p w:rsidR="00000000" w:rsidRPr="0042432F" w:rsidP="0042432F">
            <w:pPr>
              <w:pStyle w:val="ListBullet"/>
            </w:pPr>
            <w:r w:rsidRPr="0042432F">
              <w:t>instructions for the environmental monitoring of work and procedures</w:t>
            </w:r>
          </w:p>
          <w:p w:rsidR="00000000" w:rsidP="0042432F">
            <w:pPr>
              <w:pStyle w:val="ListBullet"/>
              <w:rPr>
                <w:lang w:val="en-NZ"/>
              </w:rPr>
            </w:pPr>
            <w:r w:rsidRPr="0042432F">
              <w:t>environmental care requirements relevant to the work</w:t>
            </w:r>
          </w:p>
        </w:tc>
      </w:tr>
      <w:tr w:rsidTr="000C42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Appropriate personnel</w:t>
            </w:r>
            <w:r w:rsidRPr="0042432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2432F" w:rsidP="0042432F">
            <w:pPr>
              <w:pStyle w:val="ListBullet"/>
            </w:pPr>
            <w:r w:rsidRPr="0042432F">
              <w:t>supervisors</w:t>
            </w:r>
          </w:p>
          <w:p w:rsidR="00000000" w:rsidRPr="0042432F" w:rsidP="0042432F">
            <w:pPr>
              <w:pStyle w:val="ListBullet"/>
            </w:pPr>
            <w:r w:rsidRPr="0042432F">
              <w:t>suppliers</w:t>
            </w:r>
          </w:p>
          <w:p w:rsidR="00000000" w:rsidRPr="0042432F" w:rsidP="0042432F">
            <w:pPr>
              <w:pStyle w:val="ListBullet"/>
            </w:pPr>
            <w:r w:rsidRPr="0042432F">
              <w:t>clients</w:t>
            </w:r>
          </w:p>
          <w:p w:rsidR="00000000" w:rsidRPr="0042432F" w:rsidP="0042432F">
            <w:pPr>
              <w:pStyle w:val="ListBullet"/>
            </w:pPr>
            <w:r w:rsidRPr="0042432F">
              <w:t>colleagues</w:t>
            </w:r>
          </w:p>
          <w:p w:rsidR="00000000" w:rsidP="0042432F">
            <w:pPr>
              <w:pStyle w:val="ListBullet"/>
              <w:rPr>
                <w:lang w:val="en-NZ"/>
              </w:rPr>
            </w:pPr>
            <w:r w:rsidRPr="0042432F">
              <w:t>managers</w:t>
            </w:r>
          </w:p>
        </w:tc>
      </w:tr>
      <w:tr w:rsidTr="000C42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Binding mix</w:t>
            </w:r>
            <w:r w:rsidRPr="0042432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2432F" w:rsidP="0042432F">
            <w:pPr>
              <w:pStyle w:val="ListBullet"/>
            </w:pPr>
            <w:r w:rsidRPr="0042432F">
              <w:t>chips</w:t>
            </w:r>
          </w:p>
          <w:p w:rsidR="00000000" w:rsidRPr="0042432F" w:rsidP="0042432F">
            <w:pPr>
              <w:pStyle w:val="ListBullet"/>
            </w:pPr>
            <w:r w:rsidRPr="0042432F">
              <w:t>flakes</w:t>
            </w:r>
          </w:p>
          <w:p w:rsidR="00000000" w:rsidRPr="0042432F" w:rsidP="0042432F">
            <w:pPr>
              <w:pStyle w:val="ListBullet"/>
            </w:pPr>
            <w:r w:rsidRPr="0042432F">
              <w:t>fibre</w:t>
            </w:r>
          </w:p>
          <w:p w:rsidR="00000000" w:rsidRPr="0042432F" w:rsidP="0042432F">
            <w:pPr>
              <w:pStyle w:val="ListBullet"/>
            </w:pPr>
            <w:r w:rsidRPr="0042432F">
              <w:t>glue</w:t>
            </w:r>
          </w:p>
          <w:p w:rsidR="00000000" w:rsidRPr="0042432F" w:rsidP="0042432F">
            <w:pPr>
              <w:pStyle w:val="ListBullet"/>
            </w:pPr>
            <w:r w:rsidRPr="0042432F">
              <w:t>additives</w:t>
            </w:r>
          </w:p>
          <w:p w:rsidR="00000000" w:rsidP="0042432F">
            <w:pPr>
              <w:pStyle w:val="ListBullet"/>
              <w:rPr>
                <w:lang w:val="en-NZ"/>
              </w:rPr>
            </w:pPr>
            <w:r w:rsidRPr="0042432F">
              <w:t>other enterprise specified ingredients</w:t>
            </w:r>
          </w:p>
        </w:tc>
      </w:tr>
      <w:tr w:rsidTr="000C42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Storage locations</w:t>
            </w:r>
            <w:r w:rsidRPr="0042432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2432F" w:rsidP="0042432F">
            <w:pPr>
              <w:pStyle w:val="ListBullet"/>
            </w:pPr>
            <w:r w:rsidRPr="0042432F">
              <w:t>drums kept in flammable goods storage areas</w:t>
            </w:r>
          </w:p>
          <w:p w:rsidR="00000000" w:rsidP="0042432F">
            <w:pPr>
              <w:pStyle w:val="ListBullet"/>
              <w:rPr>
                <w:lang w:val="en-NZ"/>
              </w:rPr>
            </w:pPr>
            <w:r w:rsidRPr="0042432F">
              <w:t>plastic tubs kept in flammable goods storage areas</w:t>
            </w:r>
          </w:p>
        </w:tc>
      </w:tr>
      <w:tr w:rsidTr="000C42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Equipment</w:t>
            </w:r>
            <w:r w:rsidRPr="0042432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2432F" w:rsidP="0042432F">
            <w:pPr>
              <w:pStyle w:val="ListBullet"/>
            </w:pPr>
            <w:r w:rsidRPr="0042432F">
              <w:t>blenders with manually controlled feed</w:t>
            </w:r>
          </w:p>
          <w:p w:rsidR="00000000" w:rsidRPr="0042432F" w:rsidP="0042432F">
            <w:pPr>
              <w:pStyle w:val="ListBullet"/>
            </w:pPr>
            <w:r w:rsidRPr="0042432F">
              <w:t xml:space="preserve">mixers with pre-programmed mix quantities </w:t>
            </w:r>
          </w:p>
          <w:p w:rsidR="00000000" w:rsidRPr="0042432F" w:rsidP="0042432F">
            <w:pPr>
              <w:pStyle w:val="ListBullet"/>
            </w:pPr>
            <w:r w:rsidRPr="0042432F">
              <w:t>cycles</w:t>
            </w:r>
          </w:p>
          <w:p w:rsidR="00000000" w:rsidRPr="0042432F" w:rsidP="0042432F">
            <w:pPr>
              <w:pStyle w:val="ListBullet"/>
            </w:pPr>
            <w:r w:rsidRPr="0042432F">
              <w:t xml:space="preserve">transfer pumps </w:t>
            </w:r>
          </w:p>
          <w:p w:rsidR="00000000" w:rsidP="0042432F">
            <w:pPr>
              <w:pStyle w:val="ListBullet"/>
              <w:rPr>
                <w:lang w:val="en-NZ"/>
              </w:rPr>
            </w:pPr>
            <w:r w:rsidRPr="0042432F">
              <w:t>valves</w:t>
            </w:r>
          </w:p>
        </w:tc>
      </w:tr>
      <w:tr w:rsidTr="000C42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Blending</w:t>
            </w:r>
            <w:r w:rsidRPr="0042432F">
              <w:t>:</w:t>
            </w:r>
          </w:p>
        </w:tc>
        <w:tc>
          <w:tcPr>
            <w:tcW w:w="4985" w:type="dxa"/>
            <w:tcBorders>
              <w:top w:val="nil"/>
              <w:left w:val="nil"/>
              <w:bottom w:val="nil"/>
              <w:right w:val="nil"/>
            </w:tcBorders>
            <w:tcMar>
              <w:top w:w="0" w:type="dxa"/>
              <w:left w:w="62" w:type="dxa"/>
              <w:bottom w:w="0" w:type="dxa"/>
              <w:right w:w="62" w:type="dxa"/>
            </w:tcMar>
          </w:tcPr>
          <w:p w:rsidR="00000000" w:rsidRPr="0042432F" w:rsidP="0042432F">
            <w:pPr>
              <w:pStyle w:val="ListBullet"/>
            </w:pPr>
            <w:r w:rsidRPr="0042432F">
              <w:t xml:space="preserve">usually includes mixing a base ingredient with a hardener to aid setting plus any </w:t>
            </w:r>
            <w:r w:rsidRPr="0042432F">
              <w:t>specified additives to specified quantities</w:t>
            </w:r>
          </w:p>
          <w:p w:rsidR="00000000" w:rsidP="0042432F">
            <w:pPr>
              <w:pStyle w:val="ListBullet"/>
              <w:rPr>
                <w:lang w:val="en-NZ"/>
              </w:rPr>
            </w:pPr>
            <w:r w:rsidRPr="0042432F">
              <w:t>can occur manually or mechanically</w:t>
            </w:r>
          </w:p>
        </w:tc>
      </w:tr>
      <w:tr w:rsidTr="000C42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Communication</w:t>
            </w:r>
            <w:r w:rsidRPr="0042432F">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42432F" w:rsidP="0042432F">
            <w:pPr>
              <w:pStyle w:val="ListBullet"/>
            </w:pPr>
            <w:r w:rsidRPr="0042432F">
              <w:t>verbal and non-verbal language</w:t>
            </w:r>
          </w:p>
          <w:p w:rsidR="00000000" w:rsidRPr="0042432F" w:rsidP="0042432F">
            <w:pPr>
              <w:pStyle w:val="ListBullet"/>
            </w:pPr>
            <w:r w:rsidRPr="0042432F">
              <w:t>constructive feedback</w:t>
            </w:r>
          </w:p>
          <w:p w:rsidR="00000000" w:rsidRPr="0042432F" w:rsidP="0042432F">
            <w:pPr>
              <w:pStyle w:val="ListBullet"/>
            </w:pPr>
            <w:r w:rsidRPr="0042432F">
              <w:t>active listening</w:t>
            </w:r>
          </w:p>
          <w:p w:rsidR="00000000" w:rsidRPr="0042432F" w:rsidP="0042432F">
            <w:pPr>
              <w:pStyle w:val="ListBullet"/>
            </w:pPr>
            <w:r w:rsidRPr="0042432F">
              <w:t>questioning to clarify and confirm understanding</w:t>
            </w:r>
          </w:p>
          <w:p w:rsidR="00000000" w:rsidRPr="0042432F" w:rsidP="0042432F">
            <w:pPr>
              <w:pStyle w:val="ListBullet"/>
            </w:pPr>
            <w:r w:rsidRPr="0042432F">
              <w:t>use of positive, confident a</w:t>
            </w:r>
            <w:r w:rsidRPr="0042432F">
              <w:t>nd cooperative language</w:t>
            </w:r>
          </w:p>
          <w:p w:rsidR="00000000" w:rsidRPr="0042432F" w:rsidP="0042432F">
            <w:pPr>
              <w:pStyle w:val="ListBullet"/>
            </w:pPr>
            <w:r w:rsidRPr="0042432F">
              <w:t>use of language and concepts appropriate to individual social and cultural differences</w:t>
            </w:r>
          </w:p>
          <w:p w:rsidR="00000000" w:rsidRPr="0042432F" w:rsidP="0042432F">
            <w:pPr>
              <w:pStyle w:val="ListBullet"/>
            </w:pPr>
            <w:r w:rsidRPr="0042432F">
              <w:t>control of tone of voice</w:t>
            </w:r>
          </w:p>
          <w:p w:rsidR="00000000" w:rsidP="0042432F">
            <w:pPr>
              <w:pStyle w:val="ListBullet"/>
              <w:rPr>
                <w:lang w:val="en-NZ"/>
              </w:rPr>
            </w:pPr>
            <w:r w:rsidRPr="0042432F">
              <w:t>body language</w:t>
            </w:r>
          </w:p>
        </w:tc>
      </w:tr>
      <w:tr w:rsidTr="000C42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Pre start-up checks</w:t>
            </w:r>
          </w:p>
        </w:tc>
        <w:tc>
          <w:tcPr>
            <w:tcW w:w="4985" w:type="dxa"/>
            <w:tcBorders>
              <w:top w:val="nil"/>
              <w:left w:val="nil"/>
              <w:bottom w:val="nil"/>
              <w:right w:val="nil"/>
            </w:tcBorders>
            <w:tcMar>
              <w:top w:w="0" w:type="dxa"/>
              <w:left w:w="62" w:type="dxa"/>
              <w:bottom w:w="0" w:type="dxa"/>
              <w:right w:w="62" w:type="dxa"/>
            </w:tcMar>
          </w:tcPr>
          <w:p w:rsidR="00000000" w:rsidRPr="0042432F" w:rsidP="0042432F">
            <w:pPr>
              <w:pStyle w:val="BodyText"/>
            </w:pPr>
            <w:r w:rsidRPr="0042432F">
              <w:t>are conducted to ensure:</w:t>
            </w:r>
          </w:p>
          <w:p w:rsidR="00000000" w:rsidRPr="0042432F" w:rsidP="0042432F">
            <w:pPr>
              <w:pStyle w:val="ListBullet"/>
            </w:pPr>
            <w:r w:rsidRPr="0042432F">
              <w:t>equipment has been set-up correctly</w:t>
            </w:r>
          </w:p>
          <w:p w:rsidR="00000000" w:rsidRPr="0042432F" w:rsidP="0042432F">
            <w:pPr>
              <w:pStyle w:val="ListBullet"/>
            </w:pPr>
            <w:r w:rsidRPr="0042432F">
              <w:t xml:space="preserve">systems are performing accurately </w:t>
            </w:r>
          </w:p>
          <w:p w:rsidR="00000000" w:rsidP="0042432F">
            <w:pPr>
              <w:pStyle w:val="ListBullet"/>
              <w:rPr>
                <w:lang w:val="en-NZ"/>
              </w:rPr>
            </w:pPr>
            <w:r w:rsidRPr="0042432F">
              <w:t>equipment is operating to optimum performance</w:t>
            </w:r>
          </w:p>
        </w:tc>
      </w:tr>
      <w:tr w:rsidTr="000C42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Ingredients</w:t>
            </w:r>
            <w:r w:rsidRPr="0042432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2432F" w:rsidP="0042432F">
            <w:pPr>
              <w:pStyle w:val="BodyText"/>
            </w:pPr>
            <w:r w:rsidRPr="0042432F">
              <w:t>synthetic or animal based adhesives such as:</w:t>
            </w:r>
          </w:p>
          <w:p w:rsidR="00000000" w:rsidRPr="0042432F" w:rsidP="0042432F">
            <w:pPr>
              <w:pStyle w:val="ListBullet"/>
            </w:pPr>
            <w:r w:rsidRPr="0042432F">
              <w:t>casein</w:t>
            </w:r>
          </w:p>
          <w:p w:rsidR="00000000" w:rsidRPr="0042432F" w:rsidP="0042432F">
            <w:pPr>
              <w:pStyle w:val="ListBullet"/>
            </w:pPr>
            <w:r w:rsidRPr="0042432F">
              <w:t>rubber based adhesives</w:t>
            </w:r>
          </w:p>
          <w:p w:rsidR="00000000" w:rsidRPr="0042432F" w:rsidP="0042432F">
            <w:pPr>
              <w:pStyle w:val="ListBullet"/>
            </w:pPr>
            <w:r w:rsidRPr="0042432F">
              <w:t>poly vinyl acetate</w:t>
            </w:r>
          </w:p>
          <w:p w:rsidR="00000000" w:rsidRPr="0042432F" w:rsidP="0042432F">
            <w:pPr>
              <w:pStyle w:val="ListBullet"/>
            </w:pPr>
            <w:r w:rsidRPr="0042432F">
              <w:t>epoxy resins and formaldehydes</w:t>
            </w:r>
          </w:p>
          <w:p w:rsidR="00000000" w:rsidRPr="0042432F" w:rsidP="0042432F">
            <w:pPr>
              <w:pStyle w:val="ListBullet"/>
            </w:pPr>
            <w:r w:rsidRPr="0042432F">
              <w:t>chips</w:t>
            </w:r>
          </w:p>
          <w:p w:rsidR="00000000" w:rsidRPr="0042432F" w:rsidP="0042432F">
            <w:pPr>
              <w:pStyle w:val="ListBullet"/>
            </w:pPr>
            <w:r w:rsidRPr="0042432F">
              <w:t>flakes or fibre</w:t>
            </w:r>
          </w:p>
          <w:p w:rsidR="00000000" w:rsidRPr="0042432F" w:rsidP="0042432F">
            <w:pPr>
              <w:pStyle w:val="ListBullet"/>
            </w:pPr>
            <w:r w:rsidRPr="0042432F">
              <w:t>hardeners</w:t>
            </w:r>
          </w:p>
          <w:p w:rsidR="00000000" w:rsidRPr="0042432F" w:rsidP="0042432F">
            <w:pPr>
              <w:pStyle w:val="ListBullet"/>
            </w:pPr>
            <w:r w:rsidRPr="0042432F">
              <w:t>softeners</w:t>
            </w:r>
          </w:p>
          <w:p w:rsidR="00000000" w:rsidRPr="0042432F" w:rsidP="0042432F">
            <w:pPr>
              <w:pStyle w:val="ListBullet"/>
            </w:pPr>
            <w:r w:rsidRPr="0042432F">
              <w:t>accelerants</w:t>
            </w:r>
          </w:p>
          <w:p w:rsidR="00000000" w:rsidRPr="0042432F" w:rsidP="0042432F">
            <w:pPr>
              <w:pStyle w:val="ListBullet"/>
            </w:pPr>
            <w:r w:rsidRPr="0042432F">
              <w:t>decelerators</w:t>
            </w:r>
          </w:p>
          <w:p w:rsidR="00000000" w:rsidP="0042432F">
            <w:pPr>
              <w:pStyle w:val="ListBullet"/>
              <w:rPr>
                <w:lang w:val="en-NZ"/>
              </w:rPr>
            </w:pPr>
            <w:r w:rsidRPr="0042432F">
              <w:t>dyes</w:t>
            </w:r>
          </w:p>
        </w:tc>
      </w:tr>
      <w:tr w:rsidTr="000C42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Additives</w:t>
            </w:r>
            <w:r w:rsidRPr="0042432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2432F" w:rsidP="0042432F">
            <w:pPr>
              <w:pStyle w:val="BodyText"/>
            </w:pPr>
            <w:r w:rsidRPr="0042432F">
              <w:t>agents which:</w:t>
            </w:r>
          </w:p>
          <w:p w:rsidR="00000000" w:rsidRPr="0042432F" w:rsidP="0042432F">
            <w:pPr>
              <w:pStyle w:val="ListBullet"/>
            </w:pPr>
            <w:r w:rsidRPr="0042432F">
              <w:t>harden</w:t>
            </w:r>
          </w:p>
          <w:p w:rsidR="00000000" w:rsidRPr="0042432F" w:rsidP="0042432F">
            <w:pPr>
              <w:pStyle w:val="ListBullet"/>
            </w:pPr>
            <w:r w:rsidRPr="0042432F">
              <w:t>soften</w:t>
            </w:r>
          </w:p>
          <w:p w:rsidR="00000000" w:rsidP="0042432F">
            <w:pPr>
              <w:pStyle w:val="ListBullet"/>
              <w:rPr>
                <w:lang w:val="en-NZ"/>
              </w:rPr>
            </w:pPr>
            <w:r w:rsidRPr="0042432F">
              <w:t>accelerate or decelerate glue or resin setting</w:t>
            </w:r>
          </w:p>
        </w:tc>
      </w:tr>
      <w:tr w:rsidTr="000C42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Transfer lines</w:t>
            </w:r>
            <w:r w:rsidRPr="0042432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2432F" w:rsidP="0042432F">
            <w:pPr>
              <w:pStyle w:val="ListBullet"/>
            </w:pPr>
            <w:r w:rsidRPr="0042432F">
              <w:t xml:space="preserve">transfer of ingredients to the blenders </w:t>
            </w:r>
          </w:p>
          <w:p w:rsidR="00000000" w:rsidP="0042432F">
            <w:pPr>
              <w:pStyle w:val="ListBullet"/>
              <w:rPr>
                <w:lang w:val="en-NZ"/>
              </w:rPr>
            </w:pPr>
            <w:r w:rsidRPr="0042432F">
              <w:t>transfer of the binding mix to storage or production</w:t>
            </w:r>
          </w:p>
        </w:tc>
      </w:tr>
      <w:tr w:rsidTr="000C42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Testing</w:t>
            </w:r>
            <w:r w:rsidRPr="0042432F">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42432F" w:rsidP="0042432F">
            <w:pPr>
              <w:pStyle w:val="BodyText"/>
            </w:pPr>
            <w:r w:rsidRPr="0042432F">
              <w:t>regular sampling of the blending mix to check:</w:t>
            </w:r>
          </w:p>
          <w:p w:rsidR="00000000" w:rsidRPr="0042432F" w:rsidP="0042432F">
            <w:pPr>
              <w:pStyle w:val="ListBullet"/>
            </w:pPr>
            <w:r w:rsidRPr="0042432F">
              <w:t>mix quantities</w:t>
            </w:r>
          </w:p>
          <w:p w:rsidR="00000000" w:rsidRPr="0042432F" w:rsidP="0042432F">
            <w:pPr>
              <w:pStyle w:val="ListBullet"/>
            </w:pPr>
            <w:r w:rsidRPr="0042432F">
              <w:t>ingredient characteristics</w:t>
            </w:r>
          </w:p>
          <w:p w:rsidR="00000000" w:rsidRPr="0042432F" w:rsidP="0042432F">
            <w:pPr>
              <w:pStyle w:val="ListBullet"/>
            </w:pPr>
            <w:r w:rsidRPr="0042432F">
              <w:t>viscosity</w:t>
            </w:r>
          </w:p>
          <w:p w:rsidR="00000000" w:rsidRPr="0042432F" w:rsidP="0042432F">
            <w:pPr>
              <w:pStyle w:val="ListBullet"/>
            </w:pPr>
            <w:r w:rsidRPr="0042432F">
              <w:t>colour</w:t>
            </w:r>
          </w:p>
          <w:p w:rsidR="00000000" w:rsidRPr="0042432F" w:rsidP="0042432F">
            <w:pPr>
              <w:pStyle w:val="ListBullet"/>
            </w:pPr>
            <w:r w:rsidRPr="0042432F">
              <w:t>spread</w:t>
            </w:r>
          </w:p>
          <w:p w:rsidR="00000000" w:rsidRPr="0042432F" w:rsidP="0042432F">
            <w:pPr>
              <w:pStyle w:val="ListBullet"/>
            </w:pPr>
            <w:r w:rsidRPr="0042432F">
              <w:t>tack</w:t>
            </w:r>
          </w:p>
          <w:p w:rsidR="00000000" w:rsidRPr="0042432F" w:rsidP="0042432F">
            <w:pPr>
              <w:pStyle w:val="ListBullet"/>
            </w:pPr>
            <w:r w:rsidRPr="0042432F">
              <w:t>cured bond strength</w:t>
            </w:r>
          </w:p>
          <w:p w:rsidR="00000000" w:rsidRPr="0042432F" w:rsidP="0042432F">
            <w:pPr>
              <w:pStyle w:val="ListBullet"/>
            </w:pPr>
            <w:r w:rsidRPr="0042432F">
              <w:t xml:space="preserve">setting speed (is it going off) </w:t>
            </w:r>
          </w:p>
          <w:p w:rsidR="00000000" w:rsidP="0042432F">
            <w:pPr>
              <w:pStyle w:val="ListBullet"/>
              <w:rPr>
                <w:lang w:val="en-NZ"/>
              </w:rPr>
            </w:pPr>
            <w:r w:rsidRPr="0042432F">
              <w:t>how wea</w:t>
            </w:r>
            <w:r w:rsidRPr="0042432F">
              <w:t>ther conditions may be affecting the process</w:t>
            </w:r>
          </w:p>
        </w:tc>
      </w:tr>
      <w:tr w:rsidTr="000C427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Records and reports</w:t>
            </w:r>
            <w:r w:rsidRPr="0042432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2432F" w:rsidP="0042432F">
            <w:pPr>
              <w:pStyle w:val="ListBullet"/>
            </w:pPr>
            <w:r w:rsidRPr="0042432F">
              <w:t>binding and testing results</w:t>
            </w:r>
          </w:p>
          <w:p w:rsidR="00000000" w:rsidRPr="0042432F" w:rsidP="0042432F">
            <w:pPr>
              <w:pStyle w:val="ListBullet"/>
            </w:pPr>
            <w:r w:rsidRPr="0042432F">
              <w:t>quantities produced</w:t>
            </w:r>
          </w:p>
          <w:p w:rsidR="00000000" w:rsidRPr="0042432F" w:rsidP="0042432F">
            <w:pPr>
              <w:pStyle w:val="ListBullet"/>
            </w:pPr>
            <w:r w:rsidRPr="0042432F">
              <w:t>condition changes</w:t>
            </w:r>
          </w:p>
          <w:p w:rsidR="00000000" w:rsidRPr="0042432F" w:rsidP="0042432F">
            <w:pPr>
              <w:pStyle w:val="ListBullet"/>
            </w:pPr>
            <w:r w:rsidRPr="0042432F">
              <w:t>production difficulties</w:t>
            </w:r>
          </w:p>
          <w:p w:rsidR="00000000" w:rsidRPr="0042432F" w:rsidP="0042432F">
            <w:pPr>
              <w:pStyle w:val="ListBullet"/>
            </w:pPr>
            <w:r w:rsidRPr="0042432F">
              <w:t>storage locations</w:t>
            </w:r>
          </w:p>
          <w:p w:rsidR="00000000" w:rsidRPr="0042432F" w:rsidP="0042432F">
            <w:pPr>
              <w:pStyle w:val="ListBullet"/>
            </w:pPr>
            <w:r w:rsidRPr="0042432F">
              <w:t>quality outcomes</w:t>
            </w:r>
          </w:p>
          <w:p w:rsidR="00000000" w:rsidRPr="0042432F" w:rsidP="0042432F">
            <w:pPr>
              <w:pStyle w:val="ListBullet"/>
            </w:pPr>
            <w:r w:rsidRPr="0042432F">
              <w:t>hazards</w:t>
            </w:r>
          </w:p>
          <w:p w:rsidR="00000000" w:rsidRPr="0042432F" w:rsidP="0042432F">
            <w:pPr>
              <w:pStyle w:val="ListBullet"/>
            </w:pPr>
            <w:r w:rsidRPr="0042432F">
              <w:t>incidents</w:t>
            </w:r>
          </w:p>
          <w:p w:rsidR="00000000" w:rsidRPr="0042432F" w:rsidP="0042432F">
            <w:pPr>
              <w:pStyle w:val="ListBullet"/>
            </w:pPr>
            <w:r w:rsidRPr="0042432F">
              <w:t>equipment malfunctions</w:t>
            </w:r>
          </w:p>
          <w:p w:rsidR="00000000" w:rsidRPr="0042432F" w:rsidP="0042432F">
            <w:pPr>
              <w:pStyle w:val="BodyText"/>
            </w:pPr>
            <w:r w:rsidRPr="0042432F">
              <w:t>and may be:</w:t>
            </w:r>
          </w:p>
          <w:p w:rsidR="00000000" w:rsidRPr="0042432F" w:rsidP="0042432F">
            <w:pPr>
              <w:pStyle w:val="ListBullet"/>
            </w:pPr>
            <w:r w:rsidRPr="0042432F">
              <w:t>manual</w:t>
            </w:r>
          </w:p>
          <w:p w:rsidR="00000000" w:rsidRPr="0042432F" w:rsidP="0042432F">
            <w:pPr>
              <w:pStyle w:val="ListBullet"/>
            </w:pPr>
            <w:r w:rsidRPr="0042432F">
              <w:t>using a computer-based system or other appropriate organisational communication system</w:t>
            </w:r>
          </w:p>
        </w:tc>
      </w:tr>
    </w:tbl>
    <w:p w:rsidR="000C427E" w:rsidP="0042432F">
      <w:pPr>
        <w:pStyle w:val="BodyText"/>
      </w:pPr>
    </w:p>
    <w:p w:rsidR="000C427E" w:rsidP="0042432F">
      <w:pPr>
        <w:pStyle w:val="BodyText"/>
      </w:pPr>
    </w:p>
    <w:p w:rsidR="00000000" w:rsidRPr="0042432F" w:rsidP="0042432F">
      <w:pPr>
        <w:pStyle w:val="Heading1"/>
      </w:pPr>
      <w:bookmarkStart w:id="12" w:name="O_204546"/>
      <w:bookmarkEnd w:id="12"/>
      <w:r w:rsidRPr="0042432F">
        <w:t>Unit Sector(s)</w:t>
      </w:r>
    </w:p>
    <w:tbl>
      <w:tblPr>
        <w:tblW w:w="0" w:type="auto"/>
        <w:tblLayout w:type="fixed"/>
        <w:tblCellMar>
          <w:left w:w="62" w:type="dxa"/>
          <w:right w:w="62" w:type="dxa"/>
        </w:tblCellMar>
        <w:tblLook w:val="0000"/>
      </w:tblPr>
      <w:tblGrid>
        <w:gridCol w:w="2632"/>
        <w:gridCol w:w="5890"/>
      </w:tblGrid>
      <w:tr w:rsidTr="000C427E">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42432F" w:rsidP="0042432F">
            <w:pPr>
              <w:pStyle w:val="BodyText"/>
            </w:pPr>
            <w:r w:rsidRPr="0042432F">
              <w:t>No sector assigned</w:t>
            </w:r>
          </w:p>
        </w:tc>
      </w:tr>
    </w:tbl>
    <w:p w:rsidR="000C427E" w:rsidP="0042432F">
      <w:pPr>
        <w:pStyle w:val="BodyText"/>
      </w:pPr>
    </w:p>
    <w:p w:rsidR="000C427E" w:rsidP="0042432F">
      <w:pPr>
        <w:pStyle w:val="BodyText"/>
      </w:pPr>
    </w:p>
    <w:p w:rsidR="00000000" w:rsidRPr="0042432F" w:rsidP="0042432F">
      <w:pPr>
        <w:pStyle w:val="Heading1"/>
      </w:pPr>
      <w:bookmarkStart w:id="13" w:name="O_204543"/>
      <w:bookmarkEnd w:id="13"/>
      <w:r w:rsidRPr="0042432F">
        <w:t>Co-requisite units</w:t>
      </w:r>
    </w:p>
    <w:tbl>
      <w:tblPr>
        <w:tblW w:w="0" w:type="auto"/>
        <w:tblLayout w:type="fixed"/>
        <w:tblCellMar>
          <w:left w:w="62" w:type="dxa"/>
          <w:right w:w="62" w:type="dxa"/>
        </w:tblCellMar>
        <w:tblLook w:val="0000"/>
      </w:tblPr>
      <w:tblGrid>
        <w:gridCol w:w="2642"/>
        <w:gridCol w:w="2940"/>
        <w:gridCol w:w="2940"/>
      </w:tblGrid>
      <w:tr w:rsidTr="000C427E">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C427E">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p>
        </w:tc>
      </w:tr>
      <w:tr w:rsidTr="000C427E">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42432F" w:rsidP="0042432F">
            <w:pPr>
              <w:pStyle w:val="BodyText"/>
            </w:pPr>
          </w:p>
        </w:tc>
      </w:tr>
    </w:tbl>
    <w:p w:rsidR="000C427E" w:rsidP="0042432F">
      <w:pPr>
        <w:pStyle w:val="BodyText"/>
      </w:pPr>
    </w:p>
    <w:p w:rsidR="000C427E" w:rsidP="0042432F">
      <w:pPr>
        <w:pStyle w:val="BodyText"/>
      </w:pPr>
    </w:p>
    <w:p w:rsidR="00000000" w:rsidRPr="0042432F" w:rsidP="0042432F">
      <w:pPr>
        <w:pStyle w:val="Heading1"/>
      </w:pPr>
      <w:bookmarkStart w:id="14" w:name="O_204545"/>
      <w:bookmarkEnd w:id="14"/>
      <w:r w:rsidRPr="0042432F">
        <w:t>Competency field</w:t>
      </w:r>
    </w:p>
    <w:tbl>
      <w:tblPr>
        <w:tblW w:w="0" w:type="auto"/>
        <w:tblLayout w:type="fixed"/>
        <w:tblCellMar>
          <w:left w:w="62" w:type="dxa"/>
          <w:right w:w="62" w:type="dxa"/>
        </w:tblCellMar>
        <w:tblLook w:val="0000"/>
      </w:tblPr>
      <w:tblGrid>
        <w:gridCol w:w="2779"/>
        <w:gridCol w:w="5743"/>
      </w:tblGrid>
      <w:tr w:rsidTr="000C427E">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42432F">
            <w:pPr>
              <w:pStyle w:val="BodyText"/>
              <w:rPr>
                <w:lang w:val="en-NZ"/>
              </w:rPr>
            </w:pPr>
            <w:r w:rsidRPr="0042432F">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42432F" w:rsidP="0042432F">
            <w:pPr>
              <w:pStyle w:val="BodyText"/>
            </w:pPr>
            <w:r w:rsidRPr="0042432F">
              <w:t>Wood Panel Products</w:t>
            </w:r>
          </w:p>
        </w:tc>
      </w:tr>
    </w:tbl>
    <w:p w:rsidR="000C427E" w:rsidP="0042432F">
      <w:pPr>
        <w:pStyle w:val="BodyText"/>
      </w:pPr>
    </w:p>
    <w:p w:rsidR="000C427E" w:rsidP="0042432F">
      <w:pPr>
        <w:pStyle w:val="BodyText"/>
      </w:pPr>
    </w:p>
    <w:p w:rsidR="00000000" w:rsidRPr="0042432F" w:rsidP="0042432F"/>
    <w:sectPr w:rsidSect="004243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3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427E" w:rsidP="000C42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3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27E" w:rsidP="004243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C427E" w:rsidP="004243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0C427E" w:rsidP="004243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3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427E" w:rsidP="000C42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3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27E" w:rsidP="0042432F">
    <w:pPr>
      <w:pStyle w:val="Header"/>
      <w:framePr w:wrap="around"/>
    </w:pPr>
    <w:r>
      <w:fldChar w:fldCharType="begin"/>
    </w:r>
    <w:r>
      <w:instrText xml:space="preserve"> TITLE   \* MERGEFORMAT </w:instrText>
    </w:r>
    <w:r>
      <w:fldChar w:fldCharType="separate"/>
    </w:r>
    <w:r>
      <w:t>FPIWPP3219B Blend and test binding mixes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C427E" w:rsidP="004243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2427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BC94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3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432F"/>
    <w:pPr>
      <w:spacing w:before="360" w:after="60"/>
      <w:outlineLvl w:val="0"/>
    </w:pPr>
    <w:rPr>
      <w:sz w:val="32"/>
    </w:rPr>
  </w:style>
  <w:style w:type="paragraph" w:styleId="Heading2">
    <w:name w:val="heading 2"/>
    <w:basedOn w:val="HeadingBase"/>
    <w:next w:val="BodyText"/>
    <w:link w:val="Heading2Char"/>
    <w:qFormat/>
    <w:rsid w:val="0042432F"/>
    <w:pPr>
      <w:keepLines/>
      <w:spacing w:before="240" w:after="120"/>
      <w:outlineLvl w:val="1"/>
    </w:pPr>
    <w:rPr>
      <w:sz w:val="28"/>
      <w:szCs w:val="40"/>
    </w:rPr>
  </w:style>
  <w:style w:type="paragraph" w:styleId="Heading3">
    <w:name w:val="heading 3"/>
    <w:basedOn w:val="HeadingBase"/>
    <w:next w:val="BodyText"/>
    <w:link w:val="Heading3Char"/>
    <w:qFormat/>
    <w:rsid w:val="0042432F"/>
    <w:pPr>
      <w:spacing w:before="180" w:after="120"/>
      <w:outlineLvl w:val="2"/>
    </w:pPr>
    <w:rPr>
      <w:spacing w:val="-10"/>
      <w:kern w:val="32"/>
    </w:rPr>
  </w:style>
  <w:style w:type="paragraph" w:styleId="Heading4">
    <w:name w:val="heading 4"/>
    <w:basedOn w:val="HeadingBase"/>
    <w:next w:val="BodyText"/>
    <w:link w:val="Heading4Char"/>
    <w:qFormat/>
    <w:rsid w:val="0042432F"/>
    <w:pPr>
      <w:spacing w:before="160" w:after="120"/>
      <w:outlineLvl w:val="3"/>
    </w:pPr>
    <w:rPr>
      <w:sz w:val="22"/>
    </w:rPr>
  </w:style>
  <w:style w:type="paragraph" w:styleId="Heading5">
    <w:name w:val="heading 5"/>
    <w:basedOn w:val="HeadingBase"/>
    <w:next w:val="Normal"/>
    <w:link w:val="Heading5Char"/>
    <w:qFormat/>
    <w:rsid w:val="0042432F"/>
    <w:pPr>
      <w:spacing w:before="80"/>
      <w:outlineLvl w:val="4"/>
    </w:pPr>
    <w:rPr>
      <w:color w:val="918585"/>
      <w:sz w:val="20"/>
    </w:rPr>
  </w:style>
  <w:style w:type="paragraph" w:styleId="Heading6">
    <w:name w:val="heading 6"/>
    <w:basedOn w:val="HeadingBase"/>
    <w:next w:val="Normal"/>
    <w:link w:val="Heading6Char"/>
    <w:qFormat/>
    <w:rsid w:val="0042432F"/>
    <w:pPr>
      <w:spacing w:before="60"/>
      <w:outlineLvl w:val="5"/>
    </w:pPr>
    <w:rPr>
      <w:color w:val="918585"/>
      <w:sz w:val="20"/>
    </w:rPr>
  </w:style>
  <w:style w:type="paragraph" w:styleId="Heading7">
    <w:name w:val="heading 7"/>
    <w:basedOn w:val="Normal"/>
    <w:next w:val="Normal"/>
    <w:link w:val="Heading7Char"/>
    <w:qFormat/>
    <w:rsid w:val="0042432F"/>
    <w:pPr>
      <w:ind w:left="720"/>
      <w:outlineLvl w:val="6"/>
    </w:pPr>
    <w:rPr>
      <w:i/>
    </w:rPr>
  </w:style>
  <w:style w:type="paragraph" w:styleId="Heading8">
    <w:name w:val="heading 8"/>
    <w:basedOn w:val="Normal"/>
    <w:next w:val="Normal"/>
    <w:link w:val="Heading8Char"/>
    <w:qFormat/>
    <w:rsid w:val="0042432F"/>
    <w:pPr>
      <w:ind w:left="720"/>
      <w:outlineLvl w:val="7"/>
    </w:pPr>
    <w:rPr>
      <w:i/>
    </w:rPr>
  </w:style>
  <w:style w:type="paragraph" w:styleId="Heading9">
    <w:name w:val="heading 9"/>
    <w:basedOn w:val="Normal"/>
    <w:next w:val="Normal"/>
    <w:link w:val="Heading9Char"/>
    <w:qFormat/>
    <w:rsid w:val="0042432F"/>
    <w:pPr>
      <w:ind w:left="720"/>
      <w:outlineLvl w:val="8"/>
    </w:pPr>
    <w:rPr>
      <w:i/>
    </w:rPr>
  </w:style>
  <w:style w:type="character" w:default="1" w:styleId="DefaultParagraphFont">
    <w:name w:val="Default Paragraph Font"/>
    <w:uiPriority w:val="1"/>
    <w:unhideWhenUsed/>
    <w:rsid w:val="004243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432F"/>
  </w:style>
  <w:style w:type="character" w:customStyle="1" w:styleId="Heading1Char">
    <w:name w:val="Heading 1 Char"/>
    <w:basedOn w:val="DefaultParagraphFont"/>
    <w:link w:val="Heading1"/>
    <w:rsid w:val="0042432F"/>
    <w:rPr>
      <w:rFonts w:ascii="Times New Roman" w:eastAsia="Times New Roman" w:hAnsi="Times New Roman" w:cs="Times New Roman"/>
      <w:b/>
      <w:sz w:val="32"/>
      <w:szCs w:val="20"/>
      <w:lang w:eastAsia="en-US"/>
    </w:rPr>
  </w:style>
  <w:style w:type="paragraph" w:styleId="BodyText">
    <w:name w:val="Body Text"/>
    <w:basedOn w:val="Normal"/>
    <w:link w:val="BodyTextChar"/>
    <w:rsid w:val="004243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432F"/>
    <w:rPr>
      <w:rFonts w:ascii="Times New Roman" w:eastAsia="Times New Roman" w:hAnsi="Times New Roman" w:cs="Times New Roman"/>
      <w:sz w:val="24"/>
      <w:lang w:val="en-US" w:eastAsia="en-US"/>
    </w:rPr>
  </w:style>
  <w:style w:type="paragraph" w:styleId="Footer">
    <w:name w:val="footer"/>
    <w:basedOn w:val="Normal"/>
    <w:link w:val="FooterChar"/>
    <w:rsid w:val="004243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432F"/>
    <w:rPr>
      <w:rFonts w:ascii="Times New Roman" w:eastAsia="Times New Roman" w:hAnsi="Times New Roman" w:cs="Times New Roman"/>
      <w:sz w:val="16"/>
      <w:lang w:val="en-US" w:eastAsia="en-US"/>
    </w:rPr>
  </w:style>
  <w:style w:type="paragraph" w:styleId="List">
    <w:name w:val="List"/>
    <w:basedOn w:val="BodyText"/>
    <w:next w:val="BodyText"/>
    <w:rsid w:val="0042432F"/>
    <w:pPr>
      <w:tabs>
        <w:tab w:val="left" w:pos="340"/>
      </w:tabs>
      <w:spacing w:before="60" w:after="60"/>
      <w:ind w:left="340" w:hanging="340"/>
    </w:pPr>
  </w:style>
  <w:style w:type="paragraph" w:styleId="ListBullet">
    <w:name w:val="List Bullet"/>
    <w:basedOn w:val="List"/>
    <w:rsid w:val="0042432F"/>
    <w:pPr>
      <w:numPr>
        <w:numId w:val="13"/>
      </w:numPr>
      <w:tabs>
        <w:tab w:val="clear" w:pos="340"/>
      </w:tabs>
      <w:spacing w:before="40" w:after="40"/>
    </w:pPr>
  </w:style>
  <w:style w:type="character" w:customStyle="1" w:styleId="SpecialBold">
    <w:name w:val="Special Bold"/>
    <w:basedOn w:val="DefaultParagraphFont"/>
    <w:rsid w:val="0042432F"/>
    <w:rPr>
      <w:b/>
      <w:spacing w:val="0"/>
    </w:rPr>
  </w:style>
  <w:style w:type="paragraph" w:styleId="Header">
    <w:name w:val="header"/>
    <w:basedOn w:val="Normal"/>
    <w:link w:val="HeaderChar"/>
    <w:rsid w:val="004243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432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432F"/>
    <w:pPr>
      <w:spacing w:before="240" w:after="120"/>
      <w:outlineLvl w:val="0"/>
    </w:pPr>
    <w:rPr>
      <w:rFonts w:ascii="Times New Roman" w:hAnsi="Times New Roman"/>
      <w:b/>
      <w:sz w:val="28"/>
    </w:rPr>
  </w:style>
  <w:style w:type="paragraph" w:customStyle="1" w:styleId="AllowPageBreak">
    <w:name w:val="AllowPageBreak"/>
    <w:rsid w:val="0042432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432F"/>
    <w:pPr>
      <w:tabs>
        <w:tab w:val="left" w:pos="680"/>
      </w:tabs>
      <w:spacing w:before="60" w:after="60"/>
      <w:ind w:left="680" w:hanging="340"/>
    </w:pPr>
  </w:style>
  <w:style w:type="paragraph" w:styleId="ListBullet3">
    <w:name w:val="List Bullet 3"/>
    <w:basedOn w:val="List3"/>
    <w:rsid w:val="0042432F"/>
    <w:pPr>
      <w:numPr>
        <w:numId w:val="2"/>
      </w:numPr>
      <w:tabs>
        <w:tab w:val="clear" w:pos="1021"/>
      </w:tabs>
      <w:ind w:left="1037" w:hanging="357"/>
    </w:pPr>
  </w:style>
  <w:style w:type="character" w:customStyle="1" w:styleId="BoldandItalics">
    <w:name w:val="Bold and Italics"/>
    <w:qFormat/>
    <w:rsid w:val="0042432F"/>
    <w:rPr>
      <w:b/>
      <w:i/>
      <w:u w:val="none"/>
    </w:rPr>
  </w:style>
  <w:style w:type="character" w:customStyle="1" w:styleId="Heading2Char">
    <w:name w:val="Heading 2 Char"/>
    <w:basedOn w:val="DefaultParagraphFont"/>
    <w:link w:val="Heading2"/>
    <w:rsid w:val="004243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43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43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43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43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43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43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432F"/>
    <w:rPr>
      <w:rFonts w:ascii="Courier New" w:eastAsia="Times New Roman" w:hAnsi="Courier New" w:cs="Times New Roman"/>
      <w:i/>
      <w:szCs w:val="20"/>
      <w:lang w:val="en-US" w:eastAsia="en-US"/>
    </w:rPr>
  </w:style>
  <w:style w:type="paragraph" w:customStyle="1" w:styleId="HeadingBase">
    <w:name w:val="Heading Base"/>
    <w:rsid w:val="004243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432F"/>
    <w:pPr>
      <w:tabs>
        <w:tab w:val="right" w:leader="dot" w:pos="9072"/>
      </w:tabs>
      <w:ind w:left="567"/>
    </w:pPr>
    <w:rPr>
      <w:szCs w:val="22"/>
    </w:rPr>
  </w:style>
  <w:style w:type="paragraph" w:customStyle="1" w:styleId="TOCBase">
    <w:name w:val="TOC Base"/>
    <w:rsid w:val="004243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432F"/>
    <w:pPr>
      <w:tabs>
        <w:tab w:val="right" w:leader="dot" w:pos="9072"/>
      </w:tabs>
      <w:spacing w:before="40" w:after="40"/>
      <w:ind w:left="284"/>
    </w:pPr>
    <w:rPr>
      <w:rFonts w:ascii="Times New Roman" w:hAnsi="Times New Roman"/>
    </w:rPr>
  </w:style>
  <w:style w:type="paragraph" w:styleId="TOC1">
    <w:name w:val="toc 1"/>
    <w:basedOn w:val="TOCBase"/>
    <w:next w:val="Normal"/>
    <w:rsid w:val="004243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432F"/>
    <w:pPr>
      <w:spacing w:before="5040"/>
      <w:jc w:val="center"/>
    </w:pPr>
    <w:rPr>
      <w:sz w:val="48"/>
      <w:szCs w:val="72"/>
      <w:lang w:val="en-US"/>
    </w:rPr>
  </w:style>
  <w:style w:type="character" w:customStyle="1" w:styleId="TitleChar">
    <w:name w:val="Title Char"/>
    <w:basedOn w:val="DefaultParagraphFont"/>
    <w:link w:val="Title"/>
    <w:rsid w:val="004243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432F"/>
    <w:pPr>
      <w:tabs>
        <w:tab w:val="left" w:pos="3600"/>
        <w:tab w:val="left" w:pos="3958"/>
      </w:tabs>
    </w:pPr>
  </w:style>
  <w:style w:type="paragraph" w:customStyle="1" w:styleId="Note">
    <w:name w:val="Note"/>
    <w:basedOn w:val="BodyText"/>
    <w:rsid w:val="004243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432F"/>
    <w:pPr>
      <w:framePr w:wrap="auto" w:hAnchor="text" w:y="6049"/>
    </w:pPr>
    <w:rPr>
      <w:color w:val="000000"/>
      <w:sz w:val="40"/>
    </w:rPr>
  </w:style>
  <w:style w:type="paragraph" w:customStyle="1" w:styleId="TOCTitle">
    <w:name w:val="TOCTitle"/>
    <w:basedOn w:val="Heading1"/>
    <w:rsid w:val="0042432F"/>
    <w:pPr>
      <w:spacing w:after="240"/>
      <w:jc w:val="center"/>
      <w:outlineLvl w:val="9"/>
    </w:pPr>
    <w:rPr>
      <w:caps/>
    </w:rPr>
  </w:style>
  <w:style w:type="paragraph" w:customStyle="1" w:styleId="Version">
    <w:name w:val="Version"/>
    <w:rsid w:val="004243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432F"/>
    <w:pPr>
      <w:numPr>
        <w:numId w:val="14"/>
      </w:numPr>
      <w:tabs>
        <w:tab w:val="clear" w:pos="680"/>
      </w:tabs>
    </w:pPr>
  </w:style>
  <w:style w:type="paragraph" w:styleId="Index1">
    <w:name w:val="index 1"/>
    <w:basedOn w:val="Normal"/>
    <w:next w:val="Normal"/>
    <w:semiHidden/>
    <w:rsid w:val="0042432F"/>
    <w:pPr>
      <w:keepNext w:val="0"/>
      <w:tabs>
        <w:tab w:val="right" w:pos="4176"/>
      </w:tabs>
      <w:ind w:left="198" w:hanging="198"/>
    </w:pPr>
    <w:rPr>
      <w:rFonts w:ascii="Garamond" w:hAnsi="Garamond"/>
    </w:rPr>
  </w:style>
  <w:style w:type="paragraph" w:styleId="IndexHeading">
    <w:name w:val="index heading"/>
    <w:basedOn w:val="Normal"/>
    <w:next w:val="Index1"/>
    <w:semiHidden/>
    <w:rsid w:val="0042432F"/>
    <w:pPr>
      <w:spacing w:before="120" w:after="120"/>
    </w:pPr>
    <w:rPr>
      <w:rFonts w:ascii="Arial" w:hAnsi="Arial"/>
      <w:b/>
      <w:color w:val="918585"/>
      <w:sz w:val="24"/>
    </w:rPr>
  </w:style>
  <w:style w:type="paragraph" w:customStyle="1" w:styleId="Chapter">
    <w:name w:val="Chapter"/>
    <w:basedOn w:val="Normal"/>
    <w:rsid w:val="0042432F"/>
    <w:pPr>
      <w:spacing w:before="240"/>
    </w:pPr>
    <w:rPr>
      <w:rFonts w:ascii="Times New Roman" w:hAnsi="Times New Roman"/>
      <w:smallCaps/>
      <w:spacing w:val="80"/>
      <w:sz w:val="28"/>
    </w:rPr>
  </w:style>
  <w:style w:type="paragraph" w:customStyle="1" w:styleId="InChapter">
    <w:name w:val="InChapter"/>
    <w:basedOn w:val="Heading3"/>
    <w:rsid w:val="0042432F"/>
    <w:pPr>
      <w:spacing w:after="240"/>
      <w:outlineLvl w:val="9"/>
    </w:pPr>
    <w:rPr>
      <w:noProof/>
    </w:rPr>
  </w:style>
  <w:style w:type="paragraph" w:styleId="Index2">
    <w:name w:val="index 2"/>
    <w:basedOn w:val="Normal"/>
    <w:next w:val="Normal"/>
    <w:semiHidden/>
    <w:rsid w:val="0042432F"/>
    <w:pPr>
      <w:tabs>
        <w:tab w:val="right" w:pos="4176"/>
      </w:tabs>
      <w:ind w:left="568" w:hanging="284"/>
    </w:pPr>
    <w:rPr>
      <w:rFonts w:ascii="Garamond" w:hAnsi="Garamond"/>
    </w:rPr>
  </w:style>
  <w:style w:type="paragraph" w:customStyle="1" w:styleId="Byline">
    <w:name w:val="Byline"/>
    <w:rsid w:val="004243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432F"/>
    <w:pPr>
      <w:tabs>
        <w:tab w:val="clear" w:pos="3600"/>
        <w:tab w:val="clear" w:pos="3958"/>
      </w:tabs>
      <w:jc w:val="right"/>
    </w:pPr>
  </w:style>
  <w:style w:type="character" w:styleId="Emphasis">
    <w:name w:val="Emphasis"/>
    <w:basedOn w:val="DefaultParagraphFont"/>
    <w:qFormat/>
    <w:rsid w:val="0042432F"/>
    <w:rPr>
      <w:i/>
    </w:rPr>
  </w:style>
  <w:style w:type="paragraph" w:styleId="Caption">
    <w:name w:val="caption"/>
    <w:basedOn w:val="BodyText"/>
    <w:next w:val="Normal"/>
    <w:qFormat/>
    <w:rsid w:val="0042432F"/>
    <w:pPr>
      <w:framePr w:w="2268" w:hSpace="181" w:vSpace="181" w:wrap="around" w:vAnchor="text" w:hAnchor="page" w:x="1135" w:y="285" w:anchorLock="1"/>
    </w:pPr>
    <w:rPr>
      <w:i/>
    </w:rPr>
  </w:style>
  <w:style w:type="paragraph" w:customStyle="1" w:styleId="MiniTOCTitle">
    <w:name w:val="MiniTOCTitle"/>
    <w:basedOn w:val="Heading4"/>
    <w:rsid w:val="0042432F"/>
    <w:pPr>
      <w:spacing w:before="240"/>
      <w:outlineLvl w:val="9"/>
    </w:pPr>
    <w:rPr>
      <w:noProof/>
      <w:sz w:val="24"/>
    </w:rPr>
  </w:style>
  <w:style w:type="paragraph" w:customStyle="1" w:styleId="MiniTOCItem">
    <w:name w:val="MiniTOCItem"/>
    <w:basedOn w:val="ListBullet"/>
    <w:rsid w:val="0042432F"/>
    <w:pPr>
      <w:numPr>
        <w:numId w:val="0"/>
      </w:numPr>
      <w:tabs>
        <w:tab w:val="right" w:leader="dot" w:pos="6521"/>
      </w:tabs>
      <w:spacing w:before="0" w:after="0"/>
    </w:pPr>
  </w:style>
  <w:style w:type="paragraph" w:customStyle="1" w:styleId="TOFTitle">
    <w:name w:val="TOFTitle"/>
    <w:basedOn w:val="TOCTitle"/>
    <w:rsid w:val="0042432F"/>
  </w:style>
  <w:style w:type="paragraph" w:styleId="TableofFigures">
    <w:name w:val="table of figures"/>
    <w:basedOn w:val="Normal"/>
    <w:next w:val="Normal"/>
    <w:semiHidden/>
    <w:rsid w:val="0042432F"/>
    <w:pPr>
      <w:tabs>
        <w:tab w:val="right" w:leader="dot" w:pos="9072"/>
      </w:tabs>
      <w:ind w:left="970" w:hanging="403"/>
    </w:pPr>
    <w:rPr>
      <w:rFonts w:ascii="Times New Roman" w:hAnsi="Times New Roman"/>
      <w:b/>
    </w:rPr>
  </w:style>
  <w:style w:type="paragraph" w:styleId="ListNumber">
    <w:name w:val="List Number"/>
    <w:basedOn w:val="List"/>
    <w:rsid w:val="0042432F"/>
    <w:pPr>
      <w:numPr>
        <w:numId w:val="11"/>
      </w:numPr>
    </w:pPr>
  </w:style>
  <w:style w:type="character" w:customStyle="1" w:styleId="WingdingSymbols">
    <w:name w:val="Wingding Symbols"/>
    <w:rsid w:val="0042432F"/>
    <w:rPr>
      <w:rFonts w:ascii="Wingdings" w:hAnsi="Wingdings"/>
    </w:rPr>
  </w:style>
  <w:style w:type="paragraph" w:customStyle="1" w:styleId="TableHeading">
    <w:name w:val="Table Heading"/>
    <w:basedOn w:val="HeadingBase"/>
    <w:rsid w:val="0042432F"/>
    <w:pPr>
      <w:keepLines/>
      <w:pBdr>
        <w:bottom w:val="single" w:sz="6" w:space="1" w:color="918585"/>
      </w:pBdr>
      <w:spacing w:before="240"/>
    </w:pPr>
  </w:style>
  <w:style w:type="character" w:customStyle="1" w:styleId="HotSpot">
    <w:name w:val="HotSpot"/>
    <w:rsid w:val="0042432F"/>
    <w:rPr>
      <w:color w:val="0033CC"/>
      <w:u w:val="none"/>
    </w:rPr>
  </w:style>
  <w:style w:type="paragraph" w:customStyle="1" w:styleId="BodyTextRight">
    <w:name w:val="Body Text Right"/>
    <w:basedOn w:val="BodyText"/>
    <w:rsid w:val="0042432F"/>
    <w:pPr>
      <w:spacing w:before="0" w:after="0"/>
      <w:jc w:val="right"/>
    </w:pPr>
  </w:style>
  <w:style w:type="paragraph" w:styleId="Index3">
    <w:name w:val="index 3"/>
    <w:basedOn w:val="ListNumber2"/>
    <w:next w:val="Normal"/>
    <w:semiHidden/>
    <w:rsid w:val="0042432F"/>
    <w:pPr>
      <w:numPr>
        <w:numId w:val="0"/>
      </w:numPr>
      <w:tabs>
        <w:tab w:val="right" w:leader="dot" w:pos="4176"/>
      </w:tabs>
    </w:pPr>
  </w:style>
  <w:style w:type="paragraph" w:styleId="ListNumber2">
    <w:name w:val="List Number 2"/>
    <w:basedOn w:val="List2"/>
    <w:rsid w:val="0042432F"/>
    <w:pPr>
      <w:numPr>
        <w:numId w:val="10"/>
      </w:numPr>
      <w:tabs>
        <w:tab w:val="clear" w:pos="1060"/>
      </w:tabs>
    </w:pPr>
  </w:style>
  <w:style w:type="paragraph" w:customStyle="1" w:styleId="MarginNote">
    <w:name w:val="Margin Note"/>
    <w:basedOn w:val="BodyText"/>
    <w:rsid w:val="004243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43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43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432F"/>
    <w:rPr>
      <w:sz w:val="32"/>
    </w:rPr>
  </w:style>
  <w:style w:type="paragraph" w:customStyle="1" w:styleId="HeadingProcedure">
    <w:name w:val="Heading Procedure"/>
    <w:basedOn w:val="HeadingBase"/>
    <w:next w:val="Normal"/>
    <w:rsid w:val="0042432F"/>
    <w:pPr>
      <w:tabs>
        <w:tab w:val="left" w:pos="0"/>
      </w:tabs>
      <w:spacing w:before="120" w:after="60"/>
    </w:pPr>
    <w:rPr>
      <w:i/>
      <w:color w:val="918585"/>
      <w:sz w:val="22"/>
    </w:rPr>
  </w:style>
  <w:style w:type="paragraph" w:customStyle="1" w:styleId="TableBodyText">
    <w:name w:val="Table Body Text"/>
    <w:basedOn w:val="BodyText"/>
    <w:rsid w:val="0042432F"/>
    <w:pPr>
      <w:spacing w:before="60" w:after="60"/>
    </w:pPr>
  </w:style>
  <w:style w:type="paragraph" w:styleId="ListContinue">
    <w:name w:val="List Continue"/>
    <w:basedOn w:val="List"/>
    <w:rsid w:val="0042432F"/>
    <w:pPr>
      <w:ind w:firstLine="0"/>
    </w:pPr>
  </w:style>
  <w:style w:type="paragraph" w:customStyle="1" w:styleId="ListNote">
    <w:name w:val="List Note"/>
    <w:basedOn w:val="List"/>
    <w:rsid w:val="0042432F"/>
    <w:pPr>
      <w:pBdr>
        <w:top w:val="single" w:sz="6" w:space="2" w:color="918585"/>
        <w:bottom w:val="single" w:sz="6" w:space="2" w:color="918585"/>
      </w:pBdr>
      <w:tabs>
        <w:tab w:val="left" w:pos="1021"/>
      </w:tabs>
      <w:ind w:firstLine="0"/>
    </w:pPr>
  </w:style>
  <w:style w:type="paragraph" w:customStyle="1" w:styleId="Warning">
    <w:name w:val="Warning"/>
    <w:basedOn w:val="BodyText"/>
    <w:rsid w:val="0042432F"/>
    <w:pPr>
      <w:shd w:val="clear" w:color="auto" w:fill="D9D9D9"/>
      <w:tabs>
        <w:tab w:val="left" w:pos="992"/>
      </w:tabs>
      <w:ind w:left="119" w:right="119"/>
    </w:pPr>
    <w:rPr>
      <w:sz w:val="20"/>
    </w:rPr>
  </w:style>
  <w:style w:type="paragraph" w:customStyle="1" w:styleId="MarginIcons">
    <w:name w:val="Margin Icons"/>
    <w:basedOn w:val="BodyText"/>
    <w:rsid w:val="004243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432F"/>
    <w:rPr>
      <w:rFonts w:ascii="Courier New" w:hAnsi="Courier New"/>
    </w:rPr>
  </w:style>
  <w:style w:type="paragraph" w:customStyle="1" w:styleId="NoteBullet">
    <w:name w:val="Note Bullet"/>
    <w:basedOn w:val="Note"/>
    <w:rsid w:val="0042432F"/>
    <w:pPr>
      <w:tabs>
        <w:tab w:val="clear" w:pos="680"/>
      </w:tabs>
      <w:spacing w:before="60" w:after="60"/>
    </w:pPr>
  </w:style>
  <w:style w:type="paragraph" w:customStyle="1" w:styleId="SubHeading2">
    <w:name w:val="SubHeading2"/>
    <w:basedOn w:val="HeadingBase"/>
    <w:rsid w:val="0042432F"/>
    <w:pPr>
      <w:spacing w:before="240" w:after="60"/>
    </w:pPr>
    <w:rPr>
      <w:sz w:val="20"/>
    </w:rPr>
  </w:style>
  <w:style w:type="paragraph" w:customStyle="1" w:styleId="SubHeading1">
    <w:name w:val="SubHeading1"/>
    <w:basedOn w:val="HeadingBase"/>
    <w:rsid w:val="0042432F"/>
    <w:pPr>
      <w:spacing w:before="240" w:after="60"/>
    </w:pPr>
    <w:rPr>
      <w:color w:val="918585"/>
      <w:sz w:val="22"/>
    </w:rPr>
  </w:style>
  <w:style w:type="paragraph" w:customStyle="1" w:styleId="SideHeading">
    <w:name w:val="Side Heading"/>
    <w:basedOn w:val="HeadingBase"/>
    <w:rsid w:val="004243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432F"/>
    <w:pPr>
      <w:numPr>
        <w:numId w:val="12"/>
      </w:numPr>
    </w:pPr>
  </w:style>
  <w:style w:type="paragraph" w:styleId="PlainText">
    <w:name w:val="Plain Text"/>
    <w:basedOn w:val="Normal"/>
    <w:link w:val="PlainTextChar"/>
    <w:rsid w:val="0042432F"/>
    <w:rPr>
      <w:sz w:val="20"/>
    </w:rPr>
  </w:style>
  <w:style w:type="character" w:customStyle="1" w:styleId="PlainTextChar">
    <w:name w:val="Plain Text Char"/>
    <w:basedOn w:val="DefaultParagraphFont"/>
    <w:link w:val="PlainText"/>
    <w:rsid w:val="0042432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432F"/>
    <w:rPr>
      <w:b/>
      <w:smallCaps/>
    </w:rPr>
  </w:style>
  <w:style w:type="paragraph" w:customStyle="1" w:styleId="TableListNumber">
    <w:name w:val="Table List Number"/>
    <w:basedOn w:val="ListNumber"/>
    <w:rsid w:val="0042432F"/>
    <w:pPr>
      <w:numPr>
        <w:numId w:val="0"/>
      </w:numPr>
    </w:pPr>
  </w:style>
  <w:style w:type="paragraph" w:styleId="TOC4">
    <w:name w:val="toc 4"/>
    <w:basedOn w:val="TOCBase"/>
    <w:next w:val="Normal"/>
    <w:semiHidden/>
    <w:rsid w:val="0042432F"/>
    <w:pPr>
      <w:tabs>
        <w:tab w:val="right" w:leader="dot" w:pos="9071"/>
      </w:tabs>
      <w:ind w:left="1701"/>
    </w:pPr>
  </w:style>
  <w:style w:type="paragraph" w:customStyle="1" w:styleId="ListAlpha">
    <w:name w:val="List Alpha"/>
    <w:basedOn w:val="List"/>
    <w:rsid w:val="0042432F"/>
    <w:pPr>
      <w:numPr>
        <w:numId w:val="9"/>
      </w:numPr>
    </w:pPr>
  </w:style>
  <w:style w:type="paragraph" w:customStyle="1" w:styleId="ListAlpha2">
    <w:name w:val="List Alpha 2"/>
    <w:basedOn w:val="List2"/>
    <w:rsid w:val="0042432F"/>
    <w:pPr>
      <w:numPr>
        <w:numId w:val="8"/>
      </w:numPr>
    </w:pPr>
  </w:style>
  <w:style w:type="paragraph" w:styleId="List3">
    <w:name w:val="List 3"/>
    <w:basedOn w:val="BodyText"/>
    <w:rsid w:val="0042432F"/>
    <w:pPr>
      <w:tabs>
        <w:tab w:val="left" w:pos="1021"/>
      </w:tabs>
      <w:spacing w:before="60" w:after="60"/>
      <w:ind w:left="1020" w:hanging="340"/>
    </w:pPr>
  </w:style>
  <w:style w:type="paragraph" w:styleId="List4">
    <w:name w:val="List 4"/>
    <w:basedOn w:val="BodyText"/>
    <w:rsid w:val="0042432F"/>
    <w:pPr>
      <w:tabs>
        <w:tab w:val="left" w:pos="1361"/>
      </w:tabs>
      <w:spacing w:before="60" w:after="60"/>
      <w:ind w:left="1361" w:hanging="340"/>
    </w:pPr>
  </w:style>
  <w:style w:type="paragraph" w:styleId="List5">
    <w:name w:val="List 5"/>
    <w:basedOn w:val="BodyText"/>
    <w:rsid w:val="0042432F"/>
    <w:pPr>
      <w:tabs>
        <w:tab w:val="left" w:pos="1701"/>
      </w:tabs>
      <w:spacing w:before="60" w:after="60"/>
      <w:ind w:left="1701" w:hanging="340"/>
    </w:pPr>
  </w:style>
  <w:style w:type="paragraph" w:styleId="ListBullet4">
    <w:name w:val="List Bullet 4"/>
    <w:basedOn w:val="List4"/>
    <w:rsid w:val="0042432F"/>
    <w:pPr>
      <w:numPr>
        <w:numId w:val="3"/>
      </w:numPr>
    </w:pPr>
  </w:style>
  <w:style w:type="paragraph" w:styleId="ListBullet5">
    <w:name w:val="List Bullet 5"/>
    <w:basedOn w:val="List5"/>
    <w:rsid w:val="0042432F"/>
    <w:pPr>
      <w:numPr>
        <w:numId w:val="4"/>
      </w:numPr>
    </w:pPr>
  </w:style>
  <w:style w:type="paragraph" w:styleId="ListContinue2">
    <w:name w:val="List Continue 2"/>
    <w:basedOn w:val="List2"/>
    <w:rsid w:val="0042432F"/>
    <w:pPr>
      <w:ind w:firstLine="0"/>
    </w:pPr>
  </w:style>
  <w:style w:type="paragraph" w:styleId="ListContinue3">
    <w:name w:val="List Continue 3"/>
    <w:basedOn w:val="List3"/>
    <w:rsid w:val="0042432F"/>
    <w:pPr>
      <w:ind w:left="1021" w:firstLine="0"/>
    </w:pPr>
  </w:style>
  <w:style w:type="paragraph" w:styleId="ListContinue4">
    <w:name w:val="List Continue 4"/>
    <w:basedOn w:val="List4"/>
    <w:rsid w:val="0042432F"/>
    <w:pPr>
      <w:ind w:firstLine="0"/>
    </w:pPr>
  </w:style>
  <w:style w:type="paragraph" w:styleId="ListContinue5">
    <w:name w:val="List Continue 5"/>
    <w:basedOn w:val="List5"/>
    <w:rsid w:val="0042432F"/>
    <w:pPr>
      <w:ind w:firstLine="0"/>
    </w:pPr>
  </w:style>
  <w:style w:type="paragraph" w:styleId="ListNumber3">
    <w:name w:val="List Number 3"/>
    <w:basedOn w:val="List3"/>
    <w:rsid w:val="0042432F"/>
    <w:pPr>
      <w:numPr>
        <w:numId w:val="5"/>
      </w:numPr>
    </w:pPr>
  </w:style>
  <w:style w:type="paragraph" w:styleId="ListNumber4">
    <w:name w:val="List Number 4"/>
    <w:basedOn w:val="List4"/>
    <w:rsid w:val="0042432F"/>
    <w:pPr>
      <w:numPr>
        <w:numId w:val="6"/>
      </w:numPr>
    </w:pPr>
  </w:style>
  <w:style w:type="paragraph" w:styleId="ListNumber5">
    <w:name w:val="List Number 5"/>
    <w:basedOn w:val="List5"/>
    <w:rsid w:val="0042432F"/>
    <w:pPr>
      <w:numPr>
        <w:numId w:val="7"/>
      </w:numPr>
    </w:pPr>
  </w:style>
  <w:style w:type="paragraph" w:styleId="BlockText">
    <w:name w:val="Block Text"/>
    <w:basedOn w:val="Normal"/>
    <w:rsid w:val="0042432F"/>
    <w:pPr>
      <w:spacing w:after="120"/>
      <w:ind w:left="1440" w:right="1440"/>
    </w:pPr>
  </w:style>
  <w:style w:type="character" w:customStyle="1" w:styleId="Subscript">
    <w:name w:val="Subscript"/>
    <w:basedOn w:val="DefaultParagraphFont"/>
    <w:rsid w:val="0042432F"/>
    <w:rPr>
      <w:sz w:val="16"/>
      <w:vertAlign w:val="subscript"/>
    </w:rPr>
  </w:style>
  <w:style w:type="character" w:customStyle="1" w:styleId="Superscript">
    <w:name w:val="Superscript"/>
    <w:basedOn w:val="DefaultParagraphFont"/>
    <w:rsid w:val="0042432F"/>
    <w:rPr>
      <w:sz w:val="16"/>
      <w:vertAlign w:val="superscript"/>
    </w:rPr>
  </w:style>
  <w:style w:type="character" w:customStyle="1" w:styleId="Symbols">
    <w:name w:val="Symbols"/>
    <w:basedOn w:val="DefaultParagraphFont"/>
    <w:rsid w:val="0042432F"/>
    <w:rPr>
      <w:rFonts w:ascii="Symbol" w:hAnsi="Symbol"/>
    </w:rPr>
  </w:style>
  <w:style w:type="character" w:customStyle="1" w:styleId="MenuOptions">
    <w:name w:val="Menu Options"/>
    <w:basedOn w:val="DefaultParagraphFont"/>
    <w:rsid w:val="0042432F"/>
    <w:rPr>
      <w:rFonts w:ascii="Arial Narrow" w:hAnsi="Arial Narrow"/>
      <w:smallCaps/>
    </w:rPr>
  </w:style>
  <w:style w:type="character" w:customStyle="1" w:styleId="Buttons">
    <w:name w:val="Buttons"/>
    <w:basedOn w:val="DefaultParagraphFont"/>
    <w:rsid w:val="0042432F"/>
    <w:rPr>
      <w:b/>
    </w:rPr>
  </w:style>
  <w:style w:type="character" w:customStyle="1" w:styleId="Underlined">
    <w:name w:val="Underlined"/>
    <w:basedOn w:val="DefaultParagraphFont"/>
    <w:rsid w:val="0042432F"/>
    <w:rPr>
      <w:u w:val="single"/>
    </w:rPr>
  </w:style>
  <w:style w:type="paragraph" w:customStyle="1" w:styleId="TableBodyTextRight">
    <w:name w:val="Table Body Text Right"/>
    <w:basedOn w:val="TableBodyText"/>
    <w:rsid w:val="0042432F"/>
    <w:pPr>
      <w:widowControl w:val="0"/>
      <w:autoSpaceDE w:val="0"/>
      <w:autoSpaceDN w:val="0"/>
      <w:adjustRightInd w:val="0"/>
      <w:jc w:val="right"/>
    </w:pPr>
    <w:rPr>
      <w:rFonts w:cs="Arial"/>
      <w:szCs w:val="18"/>
    </w:rPr>
  </w:style>
  <w:style w:type="paragraph" w:customStyle="1" w:styleId="CopyrightText">
    <w:name w:val="Copyright Text"/>
    <w:basedOn w:val="BodyText"/>
    <w:rsid w:val="0042432F"/>
    <w:rPr>
      <w:sz w:val="18"/>
    </w:rPr>
  </w:style>
  <w:style w:type="paragraph" w:customStyle="1" w:styleId="BodySmallRight">
    <w:name w:val="Body Small Right"/>
    <w:basedOn w:val="BodyTextRight"/>
    <w:rsid w:val="0042432F"/>
    <w:rPr>
      <w:sz w:val="18"/>
      <w:szCs w:val="18"/>
    </w:rPr>
  </w:style>
  <w:style w:type="paragraph" w:customStyle="1" w:styleId="MarginEdition">
    <w:name w:val="Margin Edition"/>
    <w:basedOn w:val="MarginNote"/>
    <w:rsid w:val="0042432F"/>
    <w:pPr>
      <w:spacing w:before="0" w:after="0"/>
    </w:pPr>
    <w:rPr>
      <w:rFonts w:ascii="Times New Roman" w:hAnsi="Times New Roman"/>
      <w:color w:val="999999"/>
    </w:rPr>
  </w:style>
  <w:style w:type="paragraph" w:customStyle="1" w:styleId="Spacer">
    <w:name w:val="Spacer"/>
    <w:basedOn w:val="Normal"/>
    <w:rsid w:val="0042432F"/>
    <w:rPr>
      <w:sz w:val="2"/>
      <w:szCs w:val="2"/>
    </w:rPr>
  </w:style>
  <w:style w:type="character" w:customStyle="1" w:styleId="Small">
    <w:name w:val="Small"/>
    <w:basedOn w:val="DefaultParagraphFont"/>
    <w:rsid w:val="0042432F"/>
    <w:rPr>
      <w:sz w:val="16"/>
    </w:rPr>
  </w:style>
  <w:style w:type="paragraph" w:customStyle="1" w:styleId="WideTable">
    <w:name w:val="Wide Table"/>
    <w:basedOn w:val="Normal"/>
    <w:rsid w:val="0042432F"/>
    <w:pPr>
      <w:ind w:left="-1418"/>
    </w:pPr>
    <w:rPr>
      <w:sz w:val="2"/>
      <w:szCs w:val="2"/>
    </w:rPr>
  </w:style>
  <w:style w:type="character" w:styleId="PageNumber">
    <w:name w:val="page number"/>
    <w:basedOn w:val="DefaultParagraphFont"/>
    <w:rsid w:val="0042432F"/>
  </w:style>
  <w:style w:type="paragraph" w:styleId="Quote">
    <w:name w:val="Quote"/>
    <w:basedOn w:val="Heading1"/>
    <w:link w:val="QuoteChar"/>
    <w:qFormat/>
    <w:rsid w:val="0042432F"/>
    <w:rPr>
      <w:b w:val="0"/>
      <w:sz w:val="72"/>
      <w:szCs w:val="72"/>
      <w:lang w:val="en-NZ"/>
    </w:rPr>
  </w:style>
  <w:style w:type="character" w:customStyle="1" w:styleId="QuoteChar">
    <w:name w:val="Quote Char"/>
    <w:basedOn w:val="DefaultParagraphFont"/>
    <w:link w:val="Quote"/>
    <w:rsid w:val="004243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432F"/>
    <w:pPr>
      <w:pageBreakBefore/>
    </w:pPr>
  </w:style>
  <w:style w:type="paragraph" w:customStyle="1" w:styleId="Border">
    <w:name w:val="Border"/>
    <w:basedOn w:val="Normal"/>
    <w:qFormat/>
    <w:rsid w:val="004243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432F"/>
    <w:rPr>
      <w:b/>
      <w:bCs/>
      <w:i/>
      <w:iCs/>
      <w:color w:val="auto"/>
    </w:rPr>
  </w:style>
  <w:style w:type="paragraph" w:styleId="IntenseQuote">
    <w:name w:val="Intense Quote"/>
    <w:basedOn w:val="Normal"/>
    <w:next w:val="Normal"/>
    <w:link w:val="IntenseQuoteChar"/>
    <w:uiPriority w:val="30"/>
    <w:qFormat/>
    <w:rsid w:val="004243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432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432F"/>
    <w:rPr>
      <w:smallCaps/>
      <w:color w:val="auto"/>
      <w:u w:val="single"/>
    </w:rPr>
  </w:style>
  <w:style w:type="character" w:styleId="IntenseReference">
    <w:name w:val="Intense Reference"/>
    <w:basedOn w:val="DefaultParagraphFont"/>
    <w:uiPriority w:val="32"/>
    <w:qFormat/>
    <w:rsid w:val="0042432F"/>
    <w:rPr>
      <w:b/>
      <w:bCs/>
      <w:smallCaps/>
      <w:color w:val="auto"/>
      <w:spacing w:val="5"/>
      <w:u w:val="single"/>
    </w:rPr>
  </w:style>
  <w:style w:type="paragraph" w:customStyle="1" w:styleId="2ColumnHeading">
    <w:name w:val="2Column Heading"/>
    <w:basedOn w:val="BodyText"/>
    <w:qFormat/>
    <w:rsid w:val="0042432F"/>
    <w:pPr>
      <w:spacing w:after="60"/>
      <w:ind w:left="-2268"/>
    </w:pPr>
    <w:rPr>
      <w:b/>
    </w:rPr>
  </w:style>
  <w:style w:type="paragraph" w:customStyle="1" w:styleId="Heading1TOC">
    <w:name w:val="Heading1 TOC"/>
    <w:basedOn w:val="Normal"/>
    <w:qFormat/>
    <w:rsid w:val="0042432F"/>
    <w:pPr>
      <w:spacing w:before="240" w:after="120"/>
    </w:pPr>
    <w:rPr>
      <w:rFonts w:ascii="Times New Roman" w:hAnsi="Times New Roman"/>
      <w:b/>
      <w:sz w:val="32"/>
    </w:rPr>
  </w:style>
  <w:style w:type="paragraph" w:customStyle="1" w:styleId="Heading2TOC">
    <w:name w:val="Heading2 TOC"/>
    <w:basedOn w:val="Normal"/>
    <w:qFormat/>
    <w:rsid w:val="0042432F"/>
    <w:pPr>
      <w:spacing w:before="240" w:after="60"/>
    </w:pPr>
    <w:rPr>
      <w:rFonts w:ascii="Times New Roman" w:hAnsi="Times New Roman"/>
      <w:b/>
      <w:sz w:val="28"/>
    </w:rPr>
  </w:style>
  <w:style w:type="character" w:customStyle="1" w:styleId="Underline">
    <w:name w:val="Underline"/>
    <w:basedOn w:val="DefaultParagraphFont"/>
    <w:qFormat/>
    <w:rsid w:val="0042432F"/>
    <w:rPr>
      <w:u w:val="single"/>
    </w:rPr>
  </w:style>
  <w:style w:type="paragraph" w:styleId="BalloonText">
    <w:name w:val="Balloon Text"/>
    <w:basedOn w:val="Normal"/>
    <w:link w:val="BalloonTextChar"/>
    <w:rsid w:val="0042432F"/>
    <w:rPr>
      <w:rFonts w:ascii="Tahoma" w:hAnsi="Tahoma" w:cs="Tahoma"/>
      <w:sz w:val="16"/>
      <w:szCs w:val="16"/>
    </w:rPr>
  </w:style>
  <w:style w:type="character" w:customStyle="1" w:styleId="BalloonTextChar">
    <w:name w:val="Balloon Text Char"/>
    <w:basedOn w:val="DefaultParagraphFont"/>
    <w:link w:val="BalloonText"/>
    <w:rsid w:val="004243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43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432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1803</Words>
  <Characters>11507</Characters>
  <Application>Microsoft Office Word</Application>
  <DocSecurity>0</DocSecurity>
  <Lines>433</Lines>
  <Paragraphs>251</Paragraphs>
  <ScaleCrop>false</ScaleCrop>
  <Company>Author-it Software Corporation Ltd.</Company>
  <LinksUpToDate>false</LinksUpToDate>
  <CharactersWithSpaces>13225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FPIWPP3219B Blend and test binding mixes</dc:title>
  <dc:subject>Approved</dc:subject>
  <dc:creator>Forestworks Learning and Skill Development</dc:creator>
  <cp:keywords>Release: 1</cp:keywords>
  <dc:description>Copyright © 1996-2007 Author-it Software Corporation Ltd., all rights reserved.</dc:description>
  <cp:lastModifiedBy>Dennis Urbans</cp:lastModifiedBy>
  <cp:revision>3</cp:revision>
  <dcterms:created xsi:type="dcterms:W3CDTF">2012-05-26T07:21:00Z</dcterms:created>
  <dcterms:modified xsi:type="dcterms:W3CDTF">2012-05-26T07:21:00Z</dcterms:modified>
</cp:coreProperties>
</file>