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23F0" w:rsidP="00CF23F0">
      <w:pPr>
        <w:pStyle w:val="Title"/>
      </w:pPr>
      <w:r>
        <w:fldChar w:fldCharType="begin"/>
      </w:r>
      <w:r>
        <w:instrText xml:space="preserve"> TITLE   \* MERGEFORMAT </w:instrText>
      </w:r>
      <w:r>
        <w:fldChar w:fldCharType="separate"/>
      </w:r>
      <w:r>
        <w:t>FPITMM5201B Assess product feasibility of designs</w:t>
      </w:r>
      <w:r>
        <w:fldChar w:fldCharType="end"/>
      </w:r>
    </w:p>
    <w:p w:rsidR="00CF23F0" w:rsidP="00CF23F0">
      <w:pPr>
        <w:pStyle w:val="Version"/>
        <w:sectPr w:rsidSect="006E02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02B9" w:rsidP="006E02B9">
      <w:pPr>
        <w:pStyle w:val="SuperHeading"/>
      </w:pPr>
      <w:r w:rsidRPr="006E02B9">
        <w:t>FPITMM5201B Assess product feasibility of designs</w:t>
      </w:r>
    </w:p>
    <w:p w:rsidR="00000000" w:rsidRPr="006E02B9" w:rsidP="006E02B9">
      <w:pPr>
        <w:pStyle w:val="Heading1"/>
      </w:pPr>
      <w:bookmarkStart w:id="1" w:name="O_270749"/>
      <w:bookmarkEnd w:id="1"/>
      <w:r w:rsidRPr="006E02B9">
        <w:t>Modification History</w:t>
      </w:r>
    </w:p>
    <w:p w:rsidR="00000000" w:rsidRPr="006E02B9" w:rsidP="006E02B9">
      <w:pPr>
        <w:pStyle w:val="BodyText"/>
      </w:pPr>
      <w:r w:rsidRPr="006E02B9">
        <w:t>Not Applicable</w:t>
      </w:r>
    </w:p>
    <w:p w:rsidR="00000000" w:rsidRPr="006E02B9" w:rsidP="006E02B9">
      <w:pPr>
        <w:pStyle w:val="AllowPageBreak"/>
      </w:pPr>
    </w:p>
    <w:p w:rsidR="00000000" w:rsidRPr="006E02B9" w:rsidP="006E02B9">
      <w:pPr>
        <w:pStyle w:val="Heading1"/>
      </w:pPr>
      <w:bookmarkStart w:id="2" w:name="O_204295"/>
      <w:bookmarkEnd w:id="2"/>
      <w:r w:rsidRPr="006E02B9">
        <w:t>Unit Descriptor</w:t>
      </w:r>
    </w:p>
    <w:tbl>
      <w:tblPr>
        <w:tblW w:w="0" w:type="auto"/>
        <w:tblLayout w:type="fixed"/>
        <w:tblCellMar>
          <w:left w:w="62" w:type="dxa"/>
          <w:right w:w="62" w:type="dxa"/>
        </w:tblCellMar>
        <w:tblLook w:val="0000"/>
      </w:tblPr>
      <w:tblGrid>
        <w:gridCol w:w="2664"/>
        <w:gridCol w:w="5858"/>
      </w:tblGrid>
      <w:tr w:rsidTr="00CF23F0">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6E02B9" w:rsidP="006E02B9">
            <w:pPr>
              <w:pStyle w:val="BodyText"/>
            </w:pPr>
            <w:r w:rsidRPr="006E02B9">
              <w:t>This unit describes the outcomes required to systematically analyse, assess and determine the feasibil</w:t>
            </w:r>
            <w:r w:rsidRPr="006E02B9">
              <w:t>ity of designs for translation into commercially viable production</w:t>
            </w:r>
          </w:p>
          <w:p w:rsidR="00000000" w:rsidRPr="006E02B9" w:rsidP="006E02B9">
            <w:pPr>
              <w:pStyle w:val="BodyText"/>
            </w:pPr>
            <w:r w:rsidRPr="006E02B9">
              <w:t>General workplace legislative and regulatory requirements apply to this unit; however there are no specific licensing or certification requirements at the time of publication</w:t>
            </w:r>
          </w:p>
          <w:p w:rsidR="00000000" w:rsidRPr="006E02B9" w:rsidP="006E02B9">
            <w:pPr>
              <w:pStyle w:val="BodyText"/>
            </w:pPr>
            <w:r w:rsidRPr="006E02B9">
              <w:t>This unit repl</w:t>
            </w:r>
            <w:r w:rsidRPr="006E02B9">
              <w:t>aces FPITMM5201A  Assess product feasibility of designs</w:t>
            </w:r>
          </w:p>
        </w:tc>
      </w:tr>
    </w:tbl>
    <w:p w:rsidR="00CF23F0" w:rsidP="006E02B9">
      <w:pPr>
        <w:pStyle w:val="BodyText"/>
      </w:pPr>
    </w:p>
    <w:p w:rsidR="00CF23F0" w:rsidP="006E02B9">
      <w:pPr>
        <w:pStyle w:val="BodyText"/>
      </w:pPr>
    </w:p>
    <w:p w:rsidR="00000000" w:rsidRPr="006E02B9" w:rsidP="006E02B9">
      <w:pPr>
        <w:pStyle w:val="Heading1"/>
      </w:pPr>
      <w:bookmarkStart w:id="3" w:name="O_204299"/>
      <w:bookmarkEnd w:id="3"/>
      <w:r w:rsidRPr="006E02B9">
        <w:t>Application of the Unit</w:t>
      </w:r>
    </w:p>
    <w:tbl>
      <w:tblPr>
        <w:tblW w:w="0" w:type="auto"/>
        <w:tblLayout w:type="fixed"/>
        <w:tblCellMar>
          <w:left w:w="62" w:type="dxa"/>
          <w:right w:w="62" w:type="dxa"/>
        </w:tblCellMar>
        <w:tblLook w:val="0000"/>
      </w:tblPr>
      <w:tblGrid>
        <w:gridCol w:w="2755"/>
        <w:gridCol w:w="5767"/>
      </w:tblGrid>
      <w:tr w:rsidTr="00CF23F0">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6E02B9" w:rsidP="006E02B9">
            <w:pPr>
              <w:pStyle w:val="BodyText"/>
            </w:pPr>
            <w:r w:rsidRPr="006E02B9">
              <w:t xml:space="preserve">This unit involves assessing product feasibility of designs in a forest products factory setting </w:t>
            </w:r>
          </w:p>
          <w:p w:rsidR="00000000" w:rsidRPr="006E02B9" w:rsidP="006E02B9">
            <w:pPr>
              <w:pStyle w:val="BodyText"/>
            </w:pPr>
            <w:r w:rsidRPr="006E02B9">
              <w:t>The skills and knowledge required for competent workplace performance are to be used within the scope of the person's job and authority</w:t>
            </w:r>
          </w:p>
        </w:tc>
      </w:tr>
    </w:tbl>
    <w:p w:rsidR="00CF23F0" w:rsidP="006E02B9">
      <w:pPr>
        <w:pStyle w:val="BodyText"/>
      </w:pPr>
    </w:p>
    <w:p w:rsidR="00CF23F0" w:rsidP="006E02B9">
      <w:pPr>
        <w:pStyle w:val="BodyText"/>
      </w:pPr>
    </w:p>
    <w:p w:rsidR="00000000" w:rsidRPr="006E02B9" w:rsidP="006E02B9">
      <w:pPr>
        <w:pStyle w:val="Heading1"/>
      </w:pPr>
      <w:bookmarkStart w:id="4" w:name="O_279009"/>
      <w:bookmarkEnd w:id="4"/>
      <w:r w:rsidRPr="006E02B9">
        <w:t>Licensing/Regulatory Information</w:t>
      </w:r>
    </w:p>
    <w:p w:rsidR="00000000" w:rsidRPr="006E02B9" w:rsidP="006E02B9">
      <w:pPr>
        <w:pStyle w:val="BodyText"/>
      </w:pPr>
      <w:r w:rsidRPr="006E02B9">
        <w:t>Refer to Unit Descriptor</w:t>
      </w:r>
    </w:p>
    <w:p w:rsidR="00000000" w:rsidRPr="006E02B9" w:rsidP="006E02B9">
      <w:pPr>
        <w:pStyle w:val="AllowPageBreak"/>
      </w:pPr>
    </w:p>
    <w:p w:rsidR="00000000" w:rsidRPr="006E02B9" w:rsidP="006E02B9">
      <w:pPr>
        <w:pStyle w:val="Heading1"/>
      </w:pPr>
      <w:bookmarkStart w:id="5" w:name="O_204297"/>
      <w:bookmarkEnd w:id="5"/>
      <w:r w:rsidRPr="006E02B9">
        <w:t>Pre-Requisites</w:t>
      </w:r>
    </w:p>
    <w:tbl>
      <w:tblPr>
        <w:tblW w:w="0" w:type="auto"/>
        <w:tblLayout w:type="fixed"/>
        <w:tblCellMar>
          <w:left w:w="62" w:type="dxa"/>
          <w:right w:w="62" w:type="dxa"/>
        </w:tblCellMar>
        <w:tblLook w:val="0000"/>
      </w:tblPr>
      <w:tblGrid>
        <w:gridCol w:w="2776"/>
        <w:gridCol w:w="2873"/>
        <w:gridCol w:w="2873"/>
      </w:tblGrid>
      <w:tr w:rsidTr="00CF23F0">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6E02B9">
            <w:pPr>
              <w:pStyle w:val="BodyText"/>
              <w:rPr>
                <w:lang w:val="en-NZ"/>
              </w:rPr>
            </w:pPr>
          </w:p>
        </w:tc>
      </w:tr>
      <w:tr w:rsidTr="00CF23F0">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p>
        </w:tc>
      </w:tr>
      <w:tr w:rsidTr="00CF23F0">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6E02B9" w:rsidP="006E02B9">
            <w:pPr>
              <w:pStyle w:val="BodyText"/>
            </w:pPr>
          </w:p>
        </w:tc>
      </w:tr>
    </w:tbl>
    <w:p w:rsidR="00CF23F0" w:rsidP="006E02B9">
      <w:pPr>
        <w:pStyle w:val="BodyText"/>
      </w:pPr>
    </w:p>
    <w:p w:rsidR="00CF23F0" w:rsidP="006E02B9">
      <w:pPr>
        <w:pStyle w:val="BodyText"/>
      </w:pPr>
    </w:p>
    <w:p w:rsidR="00000000" w:rsidRPr="006E02B9" w:rsidP="006E02B9">
      <w:pPr>
        <w:pStyle w:val="Heading1"/>
      </w:pPr>
      <w:bookmarkStart w:id="6" w:name="O_204296"/>
      <w:bookmarkEnd w:id="6"/>
      <w:r w:rsidRPr="006E02B9">
        <w:t>Employability Skills Information</w:t>
      </w:r>
    </w:p>
    <w:tbl>
      <w:tblPr>
        <w:tblW w:w="0" w:type="auto"/>
        <w:tblLayout w:type="fixed"/>
        <w:tblCellMar>
          <w:left w:w="62" w:type="dxa"/>
          <w:right w:w="62" w:type="dxa"/>
        </w:tblCellMar>
        <w:tblLook w:val="0000"/>
      </w:tblPr>
      <w:tblGrid>
        <w:gridCol w:w="2802"/>
        <w:gridCol w:w="5720"/>
      </w:tblGrid>
      <w:tr w:rsidTr="00CF23F0">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6E02B9" w:rsidP="006E02B9">
            <w:pPr>
              <w:pStyle w:val="BodyText"/>
            </w:pPr>
            <w:r w:rsidRPr="006E02B9">
              <w:t>This unit contains employability skills</w:t>
            </w:r>
          </w:p>
        </w:tc>
      </w:tr>
    </w:tbl>
    <w:p w:rsidR="00CF23F0" w:rsidP="006E02B9">
      <w:pPr>
        <w:pStyle w:val="BodyText"/>
      </w:pPr>
    </w:p>
    <w:p w:rsidR="00CF23F0" w:rsidP="006E02B9">
      <w:pPr>
        <w:pStyle w:val="BodyText"/>
      </w:pPr>
    </w:p>
    <w:p w:rsidR="00000000" w:rsidRPr="006E02B9" w:rsidP="006E02B9">
      <w:pPr>
        <w:pStyle w:val="Heading1"/>
      </w:pPr>
      <w:bookmarkStart w:id="7" w:name="O_288795"/>
      <w:bookmarkEnd w:id="7"/>
      <w:r w:rsidRPr="006E02B9">
        <w:t>Elements and Performance Criteria Pre-Content</w:t>
      </w:r>
    </w:p>
    <w:tbl>
      <w:tblPr>
        <w:tblW w:w="0" w:type="auto"/>
        <w:tblLayout w:type="fixed"/>
        <w:tblCellMar>
          <w:left w:w="62" w:type="dxa"/>
          <w:right w:w="62" w:type="dxa"/>
        </w:tblCellMar>
        <w:tblLook w:val="0000"/>
      </w:tblPr>
      <w:tblGrid>
        <w:gridCol w:w="2559"/>
        <w:gridCol w:w="5963"/>
      </w:tblGrid>
      <w:tr w:rsidTr="00CF23F0">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t>Elements describe the essential outcomes of a unit of competency.</w:t>
            </w:r>
          </w:p>
        </w:tc>
        <w:tc>
          <w:tcPr>
            <w:tcW w:w="5963" w:type="dxa"/>
            <w:tcBorders>
              <w:top w:val="nil"/>
              <w:left w:val="nil"/>
              <w:bottom w:val="nil"/>
              <w:right w:val="nil"/>
            </w:tcBorders>
            <w:tcMar>
              <w:top w:w="0" w:type="dxa"/>
              <w:left w:w="62" w:type="dxa"/>
              <w:bottom w:w="0" w:type="dxa"/>
              <w:right w:w="62" w:type="dxa"/>
            </w:tcMar>
          </w:tcPr>
          <w:p w:rsidR="00000000" w:rsidRPr="006E02B9" w:rsidP="006E02B9">
            <w:pPr>
              <w:pStyle w:val="BodyText"/>
            </w:pPr>
            <w:r w:rsidRPr="006E02B9">
              <w:t>Performance criteria describe the performance needed to demonstrate achievement of the element. Where bold italicised text is used, further information is detailed in the required skills and</w:t>
            </w:r>
            <w:r w:rsidRPr="006E02B9">
              <w:t xml:space="preserve"> knowledge section and the range statement. Assessment of performance is to be consistent with the evidence guide.</w:t>
            </w:r>
          </w:p>
        </w:tc>
      </w:tr>
    </w:tbl>
    <w:p w:rsidR="00000000" w:rsidRPr="006E02B9" w:rsidP="006E02B9">
      <w:pPr>
        <w:pStyle w:val="BodyText"/>
      </w:pPr>
    </w:p>
    <w:p w:rsidR="00000000" w:rsidRPr="006E02B9" w:rsidP="006E02B9">
      <w:pPr>
        <w:pStyle w:val="AllowPageBreak"/>
      </w:pPr>
    </w:p>
    <w:p w:rsidR="00000000" w:rsidRPr="006E02B9" w:rsidP="006E02B9">
      <w:pPr>
        <w:pStyle w:val="Heading1"/>
      </w:pPr>
      <w:bookmarkStart w:id="8" w:name="O_235462"/>
      <w:bookmarkEnd w:id="8"/>
      <w:r w:rsidRPr="006E02B9">
        <w:t>Elements and Performance Criteria</w:t>
      </w:r>
    </w:p>
    <w:tbl>
      <w:tblPr>
        <w:tblW w:w="0" w:type="auto"/>
        <w:tblLayout w:type="fixed"/>
        <w:tblCellMar>
          <w:left w:w="62" w:type="dxa"/>
          <w:right w:w="62" w:type="dxa"/>
        </w:tblCellMar>
        <w:tblLook w:val="0000"/>
      </w:tblPr>
      <w:tblGrid>
        <w:gridCol w:w="2559"/>
        <w:gridCol w:w="5963"/>
      </w:tblGrid>
      <w:tr w:rsidTr="00CF23F0">
        <w:tblPrEx>
          <w:tblW w:w="0" w:type="auto"/>
          <w:tblLayout w:type="fixed"/>
          <w:tblCellMar>
            <w:left w:w="62" w:type="dxa"/>
            <w:right w:w="62" w:type="dxa"/>
          </w:tblCellMar>
          <w:tblLook w:val="0000"/>
        </w:tblPrEx>
        <w:trPr>
          <w:tblHeader/>
        </w:trPr>
        <w:tc>
          <w:tcPr>
            <w:tcW w:w="2559" w:type="dxa"/>
            <w:tcBorders>
              <w:top w:val="nil"/>
              <w:left w:val="nil"/>
              <w:bottom w:val="nil"/>
              <w:right w:val="nil"/>
            </w:tcBorders>
            <w:tcMar>
              <w:top w:w="0" w:type="dxa"/>
              <w:left w:w="62" w:type="dxa"/>
              <w:bottom w:w="0" w:type="dxa"/>
              <w:right w:w="62" w:type="dxa"/>
            </w:tcMar>
          </w:tcPr>
          <w:p w:rsidR="00000000" w:rsidRPr="006E02B9" w:rsidP="006E02B9">
            <w:pPr>
              <w:pStyle w:val="BodyText"/>
            </w:pPr>
            <w:r w:rsidRPr="006E02B9">
              <w:rPr>
                <w:rStyle w:val="SpecialBold"/>
              </w:rPr>
              <w:t>ELEMENT</w:t>
            </w:r>
          </w:p>
        </w:tc>
        <w:tc>
          <w:tcPr>
            <w:tcW w:w="5963"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rPr>
                <w:rStyle w:val="SpecialBold"/>
              </w:rPr>
              <w:t>PERFORMANCE CRITERIA</w:t>
            </w:r>
          </w:p>
        </w:tc>
      </w:tr>
      <w:tr w:rsidTr="00CF23F0">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rsidP="006E02B9">
            <w:pPr>
              <w:pStyle w:val="List"/>
              <w:rPr>
                <w:lang w:val="en-NZ"/>
              </w:rPr>
            </w:pPr>
            <w:r w:rsidRPr="006E02B9">
              <w:t>1.</w:t>
            </w:r>
            <w:r w:rsidRPr="006E02B9">
              <w:tab/>
              <w:t>Analyse design objectives</w:t>
            </w:r>
          </w:p>
        </w:tc>
        <w:tc>
          <w:tcPr>
            <w:tcW w:w="5963" w:type="dxa"/>
            <w:tcBorders>
              <w:top w:val="nil"/>
              <w:left w:val="nil"/>
              <w:bottom w:val="nil"/>
              <w:right w:val="nil"/>
            </w:tcBorders>
            <w:tcMar>
              <w:top w:w="0" w:type="dxa"/>
              <w:left w:w="62" w:type="dxa"/>
              <w:bottom w:w="0" w:type="dxa"/>
              <w:right w:w="62" w:type="dxa"/>
            </w:tcMar>
          </w:tcPr>
          <w:p w:rsidR="00000000" w:rsidRPr="006E02B9" w:rsidP="006E02B9">
            <w:pPr>
              <w:pStyle w:val="List2"/>
            </w:pPr>
            <w:r w:rsidRPr="006E02B9">
              <w:t>1.1.</w:t>
            </w:r>
            <w:r w:rsidRPr="006E02B9">
              <w:tab/>
              <w:t xml:space="preserve">Applicable </w:t>
            </w:r>
            <w:r w:rsidRPr="006E02B9">
              <w:rPr>
                <w:rStyle w:val="BoldandItalics"/>
              </w:rPr>
              <w:t>Occupational Health and Safety</w:t>
            </w:r>
            <w:r w:rsidRPr="006E02B9">
              <w:t xml:space="preserve"> (OHS), </w:t>
            </w:r>
            <w:r w:rsidRPr="006E02B9">
              <w:rPr>
                <w:rStyle w:val="BoldandItalics"/>
              </w:rPr>
              <w:t>environmental</w:t>
            </w:r>
            <w:r w:rsidRPr="006E02B9">
              <w:t xml:space="preserve">, </w:t>
            </w:r>
            <w:r w:rsidRPr="006E02B9">
              <w:rPr>
                <w:rStyle w:val="BoldandItalics"/>
              </w:rPr>
              <w:t>legislative</w:t>
            </w:r>
            <w:r w:rsidRPr="006E02B9">
              <w:t xml:space="preserve"> and </w:t>
            </w:r>
            <w:r w:rsidRPr="006E02B9">
              <w:rPr>
                <w:rStyle w:val="BoldandItalics"/>
              </w:rPr>
              <w:t>organisational requirements</w:t>
            </w:r>
            <w:r w:rsidRPr="006E02B9">
              <w:t xml:space="preserve"> relevant to assessing product feasibility of designs are identified and followed</w:t>
            </w:r>
          </w:p>
          <w:p w:rsidR="00000000" w:rsidRPr="006E02B9" w:rsidP="006E02B9">
            <w:pPr>
              <w:pStyle w:val="List2"/>
            </w:pPr>
            <w:r w:rsidRPr="006E02B9">
              <w:t>1.2.</w:t>
            </w:r>
            <w:r w:rsidRPr="006E02B9">
              <w:tab/>
            </w:r>
            <w:r w:rsidRPr="006E02B9">
              <w:rPr>
                <w:rStyle w:val="BoldandItalics"/>
              </w:rPr>
              <w:t>Design</w:t>
            </w:r>
            <w:r w:rsidRPr="006E02B9">
              <w:t xml:space="preserve"> </w:t>
            </w:r>
            <w:r w:rsidRPr="006E02B9">
              <w:rPr>
                <w:rStyle w:val="BoldandItalics"/>
              </w:rPr>
              <w:t>purpose</w:t>
            </w:r>
            <w:r w:rsidRPr="006E02B9">
              <w:t xml:space="preserve"> is assessed and the potential market for the product inves</w:t>
            </w:r>
            <w:r w:rsidRPr="006E02B9">
              <w:t>tigated</w:t>
            </w:r>
          </w:p>
          <w:p w:rsidR="00000000" w:rsidRPr="006E02B9" w:rsidP="006E02B9">
            <w:pPr>
              <w:pStyle w:val="List2"/>
            </w:pPr>
            <w:r w:rsidRPr="006E02B9">
              <w:t>1.3.</w:t>
            </w:r>
            <w:r w:rsidRPr="006E02B9">
              <w:tab/>
              <w:t xml:space="preserve">Intended production </w:t>
            </w:r>
            <w:r w:rsidRPr="006E02B9">
              <w:rPr>
                <w:rStyle w:val="BoldandItalics"/>
              </w:rPr>
              <w:t>materials</w:t>
            </w:r>
            <w:r w:rsidRPr="006E02B9">
              <w:t xml:space="preserve"> and production processes are </w:t>
            </w:r>
            <w:r w:rsidRPr="006E02B9">
              <w:rPr>
                <w:rStyle w:val="BoldandItalics"/>
              </w:rPr>
              <w:t>analysed</w:t>
            </w:r>
            <w:r w:rsidRPr="006E02B9">
              <w:t xml:space="preserve"> as the basis for development</w:t>
            </w:r>
          </w:p>
          <w:p w:rsidR="00000000" w:rsidP="006E02B9">
            <w:pPr>
              <w:pStyle w:val="List2"/>
              <w:rPr>
                <w:lang w:val="en-NZ"/>
              </w:rPr>
            </w:pPr>
            <w:r w:rsidRPr="006E02B9">
              <w:t>1.4.</w:t>
            </w:r>
            <w:r w:rsidRPr="006E02B9">
              <w:tab/>
            </w:r>
            <w:r w:rsidRPr="006E02B9">
              <w:rPr>
                <w:rStyle w:val="BoldandItalics"/>
              </w:rPr>
              <w:t>Communication</w:t>
            </w:r>
            <w:r w:rsidRPr="006E02B9">
              <w:t xml:space="preserve"> with others is established and maintained in line with OHS requirements</w:t>
            </w:r>
          </w:p>
        </w:tc>
      </w:tr>
      <w:tr w:rsidTr="00CF23F0">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rsidP="006E02B9">
            <w:pPr>
              <w:pStyle w:val="List"/>
              <w:rPr>
                <w:lang w:val="en-NZ"/>
              </w:rPr>
            </w:pPr>
            <w:r w:rsidRPr="006E02B9">
              <w:t>2.</w:t>
            </w:r>
            <w:r w:rsidRPr="006E02B9">
              <w:tab/>
              <w:t>Set the design assessment criteria</w:t>
            </w:r>
          </w:p>
        </w:tc>
        <w:tc>
          <w:tcPr>
            <w:tcW w:w="5963" w:type="dxa"/>
            <w:vMerge w:val="restart"/>
            <w:tcBorders>
              <w:top w:val="nil"/>
              <w:left w:val="nil"/>
              <w:bottom w:val="nil"/>
              <w:right w:val="nil"/>
            </w:tcBorders>
            <w:tcMar>
              <w:top w:w="0" w:type="dxa"/>
              <w:left w:w="62" w:type="dxa"/>
              <w:bottom w:w="0" w:type="dxa"/>
              <w:right w:w="62" w:type="dxa"/>
            </w:tcMar>
          </w:tcPr>
          <w:p w:rsidR="00000000" w:rsidRPr="006E02B9" w:rsidP="006E02B9">
            <w:pPr>
              <w:pStyle w:val="List2"/>
            </w:pPr>
            <w:r w:rsidRPr="006E02B9">
              <w:t>2.1.</w:t>
            </w:r>
            <w:r w:rsidRPr="006E02B9">
              <w:tab/>
            </w:r>
            <w:r w:rsidRPr="006E02B9">
              <w:rPr>
                <w:rStyle w:val="BoldandItalics"/>
              </w:rPr>
              <w:t>Criteria</w:t>
            </w:r>
            <w:r w:rsidRPr="006E02B9">
              <w:t xml:space="preserve"> fo</w:t>
            </w:r>
            <w:r w:rsidRPr="006E02B9">
              <w:t>r the assessment of production material options are established</w:t>
            </w:r>
          </w:p>
          <w:p w:rsidR="00000000" w:rsidRPr="006E02B9" w:rsidP="006E02B9">
            <w:pPr>
              <w:pStyle w:val="List2"/>
            </w:pPr>
            <w:r w:rsidRPr="006E02B9">
              <w:t>2.2.</w:t>
            </w:r>
            <w:r w:rsidRPr="006E02B9">
              <w:tab/>
              <w:t xml:space="preserve">Criteria for the assessment of product </w:t>
            </w:r>
            <w:r w:rsidRPr="006E02B9">
              <w:rPr>
                <w:rStyle w:val="BoldandItalics"/>
              </w:rPr>
              <w:t>functionality</w:t>
            </w:r>
            <w:r w:rsidRPr="006E02B9">
              <w:t xml:space="preserve"> are established</w:t>
            </w:r>
          </w:p>
          <w:p w:rsidR="00000000" w:rsidRPr="006E02B9" w:rsidP="006E02B9">
            <w:pPr>
              <w:pStyle w:val="List2"/>
            </w:pPr>
            <w:r w:rsidRPr="006E02B9">
              <w:t>2.3.</w:t>
            </w:r>
            <w:r w:rsidRPr="006E02B9">
              <w:tab/>
              <w:t>Criteria for the assessment of production process options are established and impact of these on overall business</w:t>
            </w:r>
            <w:r w:rsidRPr="006E02B9">
              <w:t xml:space="preserve"> operations assessed</w:t>
            </w:r>
          </w:p>
          <w:p w:rsidR="00000000" w:rsidRPr="006E02B9" w:rsidP="006E02B9">
            <w:pPr>
              <w:pStyle w:val="List2"/>
            </w:pPr>
            <w:r w:rsidRPr="006E02B9">
              <w:t>2.4.</w:t>
            </w:r>
            <w:r w:rsidRPr="006E02B9">
              <w:tab/>
              <w:t xml:space="preserve">Criteria for the assessment of safety and potential </w:t>
            </w:r>
            <w:r w:rsidRPr="006E02B9">
              <w:rPr>
                <w:rStyle w:val="BoldandItalics"/>
              </w:rPr>
              <w:t>liability</w:t>
            </w:r>
            <w:r w:rsidRPr="006E02B9">
              <w:t xml:space="preserve"> issues are established</w:t>
            </w:r>
          </w:p>
          <w:p w:rsidR="00000000" w:rsidP="006E02B9">
            <w:pPr>
              <w:pStyle w:val="List2"/>
              <w:rPr>
                <w:lang w:val="en-NZ"/>
              </w:rPr>
            </w:pPr>
            <w:r w:rsidRPr="006E02B9">
              <w:t>2.5.</w:t>
            </w:r>
            <w:r w:rsidRPr="006E02B9">
              <w:tab/>
              <w:t xml:space="preserve">Criteria for assessment of costs and </w:t>
            </w:r>
            <w:r w:rsidRPr="006E02B9">
              <w:rPr>
                <w:rStyle w:val="BoldandItalics"/>
              </w:rPr>
              <w:t>marketability</w:t>
            </w:r>
            <w:r w:rsidRPr="006E02B9">
              <w:t xml:space="preserve"> </w:t>
            </w:r>
            <w:r w:rsidRPr="006E02B9">
              <w:t>are established</w:t>
            </w:r>
          </w:p>
        </w:tc>
      </w:tr>
      <w:tr w:rsidTr="00CF23F0">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3" w:type="dxa"/>
            <w:vMerge/>
            <w:tcBorders>
              <w:top w:val="nil"/>
              <w:left w:val="nil"/>
              <w:bottom w:val="nil"/>
              <w:right w:val="nil"/>
            </w:tcBorders>
            <w:tcMar>
              <w:top w:w="0" w:type="dxa"/>
              <w:left w:w="62" w:type="dxa"/>
              <w:bottom w:w="0" w:type="dxa"/>
              <w:right w:w="62" w:type="dxa"/>
            </w:tcMar>
          </w:tcPr>
          <w:p w:rsidR="00000000" w:rsidP="006E02B9">
            <w:pPr>
              <w:pStyle w:val="BodyText"/>
              <w:rPr>
                <w:lang w:val="en-NZ"/>
              </w:rPr>
            </w:pPr>
          </w:p>
        </w:tc>
      </w:tr>
      <w:tr w:rsidTr="00CF23F0">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rsidP="006E02B9">
            <w:pPr>
              <w:pStyle w:val="List"/>
              <w:rPr>
                <w:lang w:val="en-NZ"/>
              </w:rPr>
            </w:pPr>
            <w:r w:rsidRPr="006E02B9">
              <w:t>3.</w:t>
            </w:r>
            <w:r w:rsidRPr="006E02B9">
              <w:tab/>
              <w:t>Apply the assessment criteria</w:t>
            </w:r>
          </w:p>
        </w:tc>
        <w:tc>
          <w:tcPr>
            <w:tcW w:w="5963" w:type="dxa"/>
            <w:tcBorders>
              <w:top w:val="nil"/>
              <w:left w:val="nil"/>
              <w:bottom w:val="nil"/>
              <w:right w:val="nil"/>
            </w:tcBorders>
            <w:tcMar>
              <w:top w:w="0" w:type="dxa"/>
              <w:left w:w="62" w:type="dxa"/>
              <w:bottom w:w="0" w:type="dxa"/>
              <w:right w:w="62" w:type="dxa"/>
            </w:tcMar>
          </w:tcPr>
          <w:p w:rsidR="00000000" w:rsidRPr="006E02B9" w:rsidP="006E02B9">
            <w:pPr>
              <w:pStyle w:val="List2"/>
            </w:pPr>
            <w:r w:rsidRPr="006E02B9">
              <w:t>3.1.</w:t>
            </w:r>
            <w:r w:rsidRPr="006E02B9">
              <w:tab/>
            </w:r>
            <w:r w:rsidRPr="006E02B9">
              <w:t>Resources including human, material, equipment and systems are allocated to particular design grading criteria processes</w:t>
            </w:r>
          </w:p>
          <w:p w:rsidR="00000000" w:rsidRPr="006E02B9" w:rsidP="006E02B9">
            <w:pPr>
              <w:pStyle w:val="List2"/>
            </w:pPr>
            <w:r w:rsidRPr="006E02B9">
              <w:t>3.2.</w:t>
            </w:r>
            <w:r w:rsidRPr="006E02B9">
              <w:tab/>
              <w:t>Products which are competitors or potential competitors in the market place are selected for comparative purposes</w:t>
            </w:r>
          </w:p>
          <w:p w:rsidR="00000000" w:rsidRPr="006E02B9" w:rsidP="006E02B9">
            <w:pPr>
              <w:pStyle w:val="List2"/>
            </w:pPr>
            <w:r w:rsidRPr="006E02B9">
              <w:t>3.3.</w:t>
            </w:r>
            <w:r w:rsidRPr="006E02B9">
              <w:tab/>
              <w:t>Design is s</w:t>
            </w:r>
            <w:r w:rsidRPr="006E02B9">
              <w:t>cored and graded against agreed criteria and results recorded</w:t>
            </w:r>
          </w:p>
          <w:p w:rsidR="00000000" w:rsidRPr="006E02B9" w:rsidP="006E02B9">
            <w:pPr>
              <w:pStyle w:val="List2"/>
            </w:pPr>
            <w:r w:rsidRPr="006E02B9">
              <w:t>3.4.</w:t>
            </w:r>
            <w:r w:rsidRPr="006E02B9">
              <w:tab/>
              <w:t>Competition products are scored and graded against agreed criteria and results recorded</w:t>
            </w:r>
          </w:p>
          <w:p w:rsidR="00000000" w:rsidP="006E02B9">
            <w:pPr>
              <w:pStyle w:val="List2"/>
              <w:rPr>
                <w:lang w:val="en-NZ"/>
              </w:rPr>
            </w:pPr>
            <w:r w:rsidRPr="006E02B9">
              <w:t>3.5.</w:t>
            </w:r>
            <w:r w:rsidRPr="006E02B9">
              <w:tab/>
              <w:t>Assessment results are completed in line with the agreed process</w:t>
            </w:r>
          </w:p>
        </w:tc>
      </w:tr>
      <w:tr w:rsidTr="00CF23F0">
        <w:tblPrEx>
          <w:tblW w:w="0" w:type="auto"/>
          <w:tblLayout w:type="fixed"/>
          <w:tblCellMar>
            <w:left w:w="62" w:type="dxa"/>
            <w:right w:w="62" w:type="dxa"/>
          </w:tblCellMar>
          <w:tblLook w:val="0000"/>
        </w:tblPrEx>
        <w:tc>
          <w:tcPr>
            <w:tcW w:w="2559" w:type="dxa"/>
            <w:tcBorders>
              <w:top w:val="nil"/>
              <w:left w:val="nil"/>
              <w:bottom w:val="nil"/>
              <w:right w:val="nil"/>
            </w:tcBorders>
            <w:tcMar>
              <w:top w:w="0" w:type="dxa"/>
              <w:left w:w="62" w:type="dxa"/>
              <w:bottom w:w="0" w:type="dxa"/>
              <w:right w:w="62" w:type="dxa"/>
            </w:tcMar>
          </w:tcPr>
          <w:p w:rsidR="00000000" w:rsidP="006E02B9">
            <w:pPr>
              <w:pStyle w:val="List"/>
              <w:rPr>
                <w:lang w:val="en-NZ"/>
              </w:rPr>
            </w:pPr>
            <w:r w:rsidRPr="006E02B9">
              <w:t>4.</w:t>
            </w:r>
            <w:r w:rsidRPr="006E02B9">
              <w:tab/>
            </w:r>
            <w:r w:rsidRPr="006E02B9">
              <w:t>Establish feasibility and options</w:t>
            </w:r>
          </w:p>
        </w:tc>
        <w:tc>
          <w:tcPr>
            <w:tcW w:w="5963" w:type="dxa"/>
            <w:tcBorders>
              <w:top w:val="nil"/>
              <w:left w:val="nil"/>
              <w:bottom w:val="nil"/>
              <w:right w:val="nil"/>
            </w:tcBorders>
            <w:tcMar>
              <w:top w:w="0" w:type="dxa"/>
              <w:left w:w="62" w:type="dxa"/>
              <w:bottom w:w="0" w:type="dxa"/>
              <w:right w:w="62" w:type="dxa"/>
            </w:tcMar>
          </w:tcPr>
          <w:p w:rsidR="00000000" w:rsidRPr="006E02B9" w:rsidP="006E02B9">
            <w:pPr>
              <w:pStyle w:val="List2"/>
            </w:pPr>
            <w:r w:rsidRPr="006E02B9">
              <w:t>4.1.</w:t>
            </w:r>
            <w:r w:rsidRPr="006E02B9">
              <w:tab/>
              <w:t>Assessment results of the design and competition products are analysed</w:t>
            </w:r>
          </w:p>
          <w:p w:rsidR="00000000" w:rsidRPr="006E02B9" w:rsidP="006E02B9">
            <w:pPr>
              <w:pStyle w:val="List2"/>
            </w:pPr>
            <w:r w:rsidRPr="006E02B9">
              <w:t>4.2.</w:t>
            </w:r>
            <w:r w:rsidRPr="006E02B9">
              <w:tab/>
              <w:t>Designs which fail to satisfy assessment and provide no optional potential are rejected</w:t>
            </w:r>
          </w:p>
          <w:p w:rsidR="00000000" w:rsidRPr="006E02B9" w:rsidP="006E02B9">
            <w:pPr>
              <w:pStyle w:val="List2"/>
            </w:pPr>
            <w:r w:rsidRPr="006E02B9">
              <w:t>4.3.</w:t>
            </w:r>
            <w:r w:rsidRPr="006E02B9">
              <w:tab/>
              <w:t>Designs which fail to satisfy assessment and hav</w:t>
            </w:r>
            <w:r w:rsidRPr="006E02B9">
              <w:t xml:space="preserve">e optional or alternative potential are referred to </w:t>
            </w:r>
            <w:r w:rsidRPr="006E02B9">
              <w:rPr>
                <w:rStyle w:val="BoldandItalics"/>
              </w:rPr>
              <w:t>appropriate</w:t>
            </w:r>
            <w:r w:rsidRPr="006E02B9">
              <w:t xml:space="preserve"> </w:t>
            </w:r>
            <w:r w:rsidRPr="006E02B9">
              <w:rPr>
                <w:rStyle w:val="BoldandItalics"/>
              </w:rPr>
              <w:t>personnel</w:t>
            </w:r>
          </w:p>
          <w:p w:rsidR="00000000" w:rsidRPr="006E02B9" w:rsidP="006E02B9">
            <w:pPr>
              <w:pStyle w:val="List2"/>
            </w:pPr>
            <w:r w:rsidRPr="006E02B9">
              <w:t>4.4.</w:t>
            </w:r>
            <w:r w:rsidRPr="006E02B9">
              <w:tab/>
              <w:t>Designs which satisfy potential are conditionally endorsed and conditions recorded and passed to the appropriate personnel</w:t>
            </w:r>
          </w:p>
          <w:p w:rsidR="00000000" w:rsidRPr="006E02B9" w:rsidP="006E02B9">
            <w:pPr>
              <w:pStyle w:val="List2"/>
            </w:pPr>
            <w:r w:rsidRPr="006E02B9">
              <w:t>4.5.</w:t>
            </w:r>
            <w:r w:rsidRPr="006E02B9">
              <w:tab/>
              <w:t xml:space="preserve">Formal </w:t>
            </w:r>
            <w:r w:rsidRPr="006E02B9">
              <w:rPr>
                <w:rStyle w:val="BoldandItalics"/>
              </w:rPr>
              <w:t>records</w:t>
            </w:r>
            <w:r w:rsidRPr="006E02B9">
              <w:t xml:space="preserve"> </w:t>
            </w:r>
            <w:r w:rsidRPr="006E02B9">
              <w:rPr>
                <w:rStyle w:val="BoldandItalics"/>
              </w:rPr>
              <w:t>and</w:t>
            </w:r>
            <w:r w:rsidRPr="006E02B9">
              <w:t xml:space="preserve"> </w:t>
            </w:r>
            <w:r w:rsidRPr="006E02B9">
              <w:rPr>
                <w:rStyle w:val="BoldandItalics"/>
              </w:rPr>
              <w:t>reports</w:t>
            </w:r>
            <w:r w:rsidRPr="006E02B9">
              <w:t xml:space="preserve"> are completed and proc</w:t>
            </w:r>
            <w:r w:rsidRPr="006E02B9">
              <w:t>essed in line with organisational procedures</w:t>
            </w:r>
          </w:p>
        </w:tc>
      </w:tr>
    </w:tbl>
    <w:p w:rsidR="00CF23F0" w:rsidP="006E02B9">
      <w:pPr>
        <w:pStyle w:val="BodyText"/>
      </w:pPr>
    </w:p>
    <w:p w:rsidR="00CF23F0" w:rsidP="006E02B9">
      <w:pPr>
        <w:pStyle w:val="BodyText"/>
      </w:pPr>
    </w:p>
    <w:p w:rsidR="00000000" w:rsidRPr="006E02B9" w:rsidP="006E02B9">
      <w:pPr>
        <w:pStyle w:val="Heading1"/>
      </w:pPr>
      <w:bookmarkStart w:id="9" w:name="O_259412"/>
      <w:bookmarkEnd w:id="9"/>
      <w:r w:rsidRPr="006E02B9">
        <w:t>Required Skills and Knowledge</w:t>
      </w:r>
    </w:p>
    <w:tbl>
      <w:tblPr>
        <w:tblW w:w="0" w:type="auto"/>
        <w:tblLayout w:type="fixed"/>
        <w:tblCellMar>
          <w:left w:w="62" w:type="dxa"/>
          <w:right w:w="62" w:type="dxa"/>
        </w:tblCellMar>
        <w:tblLook w:val="0000"/>
      </w:tblPr>
      <w:tblGrid>
        <w:gridCol w:w="8522"/>
      </w:tblGrid>
      <w:tr w:rsidTr="00CF23F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rPr>
                <w:rStyle w:val="SpecialBold"/>
              </w:rPr>
              <w:t>REQUIRED SKILLS AND KNOWLEDGE</w:t>
            </w:r>
          </w:p>
        </w:tc>
      </w:tr>
      <w:tr w:rsidTr="00CF23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t>This describes the essential skills and knowledge and their level required for this unit</w:t>
            </w:r>
          </w:p>
        </w:tc>
      </w:tr>
      <w:tr w:rsidTr="00CF23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rPr>
                <w:rStyle w:val="SpecialBold"/>
              </w:rPr>
              <w:t>Required skills</w:t>
            </w:r>
          </w:p>
        </w:tc>
      </w:tr>
      <w:tr w:rsidTr="00CF23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E02B9" w:rsidP="006E02B9">
            <w:pPr>
              <w:pStyle w:val="ListBullet"/>
            </w:pPr>
            <w:r w:rsidRPr="006E02B9">
              <w:t>Technical skills sufficient to use and maintain relevant tools, machinery and equipment safely assess product feasibility of designs</w:t>
            </w:r>
          </w:p>
          <w:p w:rsidR="00000000" w:rsidRPr="006E02B9" w:rsidP="006E02B9">
            <w:pPr>
              <w:pStyle w:val="ListBullet"/>
            </w:pPr>
            <w:r w:rsidRPr="006E02B9">
              <w:t>Communication skills and interpersonal techniques sufficient to interact appropriately with colleagues and others in the workplace</w:t>
            </w:r>
          </w:p>
          <w:p w:rsidR="00000000" w:rsidRPr="006E02B9" w:rsidP="006E02B9">
            <w:pPr>
              <w:pStyle w:val="ListBullet"/>
            </w:pPr>
            <w:r w:rsidRPr="006E02B9">
              <w:t>Literacy skills sufficient to accurately record and report workplace information, and maintain documentation</w:t>
            </w:r>
          </w:p>
          <w:p w:rsidR="00000000" w:rsidRPr="006E02B9" w:rsidP="006E02B9">
            <w:pPr>
              <w:pStyle w:val="ListBullet"/>
            </w:pPr>
            <w:r w:rsidRPr="006E02B9">
              <w:t xml:space="preserve">Numeracy skills </w:t>
            </w:r>
            <w:r w:rsidRPr="006E02B9">
              <w:t xml:space="preserve">sufficient to estimate, measure and calculate time required to complete a task </w:t>
            </w:r>
          </w:p>
          <w:p w:rsidR="00000000" w:rsidP="006E02B9">
            <w:pPr>
              <w:pStyle w:val="ListBullet"/>
              <w:rPr>
                <w:lang w:val="en-NZ"/>
              </w:rPr>
            </w:pPr>
            <w:r w:rsidRPr="006E02B9">
              <w:t>Problem solving skills sufficient to identify problems and equipment faults and demonstrate appropriate response procedures</w:t>
            </w:r>
          </w:p>
        </w:tc>
      </w:tr>
      <w:tr w:rsidTr="00CF23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rPr>
                <w:rStyle w:val="SpecialBold"/>
              </w:rPr>
              <w:t>Required knowledge</w:t>
            </w:r>
          </w:p>
        </w:tc>
      </w:tr>
      <w:tr w:rsidTr="00CF23F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E02B9" w:rsidP="006E02B9">
            <w:pPr>
              <w:pStyle w:val="ListBullet"/>
            </w:pPr>
            <w:r w:rsidRPr="006E02B9">
              <w:t>Applicable Commonwealth, State</w:t>
            </w:r>
            <w:r w:rsidRPr="006E02B9">
              <w:t xml:space="preserve"> or Territory legislation, regulations, standards, codes of practice and established safe practices relevant to the full range of processes for assessing product feasibility of designs </w:t>
            </w:r>
          </w:p>
          <w:p w:rsidR="00000000" w:rsidRPr="006E02B9" w:rsidP="006E02B9">
            <w:pPr>
              <w:pStyle w:val="ListBullet"/>
            </w:pPr>
            <w:r w:rsidRPr="006E02B9">
              <w:t xml:space="preserve">Environmental protection requirements, including the safe disposal of </w:t>
            </w:r>
            <w:r w:rsidRPr="006E02B9">
              <w:t>waste material and minimising carbon emissions</w:t>
            </w:r>
          </w:p>
          <w:p w:rsidR="00000000" w:rsidRPr="006E02B9" w:rsidP="006E02B9">
            <w:pPr>
              <w:pStyle w:val="ListBullet"/>
            </w:pPr>
            <w:r w:rsidRPr="006E02B9">
              <w:t>Organisational and site standards, requirements, policies and procedures relevant to the assessment of product feasibility of designs</w:t>
            </w:r>
          </w:p>
          <w:p w:rsidR="00000000" w:rsidRPr="006E02B9" w:rsidP="006E02B9">
            <w:pPr>
              <w:pStyle w:val="ListBullet"/>
            </w:pPr>
            <w:r w:rsidRPr="006E02B9">
              <w:t xml:space="preserve">Environmental risks and hazards </w:t>
            </w:r>
          </w:p>
          <w:p w:rsidR="00000000" w:rsidRPr="006E02B9" w:rsidP="006E02B9">
            <w:pPr>
              <w:pStyle w:val="ListBullet"/>
            </w:pPr>
            <w:r w:rsidRPr="006E02B9">
              <w:t>Using energy effectively and efficiently</w:t>
            </w:r>
          </w:p>
          <w:p w:rsidR="00000000" w:rsidRPr="006E02B9" w:rsidP="006E02B9">
            <w:pPr>
              <w:pStyle w:val="ListBullet"/>
            </w:pPr>
            <w:r w:rsidRPr="006E02B9">
              <w:t>U</w:t>
            </w:r>
            <w:r w:rsidRPr="006E02B9">
              <w:t xml:space="preserve">sing material effectively and efficiently </w:t>
            </w:r>
          </w:p>
          <w:p w:rsidR="00000000" w:rsidRPr="006E02B9" w:rsidP="006E02B9">
            <w:pPr>
              <w:pStyle w:val="ListBullet"/>
            </w:pPr>
            <w:r w:rsidRPr="006E02B9">
              <w:t>Problem identification and resolution</w:t>
            </w:r>
          </w:p>
          <w:p w:rsidR="00000000" w:rsidRPr="006E02B9" w:rsidP="006E02B9">
            <w:pPr>
              <w:pStyle w:val="ListBullet"/>
            </w:pPr>
            <w:r w:rsidRPr="006E02B9">
              <w:t>Product design methods and trends</w:t>
            </w:r>
          </w:p>
          <w:p w:rsidR="00000000" w:rsidRPr="006E02B9" w:rsidP="006E02B9">
            <w:pPr>
              <w:pStyle w:val="ListBullet"/>
            </w:pPr>
            <w:r w:rsidRPr="006E02B9">
              <w:t>Characteristics of materials and equipment</w:t>
            </w:r>
          </w:p>
          <w:p w:rsidR="00000000" w:rsidRPr="006E02B9" w:rsidP="006E02B9">
            <w:pPr>
              <w:pStyle w:val="ListBullet"/>
            </w:pPr>
            <w:r w:rsidRPr="006E02B9">
              <w:t>Products and their use</w:t>
            </w:r>
          </w:p>
          <w:p w:rsidR="00000000" w:rsidRPr="006E02B9" w:rsidP="006E02B9">
            <w:pPr>
              <w:pStyle w:val="ListBullet"/>
            </w:pPr>
            <w:r w:rsidRPr="006E02B9">
              <w:t>Criteria for assessing designs</w:t>
            </w:r>
          </w:p>
          <w:p w:rsidR="00000000" w:rsidRPr="006E02B9" w:rsidP="006E02B9">
            <w:pPr>
              <w:pStyle w:val="ListBullet"/>
            </w:pPr>
            <w:r w:rsidRPr="006E02B9">
              <w:t>Established communication channels and protocols</w:t>
            </w:r>
          </w:p>
          <w:p w:rsidR="00000000" w:rsidRPr="006E02B9" w:rsidP="006E02B9">
            <w:pPr>
              <w:pStyle w:val="ListBullet"/>
            </w:pPr>
            <w:r w:rsidRPr="006E02B9">
              <w:t>Problem identification and resolution strategies and common fault finding techniques</w:t>
            </w:r>
          </w:p>
          <w:p w:rsidR="00000000" w:rsidRPr="006E02B9" w:rsidP="006E02B9">
            <w:pPr>
              <w:pStyle w:val="ListBullet"/>
            </w:pPr>
            <w:r w:rsidRPr="006E02B9">
              <w:t>Types of tools and equipment and procedures for their safe use, operation and maintenance</w:t>
            </w:r>
          </w:p>
          <w:p w:rsidR="00000000" w:rsidRPr="006E02B9" w:rsidP="006E02B9">
            <w:pPr>
              <w:pStyle w:val="ListBullet"/>
            </w:pPr>
            <w:r w:rsidRPr="006E02B9">
              <w:t>Appropriate mathematical procedu</w:t>
            </w:r>
            <w:r w:rsidRPr="006E02B9">
              <w:t>res for estimating and measuring, including calculating time to complete tasks</w:t>
            </w:r>
          </w:p>
          <w:p w:rsidR="00000000" w:rsidRPr="006E02B9" w:rsidP="006E02B9">
            <w:pPr>
              <w:pStyle w:val="ListBullet"/>
            </w:pPr>
            <w:r w:rsidRPr="006E02B9">
              <w:t>Procedures for recording and reporting workplace information</w:t>
            </w:r>
          </w:p>
        </w:tc>
      </w:tr>
    </w:tbl>
    <w:p w:rsidR="00CF23F0" w:rsidP="006E02B9">
      <w:pPr>
        <w:pStyle w:val="BodyText"/>
      </w:pPr>
    </w:p>
    <w:p w:rsidR="00CF23F0" w:rsidP="006E02B9">
      <w:pPr>
        <w:pStyle w:val="BodyText"/>
      </w:pPr>
    </w:p>
    <w:p w:rsidR="00000000" w:rsidRPr="006E02B9" w:rsidP="006E02B9">
      <w:pPr>
        <w:pStyle w:val="AllowPageBreak"/>
      </w:pPr>
    </w:p>
    <w:p w:rsidR="00000000" w:rsidRPr="006E02B9" w:rsidP="006E02B9">
      <w:pPr>
        <w:pStyle w:val="Heading1"/>
      </w:pPr>
      <w:bookmarkStart w:id="10" w:name="O_243446"/>
      <w:bookmarkEnd w:id="10"/>
      <w:r w:rsidRPr="006E02B9">
        <w:t>Evidence Guide</w:t>
      </w:r>
    </w:p>
    <w:tbl>
      <w:tblPr>
        <w:tblW w:w="9570" w:type="dxa"/>
        <w:tblLayout w:type="fixed"/>
        <w:tblCellMar>
          <w:left w:w="62" w:type="dxa"/>
          <w:right w:w="62" w:type="dxa"/>
        </w:tblCellMar>
        <w:tblLook w:val="0000"/>
      </w:tblPr>
      <w:tblGrid>
        <w:gridCol w:w="3908"/>
        <w:gridCol w:w="5662"/>
      </w:tblGrid>
      <w:tr w:rsidTr="00CF23F0">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rPr>
                <w:rStyle w:val="SpecialBold"/>
              </w:rPr>
              <w:t>EVIDENCE GUIDE</w:t>
            </w:r>
          </w:p>
        </w:tc>
      </w:tr>
      <w:tr w:rsidTr="00CF23F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t>The evidence guide provides advice on assessment and must be read in conjunction with the performance criteria, required skills and knowledge, range statement and the Assessment Guidelines for the Training Package.</w:t>
            </w:r>
          </w:p>
        </w:tc>
      </w:tr>
      <w:tr w:rsidTr="00CF23F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t xml:space="preserve">A person who demonstrates competency in this unit must be able to provide evidence that they can safely and efficiently assess product feasibility of designs within organisational requirements </w:t>
            </w:r>
          </w:p>
        </w:tc>
      </w:tr>
      <w:tr w:rsidTr="00CF23F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rPr>
                <w:rStyle w:val="SpecialBold"/>
              </w:rPr>
              <w:t>Critical aspects for assessment and evidence required to demo</w:t>
            </w:r>
            <w:r w:rsidRPr="006E02B9">
              <w:rPr>
                <w:rStyle w:val="SpecialBold"/>
              </w:rPr>
              <w:t>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E02B9" w:rsidP="006E02B9">
            <w:pPr>
              <w:pStyle w:val="BodyText"/>
            </w:pPr>
            <w:r w:rsidRPr="006E02B9">
              <w:t xml:space="preserve">The evidence required to demonstrate competency in this unit must be relevant to and satisfy all of the requirements of the elements of this unit and include demonstration of: </w:t>
            </w:r>
          </w:p>
          <w:p w:rsidR="00000000" w:rsidRPr="006E02B9" w:rsidP="006E02B9">
            <w:pPr>
              <w:pStyle w:val="ListBullet"/>
            </w:pPr>
            <w:r w:rsidRPr="006E02B9">
              <w:t>following applicable Commonwealth, State or Te</w:t>
            </w:r>
            <w:r w:rsidRPr="006E02B9">
              <w:t>rritory legislative and regulatory requirements and codes of practice relevant to assessing product feasibility of designs</w:t>
            </w:r>
          </w:p>
          <w:p w:rsidR="00000000" w:rsidRPr="006E02B9" w:rsidP="006E02B9">
            <w:pPr>
              <w:pStyle w:val="ListBullet"/>
            </w:pPr>
            <w:r w:rsidRPr="006E02B9">
              <w:t xml:space="preserve">following organisational policies and procedures relevant to assessing product feasibility of designs </w:t>
            </w:r>
          </w:p>
          <w:p w:rsidR="00000000" w:rsidRPr="006E02B9" w:rsidP="006E02B9">
            <w:pPr>
              <w:pStyle w:val="ListBullet"/>
            </w:pPr>
            <w:r w:rsidRPr="006E02B9">
              <w:t>effective communication and sa</w:t>
            </w:r>
            <w:r w:rsidRPr="006E02B9">
              <w:t>fe working practices</w:t>
            </w:r>
          </w:p>
          <w:p w:rsidR="00000000" w:rsidP="006E02B9">
            <w:pPr>
              <w:pStyle w:val="ListBullet"/>
              <w:rPr>
                <w:lang w:val="en-NZ"/>
              </w:rPr>
            </w:pPr>
            <w:r w:rsidRPr="006E02B9">
              <w:t>assessing product feasibility of designs in line with organisational requirements and performance targets</w:t>
            </w:r>
          </w:p>
        </w:tc>
      </w:tr>
      <w:tr w:rsidTr="00CF23F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E02B9" w:rsidP="006E02B9">
            <w:pPr>
              <w:pStyle w:val="ListBullet"/>
            </w:pPr>
            <w:r w:rsidRPr="006E02B9">
              <w:t>Competency is to be assessed in the workplace or realistically simulated workplace</w:t>
            </w:r>
          </w:p>
          <w:p w:rsidR="00000000" w:rsidRPr="006E02B9" w:rsidP="006E02B9">
            <w:pPr>
              <w:pStyle w:val="ListBullet"/>
            </w:pPr>
            <w:r w:rsidRPr="006E02B9">
              <w:t>Assessment is to occur under standard and authorised work practices, safety requirements and environmental constraints</w:t>
            </w:r>
          </w:p>
          <w:p w:rsidR="00000000" w:rsidRPr="006E02B9" w:rsidP="006E02B9">
            <w:pPr>
              <w:pStyle w:val="ListBullet"/>
            </w:pPr>
            <w:r w:rsidRPr="006E02B9">
              <w:t>Assessment of required knowledge, other than confirmat</w:t>
            </w:r>
            <w:r w:rsidRPr="006E02B9">
              <w:t>ory questions, will usually be conducted in an off-site context</w:t>
            </w:r>
          </w:p>
          <w:p w:rsidR="00000000" w:rsidRPr="006E02B9" w:rsidP="006E02B9">
            <w:pPr>
              <w:pStyle w:val="ListBullet"/>
            </w:pPr>
            <w:r w:rsidRPr="006E02B9">
              <w:t>Assessment is to follow relevant regulatory or Australian Standards requirements</w:t>
            </w:r>
          </w:p>
          <w:p w:rsidR="00000000" w:rsidRPr="006E02B9" w:rsidP="006E02B9">
            <w:pPr>
              <w:pStyle w:val="ListBullet"/>
            </w:pPr>
            <w:r w:rsidRPr="006E02B9">
              <w:t>The following resources should be made available:</w:t>
            </w:r>
          </w:p>
          <w:p w:rsidR="00000000" w:rsidRPr="006E02B9" w:rsidP="006E02B9">
            <w:pPr>
              <w:pStyle w:val="ListBullet3"/>
            </w:pPr>
            <w:r w:rsidRPr="006E02B9">
              <w:t>workplace location or simulated workplace</w:t>
            </w:r>
          </w:p>
          <w:p w:rsidR="00000000" w:rsidRPr="006E02B9" w:rsidP="006E02B9">
            <w:pPr>
              <w:pStyle w:val="ListBullet3"/>
            </w:pPr>
            <w:r w:rsidRPr="006E02B9">
              <w:t>materials and equipment relevant to undertaking work applicable to this unit</w:t>
            </w:r>
          </w:p>
          <w:p w:rsidR="00000000" w:rsidP="006E02B9">
            <w:pPr>
              <w:pStyle w:val="ListBullet3"/>
              <w:rPr>
                <w:lang w:val="en-NZ"/>
              </w:rPr>
            </w:pPr>
            <w:r w:rsidRPr="006E02B9">
              <w:t>specifications and work instructions</w:t>
            </w:r>
          </w:p>
        </w:tc>
      </w:tr>
      <w:tr w:rsidTr="00CF23F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E02B9" w:rsidP="006E02B9">
            <w:pPr>
              <w:pStyle w:val="ListBullet"/>
            </w:pPr>
            <w:r w:rsidRPr="006E02B9">
              <w:t>Assessment must satisfy the endorsed Assessment Guidelines of the FPI11 Training Package</w:t>
            </w:r>
          </w:p>
          <w:p w:rsidR="00000000" w:rsidRPr="006E02B9" w:rsidP="006E02B9">
            <w:pPr>
              <w:pStyle w:val="ListBullet"/>
            </w:pPr>
            <w:r w:rsidRPr="006E02B9">
              <w:t>Assessment methods must confir</w:t>
            </w:r>
            <w:r w:rsidRPr="006E02B9">
              <w:t>m consistency and accuracy of performance (over time and in a range of workplace relevant contexts) together with application of required knowledge</w:t>
            </w:r>
          </w:p>
          <w:p w:rsidR="00000000" w:rsidRPr="006E02B9" w:rsidP="006E02B9">
            <w:pPr>
              <w:pStyle w:val="ListBullet"/>
            </w:pPr>
            <w:r w:rsidRPr="006E02B9">
              <w:t>Assessment must be by direct observation of tasks, with questioning on required knowledge and it must also reinforce the integration of employability skills</w:t>
            </w:r>
          </w:p>
          <w:p w:rsidR="00000000" w:rsidRPr="006E02B9" w:rsidP="006E02B9">
            <w:pPr>
              <w:pStyle w:val="ListBullet"/>
            </w:pPr>
            <w:r w:rsidRPr="006E02B9">
              <w:t>Assessment methods must confirm the ability to access and correctly interpret and apply the require</w:t>
            </w:r>
            <w:r w:rsidRPr="006E02B9">
              <w:t>d knowledge</w:t>
            </w:r>
          </w:p>
          <w:p w:rsidR="00000000" w:rsidRPr="006E02B9" w:rsidP="006E02B9">
            <w:pPr>
              <w:pStyle w:val="ListBullet"/>
            </w:pPr>
            <w:r w:rsidRPr="006E02B9">
              <w:t>Assessment may be applied under project-related conditions (real or simulated) and require evidence of process</w:t>
            </w:r>
          </w:p>
          <w:p w:rsidR="00000000" w:rsidRPr="006E02B9" w:rsidP="006E02B9">
            <w:pPr>
              <w:pStyle w:val="ListBullet"/>
            </w:pPr>
            <w:r w:rsidRPr="006E02B9">
              <w:t>Assessment must confirm a reasonable inference that competency is able not only to be satisfied under the particular circumstance, bu</w:t>
            </w:r>
            <w:r w:rsidRPr="006E02B9">
              <w:t>t is able to be transferred to other circumstances</w:t>
            </w:r>
          </w:p>
          <w:p w:rsidR="00000000" w:rsidRPr="006E02B9" w:rsidP="006E02B9">
            <w:pPr>
              <w:pStyle w:val="ListBullet"/>
            </w:pPr>
            <w:r w:rsidRPr="006E02B9">
              <w:t>Assessment may be in conjunction with assessment of other units of competency</w:t>
            </w:r>
          </w:p>
          <w:p w:rsidR="00000000" w:rsidRPr="006E02B9" w:rsidP="006E02B9">
            <w:pPr>
              <w:pStyle w:val="ListBullet"/>
            </w:pPr>
            <w:r w:rsidRPr="006E02B9">
              <w:t>The assessment environment should not disadvantage the candidate</w:t>
            </w:r>
          </w:p>
          <w:p w:rsidR="00000000" w:rsidRPr="006E02B9" w:rsidP="006E02B9">
            <w:pPr>
              <w:pStyle w:val="ListBullet"/>
            </w:pPr>
            <w:r w:rsidRPr="006E02B9">
              <w:t>Assessment practices should take into account any relevant lan</w:t>
            </w:r>
            <w:r w:rsidRPr="006E02B9">
              <w:t>guage or cultural issues related to Aboriginality, gender or language backgrounds other than English</w:t>
            </w:r>
          </w:p>
          <w:p w:rsidR="00000000" w:rsidRPr="006E02B9" w:rsidP="006E02B9">
            <w:pPr>
              <w:pStyle w:val="ListBullet"/>
            </w:pPr>
            <w:r w:rsidRPr="006E02B9">
              <w:t>Where the participant has a disability, reasonable adjustment may be applied during assessment</w:t>
            </w:r>
          </w:p>
          <w:p w:rsidR="00000000" w:rsidRPr="006E02B9" w:rsidP="006E02B9">
            <w:pPr>
              <w:pStyle w:val="ListBullet"/>
            </w:pPr>
            <w:r w:rsidRPr="006E02B9">
              <w:t xml:space="preserve">Language and literacy demands of the assessment task should </w:t>
            </w:r>
            <w:r w:rsidRPr="006E02B9">
              <w:t>not be higher than those of the work role</w:t>
            </w:r>
          </w:p>
        </w:tc>
      </w:tr>
    </w:tbl>
    <w:p w:rsidR="00CF23F0" w:rsidP="006E02B9">
      <w:pPr>
        <w:pStyle w:val="BodyText"/>
      </w:pPr>
    </w:p>
    <w:p w:rsidR="00CF23F0" w:rsidP="006E02B9">
      <w:pPr>
        <w:pStyle w:val="BodyText"/>
      </w:pPr>
    </w:p>
    <w:p w:rsidR="00000000" w:rsidRPr="006E02B9" w:rsidP="006E02B9">
      <w:pPr>
        <w:pStyle w:val="Heading1"/>
      </w:pPr>
      <w:bookmarkStart w:id="11" w:name="O_251429"/>
      <w:bookmarkEnd w:id="11"/>
      <w:r w:rsidRPr="006E02B9">
        <w:t>Range Statement</w:t>
      </w:r>
    </w:p>
    <w:tbl>
      <w:tblPr>
        <w:tblW w:w="0" w:type="auto"/>
        <w:tblLayout w:type="fixed"/>
        <w:tblCellMar>
          <w:left w:w="62" w:type="dxa"/>
          <w:right w:w="62" w:type="dxa"/>
        </w:tblCellMar>
        <w:tblLook w:val="0000"/>
      </w:tblPr>
      <w:tblGrid>
        <w:gridCol w:w="3537"/>
        <w:gridCol w:w="4985"/>
      </w:tblGrid>
      <w:tr w:rsidTr="00CF23F0">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rPr>
                <w:rStyle w:val="SpecialBold"/>
              </w:rPr>
              <w:t>RANGE STATEMENT</w:t>
            </w:r>
          </w:p>
        </w:tc>
      </w:tr>
      <w:tr w:rsidTr="00CF23F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t xml:space="preserve">The range statement relates to the unit of competency as a whole. It allows for different work environments and situations that may affect </w:t>
            </w:r>
            <w:r w:rsidRPr="006E02B9">
              <w:t>performance. Bold italicised wording, if used in the performance criteria, is detailed below. Essential operating conditions that may be present with training and assessment (depending on the work situation, needs of the candidate, accessibility of the ite</w:t>
            </w:r>
            <w:r w:rsidRPr="006E02B9">
              <w:t>m, and local industry and regional contexts) may also be included.</w:t>
            </w:r>
          </w:p>
        </w:tc>
      </w:tr>
      <w:tr w:rsidTr="00CF23F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rPr>
                <w:rStyle w:val="SpecialBold"/>
              </w:rPr>
              <w:t>OHS</w:t>
            </w:r>
            <w:r w:rsidRPr="006E02B9">
              <w:t xml:space="preserve"> </w:t>
            </w:r>
            <w:r w:rsidRPr="006E02B9">
              <w:rPr>
                <w:rStyle w:val="SpecialBold"/>
              </w:rPr>
              <w:t>requirements</w:t>
            </w:r>
            <w:r w:rsidRPr="006E02B9">
              <w:t>:</w:t>
            </w:r>
          </w:p>
        </w:tc>
        <w:tc>
          <w:tcPr>
            <w:tcW w:w="4985" w:type="dxa"/>
            <w:tcBorders>
              <w:top w:val="nil"/>
              <w:left w:val="nil"/>
              <w:bottom w:val="nil"/>
              <w:right w:val="nil"/>
            </w:tcBorders>
            <w:tcMar>
              <w:top w:w="0" w:type="dxa"/>
              <w:left w:w="62" w:type="dxa"/>
              <w:bottom w:w="0" w:type="dxa"/>
              <w:right w:w="62" w:type="dxa"/>
            </w:tcMar>
          </w:tcPr>
          <w:p w:rsidR="00000000" w:rsidRPr="006E02B9" w:rsidP="006E02B9">
            <w:pPr>
              <w:pStyle w:val="BodyText"/>
            </w:pPr>
            <w:r w:rsidRPr="006E02B9">
              <w:t>are to be in line with applicable Commonwealth, State or Territory legislation and regulations, and organisational safety policies and procedures, and may include:</w:t>
            </w:r>
          </w:p>
          <w:p w:rsidR="00000000" w:rsidRPr="006E02B9" w:rsidP="006E02B9">
            <w:pPr>
              <w:pStyle w:val="ListBullet"/>
            </w:pPr>
            <w:r w:rsidRPr="006E02B9">
              <w:t>pers</w:t>
            </w:r>
            <w:r w:rsidRPr="006E02B9">
              <w:t>onal protective equipment and clothing</w:t>
            </w:r>
          </w:p>
          <w:p w:rsidR="00000000" w:rsidRPr="006E02B9" w:rsidP="006E02B9">
            <w:pPr>
              <w:pStyle w:val="ListBullet"/>
            </w:pPr>
            <w:r w:rsidRPr="006E02B9">
              <w:t>safety equipment</w:t>
            </w:r>
          </w:p>
          <w:p w:rsidR="00000000" w:rsidRPr="006E02B9" w:rsidP="006E02B9">
            <w:pPr>
              <w:pStyle w:val="ListBullet"/>
            </w:pPr>
            <w:r w:rsidRPr="006E02B9">
              <w:t>first aid equipment</w:t>
            </w:r>
          </w:p>
          <w:p w:rsidR="00000000" w:rsidRPr="006E02B9" w:rsidP="006E02B9">
            <w:pPr>
              <w:pStyle w:val="ListBullet"/>
            </w:pPr>
            <w:r w:rsidRPr="006E02B9">
              <w:t>fire fighting equipment</w:t>
            </w:r>
          </w:p>
          <w:p w:rsidR="00000000" w:rsidRPr="006E02B9" w:rsidP="006E02B9">
            <w:pPr>
              <w:pStyle w:val="ListBullet"/>
            </w:pPr>
            <w:r w:rsidRPr="006E02B9">
              <w:t>hazard and risk control</w:t>
            </w:r>
          </w:p>
          <w:p w:rsidR="00000000" w:rsidRPr="006E02B9" w:rsidP="006E02B9">
            <w:pPr>
              <w:pStyle w:val="ListBullet"/>
            </w:pPr>
            <w:r w:rsidRPr="006E02B9">
              <w:t>fatigue management</w:t>
            </w:r>
          </w:p>
          <w:p w:rsidR="00000000" w:rsidRPr="006E02B9" w:rsidP="006E02B9">
            <w:pPr>
              <w:pStyle w:val="ListBullet"/>
            </w:pPr>
            <w:r w:rsidRPr="006E02B9">
              <w:t>elimination of hazardous materials and substances</w:t>
            </w:r>
          </w:p>
          <w:p w:rsidR="00000000" w:rsidRPr="006E02B9" w:rsidP="006E02B9">
            <w:pPr>
              <w:pStyle w:val="ListBullet"/>
            </w:pPr>
            <w:r w:rsidRPr="006E02B9">
              <w:t>safe forest practices including required actions relating to forest fire</w:t>
            </w:r>
          </w:p>
          <w:p w:rsidR="00000000" w:rsidP="006E02B9">
            <w:pPr>
              <w:pStyle w:val="ListBullet"/>
              <w:rPr>
                <w:lang w:val="en-NZ"/>
              </w:rPr>
            </w:pPr>
            <w:r w:rsidRPr="006E02B9">
              <w:t>manual handling including shifting, lifting and carrying</w:t>
            </w:r>
          </w:p>
        </w:tc>
      </w:tr>
      <w:tr w:rsidTr="00CF23F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rPr>
                <w:rStyle w:val="SpecialBold"/>
              </w:rPr>
              <w:t>Environmental requirements</w:t>
            </w:r>
            <w:r w:rsidRPr="006E02B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E02B9" w:rsidP="006E02B9">
            <w:pPr>
              <w:pStyle w:val="ListBullet"/>
            </w:pPr>
            <w:r w:rsidRPr="006E02B9">
              <w:t>legislation</w:t>
            </w:r>
          </w:p>
          <w:p w:rsidR="00000000" w:rsidRPr="006E02B9" w:rsidP="006E02B9">
            <w:pPr>
              <w:pStyle w:val="ListBullet"/>
            </w:pPr>
            <w:r w:rsidRPr="006E02B9">
              <w:t>organisational policies and procedures</w:t>
            </w:r>
          </w:p>
          <w:p w:rsidR="00000000" w:rsidP="006E02B9">
            <w:pPr>
              <w:pStyle w:val="ListBullet"/>
              <w:rPr>
                <w:lang w:val="en-NZ"/>
              </w:rPr>
            </w:pPr>
            <w:r w:rsidRPr="006E02B9">
              <w:t>workplace practices</w:t>
            </w:r>
          </w:p>
        </w:tc>
      </w:tr>
      <w:tr w:rsidTr="00CF23F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rPr>
                <w:rStyle w:val="SpecialBold"/>
              </w:rPr>
              <w:t xml:space="preserve">Legislative </w:t>
            </w:r>
            <w:r w:rsidRPr="006E02B9">
              <w:rPr>
                <w:rStyle w:val="SpecialBold"/>
              </w:rPr>
              <w:t>requirements</w:t>
            </w:r>
            <w:r w:rsidRPr="006E02B9">
              <w:t>:</w:t>
            </w:r>
          </w:p>
        </w:tc>
        <w:tc>
          <w:tcPr>
            <w:tcW w:w="4985" w:type="dxa"/>
            <w:tcBorders>
              <w:top w:val="nil"/>
              <w:left w:val="nil"/>
              <w:bottom w:val="nil"/>
              <w:right w:val="nil"/>
            </w:tcBorders>
            <w:tcMar>
              <w:top w:w="0" w:type="dxa"/>
              <w:left w:w="62" w:type="dxa"/>
              <w:bottom w:w="0" w:type="dxa"/>
              <w:right w:w="62" w:type="dxa"/>
            </w:tcMar>
          </w:tcPr>
          <w:p w:rsidR="00000000" w:rsidRPr="006E02B9" w:rsidP="006E02B9">
            <w:pPr>
              <w:pStyle w:val="BodyText"/>
            </w:pPr>
            <w:r w:rsidRPr="006E02B9">
              <w:t>are to be in line with applicable Commonwealth, State or Territory legislation, regulations, certification requirements and codes of practice and may include:</w:t>
            </w:r>
          </w:p>
          <w:p w:rsidR="00000000" w:rsidRPr="006E02B9" w:rsidP="006E02B9">
            <w:pPr>
              <w:pStyle w:val="ListBullet"/>
            </w:pPr>
            <w:r w:rsidRPr="006E02B9">
              <w:t>award and enterprise agreements</w:t>
            </w:r>
          </w:p>
          <w:p w:rsidR="00000000" w:rsidRPr="006E02B9" w:rsidP="006E02B9">
            <w:pPr>
              <w:pStyle w:val="ListBullet"/>
            </w:pPr>
            <w:r w:rsidRPr="006E02B9">
              <w:t>industrial relations</w:t>
            </w:r>
          </w:p>
          <w:p w:rsidR="00000000" w:rsidRPr="006E02B9" w:rsidP="006E02B9">
            <w:pPr>
              <w:pStyle w:val="ListBullet"/>
            </w:pPr>
            <w:r w:rsidRPr="006E02B9">
              <w:t>Australian Standards</w:t>
            </w:r>
          </w:p>
          <w:p w:rsidR="00000000" w:rsidRPr="006E02B9" w:rsidP="006E02B9">
            <w:pPr>
              <w:pStyle w:val="ListBullet"/>
            </w:pPr>
            <w:r w:rsidRPr="006E02B9">
              <w:t>confidentiality and privacy</w:t>
            </w:r>
          </w:p>
          <w:p w:rsidR="00000000" w:rsidRPr="006E02B9" w:rsidP="006E02B9">
            <w:pPr>
              <w:pStyle w:val="ListBullet"/>
            </w:pPr>
            <w:r w:rsidRPr="006E02B9">
              <w:t>OHS</w:t>
            </w:r>
          </w:p>
          <w:p w:rsidR="00000000" w:rsidRPr="006E02B9" w:rsidP="006E02B9">
            <w:pPr>
              <w:pStyle w:val="ListBullet"/>
            </w:pPr>
            <w:r w:rsidRPr="006E02B9">
              <w:t>the environment</w:t>
            </w:r>
          </w:p>
          <w:p w:rsidR="00000000" w:rsidRPr="006E02B9" w:rsidP="006E02B9">
            <w:pPr>
              <w:pStyle w:val="ListBullet"/>
            </w:pPr>
            <w:r w:rsidRPr="006E02B9">
              <w:t>equal opportunity</w:t>
            </w:r>
          </w:p>
          <w:p w:rsidR="00000000" w:rsidRPr="006E02B9" w:rsidP="006E02B9">
            <w:pPr>
              <w:pStyle w:val="ListBullet"/>
            </w:pPr>
            <w:r w:rsidRPr="006E02B9">
              <w:t>anti-discrimination</w:t>
            </w:r>
          </w:p>
          <w:p w:rsidR="00000000" w:rsidRPr="006E02B9" w:rsidP="006E02B9">
            <w:pPr>
              <w:pStyle w:val="ListBullet"/>
            </w:pPr>
            <w:r w:rsidRPr="006E02B9">
              <w:t>relevant industry codes of practice</w:t>
            </w:r>
          </w:p>
          <w:p w:rsidR="00000000" w:rsidP="006E02B9">
            <w:pPr>
              <w:pStyle w:val="ListBullet"/>
              <w:rPr>
                <w:lang w:val="en-NZ"/>
              </w:rPr>
            </w:pPr>
            <w:r w:rsidRPr="006E02B9">
              <w:t>duty of care</w:t>
            </w:r>
          </w:p>
        </w:tc>
      </w:tr>
      <w:tr w:rsidTr="00CF23F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rPr>
                <w:rStyle w:val="SpecialBold"/>
              </w:rPr>
              <w:t>Organisational</w:t>
            </w:r>
            <w:r w:rsidRPr="006E02B9">
              <w:t xml:space="preserve"> </w:t>
            </w:r>
            <w:r w:rsidRPr="006E02B9">
              <w:rPr>
                <w:rStyle w:val="SpecialBold"/>
              </w:rPr>
              <w:t>requirements</w:t>
            </w:r>
            <w:r w:rsidRPr="006E02B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E02B9" w:rsidP="006E02B9">
            <w:pPr>
              <w:pStyle w:val="ListBullet"/>
            </w:pPr>
            <w:r w:rsidRPr="006E02B9">
              <w:t xml:space="preserve">legal </w:t>
            </w:r>
          </w:p>
          <w:p w:rsidR="00000000" w:rsidRPr="006E02B9" w:rsidP="006E02B9">
            <w:pPr>
              <w:pStyle w:val="ListBullet"/>
            </w:pPr>
            <w:r w:rsidRPr="006E02B9">
              <w:t>organisational and site guidelines</w:t>
            </w:r>
          </w:p>
          <w:p w:rsidR="00000000" w:rsidRPr="006E02B9" w:rsidP="006E02B9">
            <w:pPr>
              <w:pStyle w:val="ListBullet"/>
            </w:pPr>
            <w:r w:rsidRPr="006E02B9">
              <w:t>policies and procedures relating to own role and responsibility</w:t>
            </w:r>
          </w:p>
          <w:p w:rsidR="00000000" w:rsidRPr="006E02B9" w:rsidP="006E02B9">
            <w:pPr>
              <w:pStyle w:val="ListBullet"/>
            </w:pPr>
            <w:r w:rsidRPr="006E02B9">
              <w:t>quality assurance</w:t>
            </w:r>
          </w:p>
          <w:p w:rsidR="00000000" w:rsidRPr="006E02B9" w:rsidP="006E02B9">
            <w:pPr>
              <w:pStyle w:val="ListBullet"/>
            </w:pPr>
            <w:r w:rsidRPr="006E02B9">
              <w:t>procedural manuals</w:t>
            </w:r>
          </w:p>
          <w:p w:rsidR="00000000" w:rsidRPr="006E02B9" w:rsidP="006E02B9">
            <w:pPr>
              <w:pStyle w:val="ListBullet"/>
            </w:pPr>
            <w:r w:rsidRPr="006E02B9">
              <w:t>quality and continuous improvement processes and standards</w:t>
            </w:r>
          </w:p>
          <w:p w:rsidR="00000000" w:rsidRPr="006E02B9" w:rsidP="006E02B9">
            <w:pPr>
              <w:pStyle w:val="ListBullet"/>
            </w:pPr>
            <w:r w:rsidRPr="006E02B9">
              <w:t>OHS, emergency and evacuation procedures</w:t>
            </w:r>
          </w:p>
          <w:p w:rsidR="00000000" w:rsidRPr="006E02B9" w:rsidP="006E02B9">
            <w:pPr>
              <w:pStyle w:val="ListBullet"/>
            </w:pPr>
            <w:r w:rsidRPr="006E02B9">
              <w:t>ethical standards</w:t>
            </w:r>
          </w:p>
          <w:p w:rsidR="00000000" w:rsidRPr="006E02B9" w:rsidP="006E02B9">
            <w:pPr>
              <w:pStyle w:val="ListBullet"/>
            </w:pPr>
            <w:r w:rsidRPr="006E02B9">
              <w:t>recording and reporting requirements</w:t>
            </w:r>
          </w:p>
          <w:p w:rsidR="00000000" w:rsidRPr="006E02B9" w:rsidP="006E02B9">
            <w:pPr>
              <w:pStyle w:val="ListBullet"/>
            </w:pPr>
            <w:r w:rsidRPr="006E02B9">
              <w:t>equipment use and maintenance and storage requirements</w:t>
            </w:r>
          </w:p>
          <w:p w:rsidR="00000000" w:rsidP="006E02B9">
            <w:pPr>
              <w:pStyle w:val="ListBullet"/>
              <w:rPr>
                <w:lang w:val="en-NZ"/>
              </w:rPr>
            </w:pPr>
            <w:r w:rsidRPr="006E02B9">
              <w:t>environmental management requirements (waste minimisation and disposal, recycling and re-use guidelines)</w:t>
            </w:r>
          </w:p>
        </w:tc>
      </w:tr>
      <w:tr w:rsidTr="00CF23F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rPr>
                <w:rStyle w:val="SpecialBold"/>
              </w:rPr>
              <w:t>Organisational requirements</w:t>
            </w:r>
            <w:r w:rsidRPr="006E02B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E02B9" w:rsidP="006E02B9">
            <w:pPr>
              <w:pStyle w:val="ListBullet"/>
            </w:pPr>
            <w:r w:rsidRPr="006E02B9">
              <w:t>legal, organisational and site guidelines</w:t>
            </w:r>
          </w:p>
          <w:p w:rsidR="00000000" w:rsidRPr="006E02B9" w:rsidP="006E02B9">
            <w:pPr>
              <w:pStyle w:val="ListBullet"/>
            </w:pPr>
            <w:r w:rsidRPr="006E02B9">
              <w:t>policies an</w:t>
            </w:r>
            <w:r w:rsidRPr="006E02B9">
              <w:t>d procedures relating to own role and responsibility</w:t>
            </w:r>
          </w:p>
          <w:p w:rsidR="00000000" w:rsidRPr="006E02B9" w:rsidP="006E02B9">
            <w:pPr>
              <w:pStyle w:val="ListBullet"/>
            </w:pPr>
            <w:r w:rsidRPr="006E02B9">
              <w:t>quality assurance</w:t>
            </w:r>
          </w:p>
          <w:p w:rsidR="00000000" w:rsidRPr="006E02B9" w:rsidP="006E02B9">
            <w:pPr>
              <w:pStyle w:val="ListBullet"/>
            </w:pPr>
            <w:r w:rsidRPr="006E02B9">
              <w:t>procedural manuals, quality and continuous improvement processes and standards</w:t>
            </w:r>
          </w:p>
          <w:p w:rsidR="00000000" w:rsidRPr="006E02B9" w:rsidP="006E02B9">
            <w:pPr>
              <w:pStyle w:val="ListBullet"/>
            </w:pPr>
            <w:r w:rsidRPr="006E02B9">
              <w:t>OHS, emergency and evacuation</w:t>
            </w:r>
          </w:p>
          <w:p w:rsidR="00000000" w:rsidRPr="006E02B9" w:rsidP="006E02B9">
            <w:pPr>
              <w:pStyle w:val="ListBullet"/>
            </w:pPr>
            <w:r w:rsidRPr="006E02B9">
              <w:t>ethical standards</w:t>
            </w:r>
          </w:p>
          <w:p w:rsidR="00000000" w:rsidRPr="006E02B9" w:rsidP="006E02B9">
            <w:pPr>
              <w:pStyle w:val="ListBullet"/>
            </w:pPr>
            <w:r w:rsidRPr="006E02B9">
              <w:t>recording and reporting</w:t>
            </w:r>
          </w:p>
          <w:p w:rsidR="00000000" w:rsidRPr="006E02B9" w:rsidP="006E02B9">
            <w:pPr>
              <w:pStyle w:val="ListBullet"/>
            </w:pPr>
            <w:r w:rsidRPr="006E02B9">
              <w:t>access and equity principles and practices</w:t>
            </w:r>
          </w:p>
          <w:p w:rsidR="00000000" w:rsidRPr="006E02B9" w:rsidP="006E02B9">
            <w:pPr>
              <w:pStyle w:val="ListBullet"/>
            </w:pPr>
            <w:r w:rsidRPr="006E02B9">
              <w:t>equipment use</w:t>
            </w:r>
          </w:p>
          <w:p w:rsidR="00000000" w:rsidRPr="006E02B9" w:rsidP="006E02B9">
            <w:pPr>
              <w:pStyle w:val="ListBullet"/>
            </w:pPr>
            <w:r w:rsidRPr="006E02B9">
              <w:t>maintenance and storage</w:t>
            </w:r>
          </w:p>
          <w:p w:rsidR="00000000" w:rsidP="006E02B9">
            <w:pPr>
              <w:pStyle w:val="ListBullet"/>
              <w:rPr>
                <w:lang w:val="en-NZ"/>
              </w:rPr>
            </w:pPr>
            <w:r w:rsidRPr="006E02B9">
              <w:t>environmental management (waste disposal, recycling and re-use guidelines)</w:t>
            </w:r>
          </w:p>
        </w:tc>
      </w:tr>
      <w:tr w:rsidTr="00CF23F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rPr>
                <w:rStyle w:val="SpecialBold"/>
              </w:rPr>
              <w:t>Design purpose</w:t>
            </w:r>
            <w:r w:rsidRPr="006E02B9">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6E02B9" w:rsidP="006E02B9">
            <w:pPr>
              <w:pStyle w:val="BodyText"/>
            </w:pPr>
            <w:r w:rsidRPr="006E02B9">
              <w:t>the process of applying:</w:t>
            </w:r>
          </w:p>
          <w:p w:rsidR="00000000" w:rsidRPr="006E02B9" w:rsidP="006E02B9">
            <w:pPr>
              <w:pStyle w:val="ListBullet"/>
            </w:pPr>
            <w:r w:rsidRPr="006E02B9">
              <w:t>problem solving skills</w:t>
            </w:r>
          </w:p>
          <w:p w:rsidR="00000000" w:rsidRPr="006E02B9" w:rsidP="006E02B9">
            <w:pPr>
              <w:pStyle w:val="ListBullet"/>
            </w:pPr>
            <w:r w:rsidRPr="006E02B9">
              <w:t>thought processes</w:t>
            </w:r>
          </w:p>
          <w:p w:rsidR="00000000" w:rsidRPr="006E02B9" w:rsidP="006E02B9">
            <w:pPr>
              <w:pStyle w:val="ListBullet"/>
            </w:pPr>
            <w:r w:rsidRPr="006E02B9">
              <w:t>cu</w:t>
            </w:r>
            <w:r w:rsidRPr="006E02B9">
              <w:t>ltural and demographic awareness</w:t>
            </w:r>
          </w:p>
          <w:p w:rsidR="00000000" w:rsidRPr="006E02B9" w:rsidP="006E02B9">
            <w:pPr>
              <w:pStyle w:val="ListBullet"/>
            </w:pPr>
            <w:r w:rsidRPr="006E02B9">
              <w:t>materials technology</w:t>
            </w:r>
          </w:p>
          <w:p w:rsidR="00000000" w:rsidRPr="006E02B9" w:rsidP="006E02B9">
            <w:pPr>
              <w:pStyle w:val="ListBullet"/>
            </w:pPr>
            <w:r w:rsidRPr="006E02B9">
              <w:t xml:space="preserve">conceptual development techniques </w:t>
            </w:r>
          </w:p>
          <w:p w:rsidR="00000000" w:rsidP="006E02B9">
            <w:pPr>
              <w:pStyle w:val="ListBullet"/>
              <w:rPr>
                <w:lang w:val="en-NZ"/>
              </w:rPr>
            </w:pPr>
            <w:r w:rsidRPr="006E02B9">
              <w:t>working with production limitations to determine and produce products or 3-D functional solutions</w:t>
            </w:r>
          </w:p>
        </w:tc>
      </w:tr>
      <w:tr w:rsidTr="00CF23F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rPr>
                <w:rStyle w:val="SpecialBold"/>
              </w:rPr>
              <w:t>Materials</w:t>
            </w:r>
            <w:r w:rsidRPr="006E02B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E02B9" w:rsidP="006E02B9">
            <w:pPr>
              <w:pStyle w:val="ListBullet"/>
            </w:pPr>
            <w:r w:rsidRPr="006E02B9">
              <w:t>native timber species</w:t>
            </w:r>
          </w:p>
          <w:p w:rsidR="00000000" w:rsidRPr="006E02B9" w:rsidP="006E02B9">
            <w:pPr>
              <w:pStyle w:val="ListBullet"/>
            </w:pPr>
            <w:r w:rsidRPr="006E02B9">
              <w:t>imported timber species</w:t>
            </w:r>
          </w:p>
          <w:p w:rsidR="00000000" w:rsidRPr="006E02B9" w:rsidP="006E02B9">
            <w:pPr>
              <w:pStyle w:val="ListBullet"/>
            </w:pPr>
            <w:r w:rsidRPr="006E02B9">
              <w:t>dressed timber</w:t>
            </w:r>
          </w:p>
          <w:p w:rsidR="00000000" w:rsidRPr="006E02B9" w:rsidP="006E02B9">
            <w:pPr>
              <w:pStyle w:val="ListBullet"/>
            </w:pPr>
            <w:r w:rsidRPr="006E02B9">
              <w:t>in-the-rough timber</w:t>
            </w:r>
          </w:p>
          <w:p w:rsidR="00000000" w:rsidRPr="006E02B9" w:rsidP="006E02B9">
            <w:pPr>
              <w:pStyle w:val="ListBullet"/>
            </w:pPr>
            <w:r w:rsidRPr="006E02B9">
              <w:t>stress and non-stress graded timber</w:t>
            </w:r>
          </w:p>
          <w:p w:rsidR="00000000" w:rsidRPr="006E02B9" w:rsidP="006E02B9">
            <w:pPr>
              <w:pStyle w:val="ListBullet"/>
            </w:pPr>
            <w:r w:rsidRPr="006E02B9">
              <w:t>preservative treated timber</w:t>
            </w:r>
          </w:p>
          <w:p w:rsidR="00000000" w:rsidRPr="006E02B9" w:rsidP="006E02B9">
            <w:pPr>
              <w:pStyle w:val="ListBullet"/>
            </w:pPr>
            <w:r w:rsidRPr="006E02B9">
              <w:t>medium density fibreboard</w:t>
            </w:r>
          </w:p>
          <w:p w:rsidR="00000000" w:rsidRPr="006E02B9" w:rsidP="006E02B9">
            <w:pPr>
              <w:pStyle w:val="ListBullet"/>
            </w:pPr>
            <w:r w:rsidRPr="006E02B9">
              <w:t>laminated veneer</w:t>
            </w:r>
          </w:p>
          <w:p w:rsidR="00000000" w:rsidRPr="006E02B9" w:rsidP="006E02B9">
            <w:pPr>
              <w:pStyle w:val="ListBullet"/>
            </w:pPr>
            <w:r w:rsidRPr="006E02B9">
              <w:t>chipboard</w:t>
            </w:r>
          </w:p>
          <w:p w:rsidR="00000000" w:rsidRPr="006E02B9" w:rsidP="006E02B9">
            <w:pPr>
              <w:pStyle w:val="ListBullet"/>
            </w:pPr>
            <w:r w:rsidRPr="006E02B9">
              <w:t>fibreboard and other manufactured board products</w:t>
            </w:r>
          </w:p>
          <w:p w:rsidR="00000000" w:rsidRPr="006E02B9" w:rsidP="006E02B9">
            <w:pPr>
              <w:pStyle w:val="ListBullet"/>
            </w:pPr>
            <w:r w:rsidRPr="006E02B9">
              <w:t>coated and/or treated timber pr</w:t>
            </w:r>
            <w:r w:rsidRPr="006E02B9">
              <w:t>oducts</w:t>
            </w:r>
          </w:p>
          <w:p w:rsidR="00000000" w:rsidP="006E02B9">
            <w:pPr>
              <w:pStyle w:val="ListBullet"/>
              <w:rPr>
                <w:lang w:val="en-NZ"/>
              </w:rPr>
            </w:pPr>
            <w:r w:rsidRPr="006E02B9">
              <w:t>beams or laminated beams</w:t>
            </w:r>
          </w:p>
        </w:tc>
      </w:tr>
      <w:tr w:rsidTr="00CF23F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rPr>
                <w:rStyle w:val="SpecialBold"/>
              </w:rPr>
              <w:t>Analysis</w:t>
            </w:r>
            <w:r w:rsidRPr="006E02B9">
              <w:t xml:space="preserve"> of production processes is to include: </w:t>
            </w:r>
          </w:p>
        </w:tc>
        <w:tc>
          <w:tcPr>
            <w:tcW w:w="4985" w:type="dxa"/>
            <w:tcBorders>
              <w:top w:val="nil"/>
              <w:left w:val="nil"/>
              <w:bottom w:val="nil"/>
              <w:right w:val="nil"/>
            </w:tcBorders>
            <w:tcMar>
              <w:top w:w="0" w:type="dxa"/>
              <w:left w:w="62" w:type="dxa"/>
              <w:bottom w:w="0" w:type="dxa"/>
              <w:right w:w="62" w:type="dxa"/>
            </w:tcMar>
          </w:tcPr>
          <w:p w:rsidR="00000000" w:rsidRPr="006E02B9" w:rsidP="006E02B9">
            <w:pPr>
              <w:pStyle w:val="ListBullet"/>
            </w:pPr>
            <w:r w:rsidRPr="006E02B9">
              <w:t>consideration of the impact on the environment</w:t>
            </w:r>
          </w:p>
          <w:p w:rsidR="00000000" w:rsidRPr="006E02B9" w:rsidP="006E02B9">
            <w:pPr>
              <w:pStyle w:val="ListBullet"/>
            </w:pPr>
            <w:r w:rsidRPr="006E02B9">
              <w:t>use of renewable energy</w:t>
            </w:r>
          </w:p>
          <w:p w:rsidR="00000000" w:rsidRPr="006E02B9" w:rsidP="006E02B9">
            <w:pPr>
              <w:pStyle w:val="ListBullet"/>
            </w:pPr>
            <w:r w:rsidRPr="006E02B9">
              <w:t>effective and efficient use of energy</w:t>
            </w:r>
          </w:p>
          <w:p w:rsidR="00000000" w:rsidP="006E02B9">
            <w:pPr>
              <w:pStyle w:val="ListBullet"/>
              <w:rPr>
                <w:lang w:val="en-NZ"/>
              </w:rPr>
            </w:pPr>
            <w:r w:rsidRPr="006E02B9">
              <w:t>effective and efficient use of material</w:t>
            </w:r>
          </w:p>
        </w:tc>
      </w:tr>
      <w:tr w:rsidTr="00CF23F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rPr>
                <w:rStyle w:val="SpecialBold"/>
              </w:rPr>
              <w:t>Communication</w:t>
            </w:r>
            <w:r w:rsidRPr="006E02B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E02B9" w:rsidP="006E02B9">
            <w:pPr>
              <w:pStyle w:val="ListBullet"/>
            </w:pPr>
            <w:r w:rsidRPr="006E02B9">
              <w:t>verbal and non-verbal language</w:t>
            </w:r>
          </w:p>
          <w:p w:rsidR="00000000" w:rsidRPr="006E02B9" w:rsidP="006E02B9">
            <w:pPr>
              <w:pStyle w:val="ListBullet"/>
            </w:pPr>
            <w:r w:rsidRPr="006E02B9">
              <w:t>constructive feedback</w:t>
            </w:r>
          </w:p>
          <w:p w:rsidR="00000000" w:rsidRPr="006E02B9" w:rsidP="006E02B9">
            <w:pPr>
              <w:pStyle w:val="ListBullet"/>
            </w:pPr>
            <w:r w:rsidRPr="006E02B9">
              <w:t>active listening</w:t>
            </w:r>
          </w:p>
          <w:p w:rsidR="00000000" w:rsidRPr="006E02B9" w:rsidP="006E02B9">
            <w:pPr>
              <w:pStyle w:val="ListBullet"/>
            </w:pPr>
            <w:r w:rsidRPr="006E02B9">
              <w:t>questioning to clarify and confirm understanding</w:t>
            </w:r>
          </w:p>
          <w:p w:rsidR="00000000" w:rsidRPr="006E02B9" w:rsidP="006E02B9">
            <w:pPr>
              <w:pStyle w:val="ListBullet"/>
            </w:pPr>
            <w:r w:rsidRPr="006E02B9">
              <w:t>use of positive, confident and cooperative language</w:t>
            </w:r>
          </w:p>
          <w:p w:rsidR="00000000" w:rsidRPr="006E02B9" w:rsidP="006E02B9">
            <w:pPr>
              <w:pStyle w:val="ListBullet"/>
            </w:pPr>
            <w:r w:rsidRPr="006E02B9">
              <w:t>use of language and concepts appropriate to individual social and cult</w:t>
            </w:r>
            <w:r w:rsidRPr="006E02B9">
              <w:t>ural differences</w:t>
            </w:r>
          </w:p>
          <w:p w:rsidR="00000000" w:rsidP="006E02B9">
            <w:pPr>
              <w:pStyle w:val="ListBullet"/>
              <w:rPr>
                <w:lang w:val="en-NZ"/>
              </w:rPr>
            </w:pPr>
            <w:r w:rsidRPr="006E02B9">
              <w:t>control of tone of voice and body language</w:t>
            </w:r>
          </w:p>
        </w:tc>
      </w:tr>
      <w:tr w:rsidTr="00CF23F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rPr>
                <w:rStyle w:val="SpecialBold"/>
              </w:rPr>
              <w:t>Criteria</w:t>
            </w:r>
            <w:r w:rsidRPr="006E02B9">
              <w:t xml:space="preserve"> </w:t>
            </w:r>
          </w:p>
        </w:tc>
        <w:tc>
          <w:tcPr>
            <w:tcW w:w="4985"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t>are a proforma for establishing the viability of any aspect of the design process and scoring that on a points system against set questions</w:t>
            </w:r>
          </w:p>
        </w:tc>
      </w:tr>
      <w:tr w:rsidTr="00CF23F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rPr>
                <w:rStyle w:val="SpecialBold"/>
              </w:rPr>
              <w:t>Functionality</w:t>
            </w:r>
          </w:p>
        </w:tc>
        <w:tc>
          <w:tcPr>
            <w:tcW w:w="4985"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t>is the process of assessing a design for its ease of use and application together with its relevance for the desired purpose</w:t>
            </w:r>
          </w:p>
        </w:tc>
      </w:tr>
      <w:tr w:rsidTr="00CF23F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rPr>
                <w:rStyle w:val="SpecialBold"/>
              </w:rPr>
              <w:t>Liability</w:t>
            </w:r>
            <w:r w:rsidRPr="006E02B9">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6E02B9" w:rsidP="006E02B9">
            <w:pPr>
              <w:pStyle w:val="BodyText"/>
            </w:pPr>
            <w:r w:rsidRPr="006E02B9">
              <w:t>assessing a design to ensure:</w:t>
            </w:r>
          </w:p>
          <w:p w:rsidR="00000000" w:rsidRPr="006E02B9" w:rsidP="006E02B9">
            <w:pPr>
              <w:pStyle w:val="ListBullet"/>
            </w:pPr>
            <w:r w:rsidRPr="006E02B9">
              <w:t>it will not cause danger to someone or something resulting in litigation a</w:t>
            </w:r>
            <w:r w:rsidRPr="006E02B9">
              <w:t>gainst the enterprise</w:t>
            </w:r>
          </w:p>
          <w:p w:rsidR="00000000" w:rsidP="006E02B9">
            <w:pPr>
              <w:pStyle w:val="ListBullet"/>
              <w:rPr>
                <w:lang w:val="en-NZ"/>
              </w:rPr>
            </w:pPr>
            <w:r w:rsidRPr="006E02B9">
              <w:t>its impact on the environment is minimised or off-set (where feasible)</w:t>
            </w:r>
          </w:p>
        </w:tc>
      </w:tr>
      <w:tr w:rsidTr="00CF23F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rPr>
                <w:rStyle w:val="SpecialBold"/>
              </w:rPr>
              <w:t>Marketability</w:t>
            </w:r>
            <w:r w:rsidRPr="006E02B9">
              <w:t xml:space="preserve"> </w:t>
            </w:r>
          </w:p>
        </w:tc>
        <w:tc>
          <w:tcPr>
            <w:tcW w:w="4985"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t>is the process of assessing the potential for sale of the product</w:t>
            </w:r>
          </w:p>
        </w:tc>
      </w:tr>
      <w:tr w:rsidTr="00CF23F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rPr>
                <w:rStyle w:val="SpecialBold"/>
              </w:rPr>
              <w:t>Appropriate personnel</w:t>
            </w:r>
            <w:r w:rsidRPr="006E02B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E02B9" w:rsidP="006E02B9">
            <w:pPr>
              <w:pStyle w:val="ListBullet"/>
            </w:pPr>
            <w:r w:rsidRPr="006E02B9">
              <w:t>supervisors</w:t>
            </w:r>
          </w:p>
          <w:p w:rsidR="00000000" w:rsidRPr="006E02B9" w:rsidP="006E02B9">
            <w:pPr>
              <w:pStyle w:val="ListBullet"/>
            </w:pPr>
            <w:r w:rsidRPr="006E02B9">
              <w:t>suppliers</w:t>
            </w:r>
          </w:p>
          <w:p w:rsidR="00000000" w:rsidRPr="006E02B9" w:rsidP="006E02B9">
            <w:pPr>
              <w:pStyle w:val="ListBullet"/>
            </w:pPr>
            <w:r w:rsidRPr="006E02B9">
              <w:t>clients</w:t>
            </w:r>
          </w:p>
          <w:p w:rsidR="00000000" w:rsidRPr="006E02B9" w:rsidP="006E02B9">
            <w:pPr>
              <w:pStyle w:val="ListBullet"/>
            </w:pPr>
            <w:r w:rsidRPr="006E02B9">
              <w:t xml:space="preserve">colleagues </w:t>
            </w:r>
          </w:p>
          <w:p w:rsidR="00000000" w:rsidP="006E02B9">
            <w:pPr>
              <w:pStyle w:val="ListBullet"/>
              <w:rPr>
                <w:lang w:val="en-NZ"/>
              </w:rPr>
            </w:pPr>
            <w:r w:rsidRPr="006E02B9">
              <w:t>managers</w:t>
            </w:r>
          </w:p>
        </w:tc>
      </w:tr>
      <w:tr w:rsidTr="00CF23F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rPr>
                <w:rStyle w:val="SpecialBold"/>
              </w:rPr>
              <w:t>Records and reports</w:t>
            </w:r>
            <w:r w:rsidRPr="006E02B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6E02B9" w:rsidP="006E02B9">
            <w:pPr>
              <w:pStyle w:val="ListBullet"/>
            </w:pPr>
            <w:r w:rsidRPr="006E02B9">
              <w:t>product type</w:t>
            </w:r>
          </w:p>
          <w:p w:rsidR="00000000" w:rsidRPr="006E02B9" w:rsidP="006E02B9">
            <w:pPr>
              <w:pStyle w:val="ListBullet"/>
            </w:pPr>
            <w:r w:rsidRPr="006E02B9">
              <w:t>size</w:t>
            </w:r>
          </w:p>
          <w:p w:rsidR="00000000" w:rsidRPr="006E02B9" w:rsidP="006E02B9">
            <w:pPr>
              <w:pStyle w:val="ListBullet"/>
            </w:pPr>
            <w:r w:rsidRPr="006E02B9">
              <w:t>inspection</w:t>
            </w:r>
          </w:p>
          <w:p w:rsidR="00000000" w:rsidRPr="006E02B9" w:rsidP="006E02B9">
            <w:pPr>
              <w:pStyle w:val="ListBullet"/>
            </w:pPr>
            <w:r w:rsidRPr="006E02B9">
              <w:t>grading and labelling outcomes</w:t>
            </w:r>
          </w:p>
          <w:p w:rsidR="00000000" w:rsidRPr="006E02B9" w:rsidP="006E02B9">
            <w:pPr>
              <w:pStyle w:val="ListBullet"/>
            </w:pPr>
            <w:r w:rsidRPr="006E02B9">
              <w:t>storage locations</w:t>
            </w:r>
          </w:p>
          <w:p w:rsidR="00000000" w:rsidRPr="006E02B9" w:rsidP="006E02B9">
            <w:pPr>
              <w:pStyle w:val="ListBullet"/>
            </w:pPr>
            <w:r w:rsidRPr="006E02B9">
              <w:t>quality outcomes</w:t>
            </w:r>
          </w:p>
          <w:p w:rsidR="00000000" w:rsidRPr="006E02B9" w:rsidP="006E02B9">
            <w:pPr>
              <w:pStyle w:val="ListBullet"/>
            </w:pPr>
            <w:r w:rsidRPr="006E02B9">
              <w:t>hazards</w:t>
            </w:r>
          </w:p>
          <w:p w:rsidR="00000000" w:rsidRPr="006E02B9" w:rsidP="006E02B9">
            <w:pPr>
              <w:pStyle w:val="ListBullet"/>
            </w:pPr>
            <w:r w:rsidRPr="006E02B9">
              <w:t>incidents or equipment malfunctions</w:t>
            </w:r>
          </w:p>
          <w:p w:rsidR="00000000" w:rsidRPr="006E02B9" w:rsidP="006E02B9">
            <w:pPr>
              <w:pStyle w:val="BodyText"/>
            </w:pPr>
            <w:r w:rsidRPr="006E02B9">
              <w:t>and may be:</w:t>
            </w:r>
          </w:p>
          <w:p w:rsidR="00000000" w:rsidRPr="006E02B9" w:rsidP="006E02B9">
            <w:pPr>
              <w:pStyle w:val="ListBullet"/>
            </w:pPr>
            <w:r w:rsidRPr="006E02B9">
              <w:t>manual</w:t>
            </w:r>
          </w:p>
          <w:p w:rsidR="00000000" w:rsidRPr="006E02B9" w:rsidP="006E02B9">
            <w:pPr>
              <w:pStyle w:val="ListBullet"/>
            </w:pPr>
            <w:r w:rsidRPr="006E02B9">
              <w:t xml:space="preserve">using a computer-based system or other appropriate organisational communication system </w:t>
            </w:r>
          </w:p>
        </w:tc>
      </w:tr>
    </w:tbl>
    <w:p w:rsidR="00CF23F0" w:rsidP="006E02B9">
      <w:pPr>
        <w:pStyle w:val="BodyText"/>
      </w:pPr>
    </w:p>
    <w:p w:rsidR="00CF23F0" w:rsidP="006E02B9">
      <w:pPr>
        <w:pStyle w:val="BodyText"/>
      </w:pPr>
    </w:p>
    <w:p w:rsidR="00000000" w:rsidRPr="006E02B9" w:rsidP="006E02B9">
      <w:pPr>
        <w:pStyle w:val="Heading1"/>
      </w:pPr>
      <w:bookmarkStart w:id="12" w:name="O_204301"/>
      <w:bookmarkEnd w:id="12"/>
      <w:r w:rsidRPr="006E02B9">
        <w:t>Unit Sector(s)</w:t>
      </w:r>
    </w:p>
    <w:tbl>
      <w:tblPr>
        <w:tblW w:w="0" w:type="auto"/>
        <w:tblLayout w:type="fixed"/>
        <w:tblCellMar>
          <w:left w:w="62" w:type="dxa"/>
          <w:right w:w="62" w:type="dxa"/>
        </w:tblCellMar>
        <w:tblLook w:val="0000"/>
      </w:tblPr>
      <w:tblGrid>
        <w:gridCol w:w="2632"/>
        <w:gridCol w:w="5890"/>
      </w:tblGrid>
      <w:tr w:rsidTr="00CF23F0">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6E02B9" w:rsidP="006E02B9">
            <w:pPr>
              <w:pStyle w:val="BodyText"/>
            </w:pPr>
            <w:r w:rsidRPr="006E02B9">
              <w:t>No sector assigned</w:t>
            </w:r>
          </w:p>
        </w:tc>
      </w:tr>
    </w:tbl>
    <w:p w:rsidR="00CF23F0" w:rsidP="006E02B9">
      <w:pPr>
        <w:pStyle w:val="BodyText"/>
      </w:pPr>
    </w:p>
    <w:p w:rsidR="00CF23F0" w:rsidP="006E02B9">
      <w:pPr>
        <w:pStyle w:val="BodyText"/>
      </w:pPr>
    </w:p>
    <w:p w:rsidR="00000000" w:rsidRPr="006E02B9" w:rsidP="006E02B9">
      <w:pPr>
        <w:pStyle w:val="Heading1"/>
      </w:pPr>
      <w:bookmarkStart w:id="13" w:name="O_204298"/>
      <w:bookmarkEnd w:id="13"/>
      <w:r w:rsidRPr="006E02B9">
        <w:t>Co-requisite units</w:t>
      </w:r>
    </w:p>
    <w:tbl>
      <w:tblPr>
        <w:tblW w:w="0" w:type="auto"/>
        <w:tblLayout w:type="fixed"/>
        <w:tblCellMar>
          <w:left w:w="62" w:type="dxa"/>
          <w:right w:w="62" w:type="dxa"/>
        </w:tblCellMar>
        <w:tblLook w:val="0000"/>
      </w:tblPr>
      <w:tblGrid>
        <w:gridCol w:w="2642"/>
        <w:gridCol w:w="2940"/>
        <w:gridCol w:w="2940"/>
      </w:tblGrid>
      <w:tr w:rsidTr="00CF23F0">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6E02B9">
            <w:pPr>
              <w:pStyle w:val="BodyText"/>
              <w:rPr>
                <w:lang w:val="en-NZ"/>
              </w:rPr>
            </w:pPr>
          </w:p>
        </w:tc>
      </w:tr>
      <w:tr w:rsidTr="00CF23F0">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p>
        </w:tc>
      </w:tr>
      <w:tr w:rsidTr="00CF23F0">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6E02B9" w:rsidP="006E02B9">
            <w:pPr>
              <w:pStyle w:val="BodyText"/>
            </w:pPr>
          </w:p>
        </w:tc>
      </w:tr>
    </w:tbl>
    <w:p w:rsidR="00CF23F0" w:rsidP="006E02B9">
      <w:pPr>
        <w:pStyle w:val="BodyText"/>
      </w:pPr>
    </w:p>
    <w:p w:rsidR="00CF23F0" w:rsidP="006E02B9">
      <w:pPr>
        <w:pStyle w:val="BodyText"/>
      </w:pPr>
    </w:p>
    <w:p w:rsidR="00000000" w:rsidRPr="006E02B9" w:rsidP="006E02B9">
      <w:pPr>
        <w:pStyle w:val="Heading1"/>
      </w:pPr>
      <w:bookmarkStart w:id="14" w:name="O_204300"/>
      <w:bookmarkEnd w:id="14"/>
      <w:r w:rsidRPr="006E02B9">
        <w:t>Competency field</w:t>
      </w:r>
    </w:p>
    <w:tbl>
      <w:tblPr>
        <w:tblW w:w="0" w:type="auto"/>
        <w:tblLayout w:type="fixed"/>
        <w:tblCellMar>
          <w:left w:w="62" w:type="dxa"/>
          <w:right w:w="62" w:type="dxa"/>
        </w:tblCellMar>
        <w:tblLook w:val="0000"/>
      </w:tblPr>
      <w:tblGrid>
        <w:gridCol w:w="2778"/>
        <w:gridCol w:w="5744"/>
      </w:tblGrid>
      <w:tr w:rsidTr="00CF23F0">
        <w:tblPrEx>
          <w:tblW w:w="0" w:type="auto"/>
          <w:tblLayout w:type="fixed"/>
          <w:tblCellMar>
            <w:left w:w="62" w:type="dxa"/>
            <w:right w:w="62" w:type="dxa"/>
          </w:tblCellMar>
          <w:tblLook w:val="0000"/>
        </w:tblPrEx>
        <w:trPr>
          <w:tblHeader/>
        </w:trPr>
        <w:tc>
          <w:tcPr>
            <w:tcW w:w="2778" w:type="dxa"/>
            <w:tcBorders>
              <w:top w:val="nil"/>
              <w:left w:val="nil"/>
              <w:bottom w:val="nil"/>
              <w:right w:val="nil"/>
            </w:tcBorders>
            <w:tcMar>
              <w:top w:w="0" w:type="dxa"/>
              <w:left w:w="62" w:type="dxa"/>
              <w:bottom w:w="0" w:type="dxa"/>
              <w:right w:w="62" w:type="dxa"/>
            </w:tcMar>
          </w:tcPr>
          <w:p w:rsidR="00000000" w:rsidP="006E02B9">
            <w:pPr>
              <w:pStyle w:val="BodyText"/>
              <w:rPr>
                <w:lang w:val="en-NZ"/>
              </w:rPr>
            </w:pPr>
            <w:r w:rsidRPr="006E02B9">
              <w:rPr>
                <w:rStyle w:val="SpecialBold"/>
              </w:rPr>
              <w:t>Competency field</w:t>
            </w:r>
          </w:p>
        </w:tc>
        <w:tc>
          <w:tcPr>
            <w:tcW w:w="5744" w:type="dxa"/>
            <w:tcBorders>
              <w:top w:val="nil"/>
              <w:left w:val="nil"/>
              <w:bottom w:val="nil"/>
              <w:right w:val="nil"/>
            </w:tcBorders>
            <w:tcMar>
              <w:top w:w="0" w:type="dxa"/>
              <w:left w:w="62" w:type="dxa"/>
              <w:bottom w:w="0" w:type="dxa"/>
              <w:right w:w="62" w:type="dxa"/>
            </w:tcMar>
          </w:tcPr>
          <w:p w:rsidR="00000000" w:rsidRPr="006E02B9" w:rsidP="006E02B9">
            <w:pPr>
              <w:pStyle w:val="BodyText"/>
            </w:pPr>
            <w:r w:rsidRPr="006E02B9">
              <w:t>Timber Manufactured Products and Timber Merchandising</w:t>
            </w:r>
          </w:p>
        </w:tc>
      </w:tr>
    </w:tbl>
    <w:p w:rsidR="00CF23F0" w:rsidP="006E02B9">
      <w:pPr>
        <w:pStyle w:val="BodyText"/>
      </w:pPr>
    </w:p>
    <w:p w:rsidR="00CF23F0" w:rsidP="006E02B9">
      <w:pPr>
        <w:pStyle w:val="BodyText"/>
      </w:pPr>
    </w:p>
    <w:p w:rsidR="00000000" w:rsidRPr="006E02B9" w:rsidP="006E02B9"/>
    <w:sectPr w:rsidSect="006E02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2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23F0" w:rsidP="00CF23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2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3F0" w:rsidP="006E02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F23F0" w:rsidP="006E02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CF23F0" w:rsidP="006E02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2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23F0" w:rsidP="00CF23F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2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3F0" w:rsidP="006E02B9">
    <w:pPr>
      <w:pStyle w:val="Header"/>
      <w:framePr w:wrap="around"/>
    </w:pPr>
    <w:r>
      <w:fldChar w:fldCharType="begin"/>
    </w:r>
    <w:r>
      <w:instrText xml:space="preserve"> TITLE   \* MERGEFORMAT </w:instrText>
    </w:r>
    <w:r>
      <w:fldChar w:fldCharType="separate"/>
    </w:r>
    <w:r>
      <w:t>FPITMM5201B Assess product feasibility of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F23F0" w:rsidP="006E02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4CF6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506F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2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02B9"/>
    <w:pPr>
      <w:spacing w:before="360" w:after="60"/>
      <w:outlineLvl w:val="0"/>
    </w:pPr>
    <w:rPr>
      <w:sz w:val="32"/>
    </w:rPr>
  </w:style>
  <w:style w:type="paragraph" w:styleId="Heading2">
    <w:name w:val="heading 2"/>
    <w:basedOn w:val="HeadingBase"/>
    <w:next w:val="BodyText"/>
    <w:link w:val="Heading2Char"/>
    <w:qFormat/>
    <w:rsid w:val="006E02B9"/>
    <w:pPr>
      <w:keepLines/>
      <w:spacing w:before="240" w:after="120"/>
      <w:outlineLvl w:val="1"/>
    </w:pPr>
    <w:rPr>
      <w:sz w:val="28"/>
      <w:szCs w:val="40"/>
    </w:rPr>
  </w:style>
  <w:style w:type="paragraph" w:styleId="Heading3">
    <w:name w:val="heading 3"/>
    <w:basedOn w:val="HeadingBase"/>
    <w:next w:val="BodyText"/>
    <w:link w:val="Heading3Char"/>
    <w:qFormat/>
    <w:rsid w:val="006E02B9"/>
    <w:pPr>
      <w:spacing w:before="180" w:after="120"/>
      <w:outlineLvl w:val="2"/>
    </w:pPr>
    <w:rPr>
      <w:spacing w:val="-10"/>
      <w:kern w:val="32"/>
    </w:rPr>
  </w:style>
  <w:style w:type="paragraph" w:styleId="Heading4">
    <w:name w:val="heading 4"/>
    <w:basedOn w:val="HeadingBase"/>
    <w:next w:val="BodyText"/>
    <w:link w:val="Heading4Char"/>
    <w:qFormat/>
    <w:rsid w:val="006E02B9"/>
    <w:pPr>
      <w:spacing w:before="160" w:after="120"/>
      <w:outlineLvl w:val="3"/>
    </w:pPr>
    <w:rPr>
      <w:sz w:val="22"/>
    </w:rPr>
  </w:style>
  <w:style w:type="paragraph" w:styleId="Heading5">
    <w:name w:val="heading 5"/>
    <w:basedOn w:val="HeadingBase"/>
    <w:next w:val="Normal"/>
    <w:link w:val="Heading5Char"/>
    <w:qFormat/>
    <w:rsid w:val="006E02B9"/>
    <w:pPr>
      <w:spacing w:before="80"/>
      <w:outlineLvl w:val="4"/>
    </w:pPr>
    <w:rPr>
      <w:color w:val="918585"/>
      <w:sz w:val="20"/>
    </w:rPr>
  </w:style>
  <w:style w:type="paragraph" w:styleId="Heading6">
    <w:name w:val="heading 6"/>
    <w:basedOn w:val="HeadingBase"/>
    <w:next w:val="Normal"/>
    <w:link w:val="Heading6Char"/>
    <w:qFormat/>
    <w:rsid w:val="006E02B9"/>
    <w:pPr>
      <w:spacing w:before="60"/>
      <w:outlineLvl w:val="5"/>
    </w:pPr>
    <w:rPr>
      <w:color w:val="918585"/>
      <w:sz w:val="20"/>
    </w:rPr>
  </w:style>
  <w:style w:type="paragraph" w:styleId="Heading7">
    <w:name w:val="heading 7"/>
    <w:basedOn w:val="Normal"/>
    <w:next w:val="Normal"/>
    <w:link w:val="Heading7Char"/>
    <w:qFormat/>
    <w:rsid w:val="006E02B9"/>
    <w:pPr>
      <w:ind w:left="720"/>
      <w:outlineLvl w:val="6"/>
    </w:pPr>
    <w:rPr>
      <w:i/>
    </w:rPr>
  </w:style>
  <w:style w:type="paragraph" w:styleId="Heading8">
    <w:name w:val="heading 8"/>
    <w:basedOn w:val="Normal"/>
    <w:next w:val="Normal"/>
    <w:link w:val="Heading8Char"/>
    <w:qFormat/>
    <w:rsid w:val="006E02B9"/>
    <w:pPr>
      <w:ind w:left="720"/>
      <w:outlineLvl w:val="7"/>
    </w:pPr>
    <w:rPr>
      <w:i/>
    </w:rPr>
  </w:style>
  <w:style w:type="paragraph" w:styleId="Heading9">
    <w:name w:val="heading 9"/>
    <w:basedOn w:val="Normal"/>
    <w:next w:val="Normal"/>
    <w:link w:val="Heading9Char"/>
    <w:qFormat/>
    <w:rsid w:val="006E02B9"/>
    <w:pPr>
      <w:ind w:left="720"/>
      <w:outlineLvl w:val="8"/>
    </w:pPr>
    <w:rPr>
      <w:i/>
    </w:rPr>
  </w:style>
  <w:style w:type="character" w:default="1" w:styleId="DefaultParagraphFont">
    <w:name w:val="Default Paragraph Font"/>
    <w:uiPriority w:val="1"/>
    <w:unhideWhenUsed/>
    <w:rsid w:val="006E02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02B9"/>
  </w:style>
  <w:style w:type="character" w:customStyle="1" w:styleId="Heading1Char">
    <w:name w:val="Heading 1 Char"/>
    <w:basedOn w:val="DefaultParagraphFont"/>
    <w:link w:val="Heading1"/>
    <w:rsid w:val="006E02B9"/>
    <w:rPr>
      <w:rFonts w:ascii="Times New Roman" w:eastAsia="Times New Roman" w:hAnsi="Times New Roman" w:cs="Times New Roman"/>
      <w:b/>
      <w:sz w:val="32"/>
      <w:szCs w:val="20"/>
      <w:lang w:eastAsia="en-US"/>
    </w:rPr>
  </w:style>
  <w:style w:type="paragraph" w:styleId="BodyText">
    <w:name w:val="Body Text"/>
    <w:basedOn w:val="Normal"/>
    <w:link w:val="BodyTextChar"/>
    <w:rsid w:val="006E02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02B9"/>
    <w:rPr>
      <w:rFonts w:ascii="Times New Roman" w:eastAsia="Times New Roman" w:hAnsi="Times New Roman" w:cs="Times New Roman"/>
      <w:sz w:val="24"/>
      <w:lang w:val="en-US" w:eastAsia="en-US"/>
    </w:rPr>
  </w:style>
  <w:style w:type="paragraph" w:styleId="Footer">
    <w:name w:val="footer"/>
    <w:basedOn w:val="Normal"/>
    <w:link w:val="FooterChar"/>
    <w:rsid w:val="006E02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02B9"/>
    <w:rPr>
      <w:rFonts w:ascii="Times New Roman" w:eastAsia="Times New Roman" w:hAnsi="Times New Roman" w:cs="Times New Roman"/>
      <w:sz w:val="16"/>
      <w:lang w:val="en-US" w:eastAsia="en-US"/>
    </w:rPr>
  </w:style>
  <w:style w:type="paragraph" w:styleId="List">
    <w:name w:val="List"/>
    <w:basedOn w:val="BodyText"/>
    <w:next w:val="BodyText"/>
    <w:rsid w:val="006E02B9"/>
    <w:pPr>
      <w:tabs>
        <w:tab w:val="left" w:pos="340"/>
      </w:tabs>
      <w:spacing w:before="60" w:after="60"/>
      <w:ind w:left="340" w:hanging="340"/>
    </w:pPr>
  </w:style>
  <w:style w:type="paragraph" w:styleId="ListBullet">
    <w:name w:val="List Bullet"/>
    <w:basedOn w:val="List"/>
    <w:rsid w:val="006E02B9"/>
    <w:pPr>
      <w:numPr>
        <w:numId w:val="13"/>
      </w:numPr>
      <w:tabs>
        <w:tab w:val="clear" w:pos="340"/>
      </w:tabs>
      <w:spacing w:before="40" w:after="40"/>
    </w:pPr>
  </w:style>
  <w:style w:type="character" w:customStyle="1" w:styleId="SpecialBold">
    <w:name w:val="Special Bold"/>
    <w:basedOn w:val="DefaultParagraphFont"/>
    <w:rsid w:val="006E02B9"/>
    <w:rPr>
      <w:b/>
      <w:spacing w:val="0"/>
    </w:rPr>
  </w:style>
  <w:style w:type="paragraph" w:styleId="Header">
    <w:name w:val="header"/>
    <w:basedOn w:val="Normal"/>
    <w:link w:val="HeaderChar"/>
    <w:rsid w:val="006E02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02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E02B9"/>
    <w:pPr>
      <w:spacing w:before="240" w:after="120"/>
      <w:outlineLvl w:val="0"/>
    </w:pPr>
    <w:rPr>
      <w:rFonts w:ascii="Times New Roman" w:hAnsi="Times New Roman"/>
      <w:b/>
      <w:sz w:val="28"/>
    </w:rPr>
  </w:style>
  <w:style w:type="paragraph" w:customStyle="1" w:styleId="AllowPageBreak">
    <w:name w:val="AllowPageBreak"/>
    <w:rsid w:val="006E02B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E02B9"/>
    <w:pPr>
      <w:tabs>
        <w:tab w:val="left" w:pos="680"/>
      </w:tabs>
      <w:spacing w:before="60" w:after="60"/>
      <w:ind w:left="680" w:hanging="340"/>
    </w:pPr>
  </w:style>
  <w:style w:type="paragraph" w:styleId="ListBullet3">
    <w:name w:val="List Bullet 3"/>
    <w:basedOn w:val="List3"/>
    <w:rsid w:val="006E02B9"/>
    <w:pPr>
      <w:numPr>
        <w:numId w:val="2"/>
      </w:numPr>
      <w:tabs>
        <w:tab w:val="clear" w:pos="1021"/>
      </w:tabs>
      <w:ind w:left="1037" w:hanging="357"/>
    </w:pPr>
  </w:style>
  <w:style w:type="character" w:customStyle="1" w:styleId="BoldandItalics">
    <w:name w:val="Bold and Italics"/>
    <w:qFormat/>
    <w:rsid w:val="006E02B9"/>
    <w:rPr>
      <w:b/>
      <w:i/>
      <w:u w:val="none"/>
    </w:rPr>
  </w:style>
  <w:style w:type="character" w:customStyle="1" w:styleId="Heading2Char">
    <w:name w:val="Heading 2 Char"/>
    <w:basedOn w:val="DefaultParagraphFont"/>
    <w:link w:val="Heading2"/>
    <w:rsid w:val="006E02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02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02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02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02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02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02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02B9"/>
    <w:rPr>
      <w:rFonts w:ascii="Courier New" w:eastAsia="Times New Roman" w:hAnsi="Courier New" w:cs="Times New Roman"/>
      <w:i/>
      <w:szCs w:val="20"/>
      <w:lang w:val="en-US" w:eastAsia="en-US"/>
    </w:rPr>
  </w:style>
  <w:style w:type="paragraph" w:customStyle="1" w:styleId="HeadingBase">
    <w:name w:val="Heading Base"/>
    <w:rsid w:val="006E02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02B9"/>
    <w:pPr>
      <w:tabs>
        <w:tab w:val="right" w:leader="dot" w:pos="9072"/>
      </w:tabs>
      <w:ind w:left="567"/>
    </w:pPr>
    <w:rPr>
      <w:szCs w:val="22"/>
    </w:rPr>
  </w:style>
  <w:style w:type="paragraph" w:customStyle="1" w:styleId="TOCBase">
    <w:name w:val="TOC Base"/>
    <w:rsid w:val="006E02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02B9"/>
    <w:pPr>
      <w:tabs>
        <w:tab w:val="right" w:leader="dot" w:pos="9072"/>
      </w:tabs>
      <w:spacing w:before="40" w:after="40"/>
      <w:ind w:left="284"/>
    </w:pPr>
    <w:rPr>
      <w:rFonts w:ascii="Times New Roman" w:hAnsi="Times New Roman"/>
    </w:rPr>
  </w:style>
  <w:style w:type="paragraph" w:styleId="TOC1">
    <w:name w:val="toc 1"/>
    <w:basedOn w:val="TOCBase"/>
    <w:next w:val="Normal"/>
    <w:rsid w:val="006E02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02B9"/>
    <w:pPr>
      <w:spacing w:before="5040"/>
      <w:jc w:val="center"/>
    </w:pPr>
    <w:rPr>
      <w:sz w:val="48"/>
      <w:szCs w:val="72"/>
      <w:lang w:val="en-US"/>
    </w:rPr>
  </w:style>
  <w:style w:type="character" w:customStyle="1" w:styleId="TitleChar">
    <w:name w:val="Title Char"/>
    <w:basedOn w:val="DefaultParagraphFont"/>
    <w:link w:val="Title"/>
    <w:rsid w:val="006E02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02B9"/>
    <w:pPr>
      <w:tabs>
        <w:tab w:val="left" w:pos="3600"/>
        <w:tab w:val="left" w:pos="3958"/>
      </w:tabs>
    </w:pPr>
  </w:style>
  <w:style w:type="paragraph" w:customStyle="1" w:styleId="Note">
    <w:name w:val="Note"/>
    <w:basedOn w:val="BodyText"/>
    <w:rsid w:val="006E02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02B9"/>
    <w:pPr>
      <w:framePr w:wrap="auto" w:hAnchor="text" w:y="6049"/>
    </w:pPr>
    <w:rPr>
      <w:color w:val="000000"/>
      <w:sz w:val="40"/>
    </w:rPr>
  </w:style>
  <w:style w:type="paragraph" w:customStyle="1" w:styleId="TOCTitle">
    <w:name w:val="TOCTitle"/>
    <w:basedOn w:val="Heading1"/>
    <w:rsid w:val="006E02B9"/>
    <w:pPr>
      <w:spacing w:after="240"/>
      <w:jc w:val="center"/>
      <w:outlineLvl w:val="9"/>
    </w:pPr>
    <w:rPr>
      <w:caps/>
    </w:rPr>
  </w:style>
  <w:style w:type="paragraph" w:customStyle="1" w:styleId="Version">
    <w:name w:val="Version"/>
    <w:rsid w:val="006E02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02B9"/>
    <w:pPr>
      <w:numPr>
        <w:numId w:val="14"/>
      </w:numPr>
      <w:tabs>
        <w:tab w:val="clear" w:pos="680"/>
      </w:tabs>
    </w:pPr>
  </w:style>
  <w:style w:type="paragraph" w:styleId="Index1">
    <w:name w:val="index 1"/>
    <w:basedOn w:val="Normal"/>
    <w:next w:val="Normal"/>
    <w:semiHidden/>
    <w:rsid w:val="006E02B9"/>
    <w:pPr>
      <w:keepNext w:val="0"/>
      <w:tabs>
        <w:tab w:val="right" w:pos="4176"/>
      </w:tabs>
      <w:ind w:left="198" w:hanging="198"/>
    </w:pPr>
    <w:rPr>
      <w:rFonts w:ascii="Garamond" w:hAnsi="Garamond"/>
    </w:rPr>
  </w:style>
  <w:style w:type="paragraph" w:styleId="IndexHeading">
    <w:name w:val="index heading"/>
    <w:basedOn w:val="Normal"/>
    <w:next w:val="Index1"/>
    <w:semiHidden/>
    <w:rsid w:val="006E02B9"/>
    <w:pPr>
      <w:spacing w:before="120" w:after="120"/>
    </w:pPr>
    <w:rPr>
      <w:rFonts w:ascii="Arial" w:hAnsi="Arial"/>
      <w:b/>
      <w:color w:val="918585"/>
      <w:sz w:val="24"/>
    </w:rPr>
  </w:style>
  <w:style w:type="paragraph" w:customStyle="1" w:styleId="Chapter">
    <w:name w:val="Chapter"/>
    <w:basedOn w:val="Normal"/>
    <w:rsid w:val="006E02B9"/>
    <w:pPr>
      <w:spacing w:before="240"/>
    </w:pPr>
    <w:rPr>
      <w:rFonts w:ascii="Times New Roman" w:hAnsi="Times New Roman"/>
      <w:smallCaps/>
      <w:spacing w:val="80"/>
      <w:sz w:val="28"/>
    </w:rPr>
  </w:style>
  <w:style w:type="paragraph" w:customStyle="1" w:styleId="InChapter">
    <w:name w:val="InChapter"/>
    <w:basedOn w:val="Heading3"/>
    <w:rsid w:val="006E02B9"/>
    <w:pPr>
      <w:spacing w:after="240"/>
      <w:outlineLvl w:val="9"/>
    </w:pPr>
    <w:rPr>
      <w:noProof/>
    </w:rPr>
  </w:style>
  <w:style w:type="paragraph" w:styleId="Index2">
    <w:name w:val="index 2"/>
    <w:basedOn w:val="Normal"/>
    <w:next w:val="Normal"/>
    <w:semiHidden/>
    <w:rsid w:val="006E02B9"/>
    <w:pPr>
      <w:tabs>
        <w:tab w:val="right" w:pos="4176"/>
      </w:tabs>
      <w:ind w:left="568" w:hanging="284"/>
    </w:pPr>
    <w:rPr>
      <w:rFonts w:ascii="Garamond" w:hAnsi="Garamond"/>
    </w:rPr>
  </w:style>
  <w:style w:type="paragraph" w:customStyle="1" w:styleId="Byline">
    <w:name w:val="Byline"/>
    <w:rsid w:val="006E02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02B9"/>
    <w:pPr>
      <w:tabs>
        <w:tab w:val="clear" w:pos="3600"/>
        <w:tab w:val="clear" w:pos="3958"/>
      </w:tabs>
      <w:jc w:val="right"/>
    </w:pPr>
  </w:style>
  <w:style w:type="character" w:styleId="Emphasis">
    <w:name w:val="Emphasis"/>
    <w:basedOn w:val="DefaultParagraphFont"/>
    <w:qFormat/>
    <w:rsid w:val="006E02B9"/>
    <w:rPr>
      <w:i/>
    </w:rPr>
  </w:style>
  <w:style w:type="paragraph" w:styleId="Caption">
    <w:name w:val="caption"/>
    <w:basedOn w:val="BodyText"/>
    <w:next w:val="Normal"/>
    <w:qFormat/>
    <w:rsid w:val="006E02B9"/>
    <w:pPr>
      <w:framePr w:w="2268" w:hSpace="181" w:vSpace="181" w:wrap="around" w:vAnchor="text" w:hAnchor="page" w:x="1135" w:y="285" w:anchorLock="1"/>
    </w:pPr>
    <w:rPr>
      <w:i/>
    </w:rPr>
  </w:style>
  <w:style w:type="paragraph" w:customStyle="1" w:styleId="MiniTOCTitle">
    <w:name w:val="MiniTOCTitle"/>
    <w:basedOn w:val="Heading4"/>
    <w:rsid w:val="006E02B9"/>
    <w:pPr>
      <w:spacing w:before="240"/>
      <w:outlineLvl w:val="9"/>
    </w:pPr>
    <w:rPr>
      <w:noProof/>
      <w:sz w:val="24"/>
    </w:rPr>
  </w:style>
  <w:style w:type="paragraph" w:customStyle="1" w:styleId="MiniTOCItem">
    <w:name w:val="MiniTOCItem"/>
    <w:basedOn w:val="ListBullet"/>
    <w:rsid w:val="006E02B9"/>
    <w:pPr>
      <w:numPr>
        <w:numId w:val="0"/>
      </w:numPr>
      <w:tabs>
        <w:tab w:val="right" w:leader="dot" w:pos="6521"/>
      </w:tabs>
      <w:spacing w:before="0" w:after="0"/>
    </w:pPr>
  </w:style>
  <w:style w:type="paragraph" w:customStyle="1" w:styleId="TOFTitle">
    <w:name w:val="TOFTitle"/>
    <w:basedOn w:val="TOCTitle"/>
    <w:rsid w:val="006E02B9"/>
  </w:style>
  <w:style w:type="paragraph" w:styleId="TableofFigures">
    <w:name w:val="table of figures"/>
    <w:basedOn w:val="Normal"/>
    <w:next w:val="Normal"/>
    <w:semiHidden/>
    <w:rsid w:val="006E02B9"/>
    <w:pPr>
      <w:tabs>
        <w:tab w:val="right" w:leader="dot" w:pos="9072"/>
      </w:tabs>
      <w:ind w:left="970" w:hanging="403"/>
    </w:pPr>
    <w:rPr>
      <w:rFonts w:ascii="Times New Roman" w:hAnsi="Times New Roman"/>
      <w:b/>
    </w:rPr>
  </w:style>
  <w:style w:type="paragraph" w:styleId="ListNumber">
    <w:name w:val="List Number"/>
    <w:basedOn w:val="List"/>
    <w:rsid w:val="006E02B9"/>
    <w:pPr>
      <w:numPr>
        <w:numId w:val="11"/>
      </w:numPr>
    </w:pPr>
  </w:style>
  <w:style w:type="character" w:customStyle="1" w:styleId="WingdingSymbols">
    <w:name w:val="Wingding Symbols"/>
    <w:rsid w:val="006E02B9"/>
    <w:rPr>
      <w:rFonts w:ascii="Wingdings" w:hAnsi="Wingdings"/>
    </w:rPr>
  </w:style>
  <w:style w:type="paragraph" w:customStyle="1" w:styleId="TableHeading">
    <w:name w:val="Table Heading"/>
    <w:basedOn w:val="HeadingBase"/>
    <w:rsid w:val="006E02B9"/>
    <w:pPr>
      <w:keepLines/>
      <w:pBdr>
        <w:bottom w:val="single" w:sz="6" w:space="1" w:color="918585"/>
      </w:pBdr>
      <w:spacing w:before="240"/>
    </w:pPr>
  </w:style>
  <w:style w:type="character" w:customStyle="1" w:styleId="HotSpot">
    <w:name w:val="HotSpot"/>
    <w:rsid w:val="006E02B9"/>
    <w:rPr>
      <w:color w:val="0033CC"/>
      <w:u w:val="none"/>
    </w:rPr>
  </w:style>
  <w:style w:type="paragraph" w:customStyle="1" w:styleId="BodyTextRight">
    <w:name w:val="Body Text Right"/>
    <w:basedOn w:val="BodyText"/>
    <w:rsid w:val="006E02B9"/>
    <w:pPr>
      <w:spacing w:before="0" w:after="0"/>
      <w:jc w:val="right"/>
    </w:pPr>
  </w:style>
  <w:style w:type="paragraph" w:styleId="Index3">
    <w:name w:val="index 3"/>
    <w:basedOn w:val="ListNumber2"/>
    <w:next w:val="Normal"/>
    <w:semiHidden/>
    <w:rsid w:val="006E02B9"/>
    <w:pPr>
      <w:numPr>
        <w:numId w:val="0"/>
      </w:numPr>
      <w:tabs>
        <w:tab w:val="right" w:leader="dot" w:pos="4176"/>
      </w:tabs>
    </w:pPr>
  </w:style>
  <w:style w:type="paragraph" w:styleId="ListNumber2">
    <w:name w:val="List Number 2"/>
    <w:basedOn w:val="List2"/>
    <w:rsid w:val="006E02B9"/>
    <w:pPr>
      <w:numPr>
        <w:numId w:val="10"/>
      </w:numPr>
      <w:tabs>
        <w:tab w:val="clear" w:pos="1060"/>
      </w:tabs>
    </w:pPr>
  </w:style>
  <w:style w:type="paragraph" w:customStyle="1" w:styleId="MarginNote">
    <w:name w:val="Margin Note"/>
    <w:basedOn w:val="BodyText"/>
    <w:rsid w:val="006E02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02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02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02B9"/>
    <w:rPr>
      <w:sz w:val="32"/>
    </w:rPr>
  </w:style>
  <w:style w:type="paragraph" w:customStyle="1" w:styleId="HeadingProcedure">
    <w:name w:val="Heading Procedure"/>
    <w:basedOn w:val="HeadingBase"/>
    <w:next w:val="Normal"/>
    <w:rsid w:val="006E02B9"/>
    <w:pPr>
      <w:tabs>
        <w:tab w:val="left" w:pos="0"/>
      </w:tabs>
      <w:spacing w:before="120" w:after="60"/>
    </w:pPr>
    <w:rPr>
      <w:i/>
      <w:color w:val="918585"/>
      <w:sz w:val="22"/>
    </w:rPr>
  </w:style>
  <w:style w:type="paragraph" w:customStyle="1" w:styleId="TableBodyText">
    <w:name w:val="Table Body Text"/>
    <w:basedOn w:val="BodyText"/>
    <w:rsid w:val="006E02B9"/>
    <w:pPr>
      <w:spacing w:before="60" w:after="60"/>
    </w:pPr>
  </w:style>
  <w:style w:type="paragraph" w:styleId="ListContinue">
    <w:name w:val="List Continue"/>
    <w:basedOn w:val="List"/>
    <w:rsid w:val="006E02B9"/>
    <w:pPr>
      <w:ind w:firstLine="0"/>
    </w:pPr>
  </w:style>
  <w:style w:type="paragraph" w:customStyle="1" w:styleId="ListNote">
    <w:name w:val="List Note"/>
    <w:basedOn w:val="List"/>
    <w:rsid w:val="006E02B9"/>
    <w:pPr>
      <w:pBdr>
        <w:top w:val="single" w:sz="6" w:space="2" w:color="918585"/>
        <w:bottom w:val="single" w:sz="6" w:space="2" w:color="918585"/>
      </w:pBdr>
      <w:tabs>
        <w:tab w:val="left" w:pos="1021"/>
      </w:tabs>
      <w:ind w:firstLine="0"/>
    </w:pPr>
  </w:style>
  <w:style w:type="paragraph" w:customStyle="1" w:styleId="Warning">
    <w:name w:val="Warning"/>
    <w:basedOn w:val="BodyText"/>
    <w:rsid w:val="006E02B9"/>
    <w:pPr>
      <w:shd w:val="clear" w:color="auto" w:fill="D9D9D9"/>
      <w:tabs>
        <w:tab w:val="left" w:pos="992"/>
      </w:tabs>
      <w:ind w:left="119" w:right="119"/>
    </w:pPr>
    <w:rPr>
      <w:sz w:val="20"/>
    </w:rPr>
  </w:style>
  <w:style w:type="paragraph" w:customStyle="1" w:styleId="MarginIcons">
    <w:name w:val="Margin Icons"/>
    <w:basedOn w:val="BodyText"/>
    <w:rsid w:val="006E02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02B9"/>
    <w:rPr>
      <w:rFonts w:ascii="Courier New" w:hAnsi="Courier New"/>
    </w:rPr>
  </w:style>
  <w:style w:type="paragraph" w:customStyle="1" w:styleId="NoteBullet">
    <w:name w:val="Note Bullet"/>
    <w:basedOn w:val="Note"/>
    <w:rsid w:val="006E02B9"/>
    <w:pPr>
      <w:tabs>
        <w:tab w:val="clear" w:pos="680"/>
      </w:tabs>
      <w:spacing w:before="60" w:after="60"/>
    </w:pPr>
  </w:style>
  <w:style w:type="paragraph" w:customStyle="1" w:styleId="SubHeading2">
    <w:name w:val="SubHeading2"/>
    <w:basedOn w:val="HeadingBase"/>
    <w:rsid w:val="006E02B9"/>
    <w:pPr>
      <w:spacing w:before="240" w:after="60"/>
    </w:pPr>
    <w:rPr>
      <w:sz w:val="20"/>
    </w:rPr>
  </w:style>
  <w:style w:type="paragraph" w:customStyle="1" w:styleId="SubHeading1">
    <w:name w:val="SubHeading1"/>
    <w:basedOn w:val="HeadingBase"/>
    <w:rsid w:val="006E02B9"/>
    <w:pPr>
      <w:spacing w:before="240" w:after="60"/>
    </w:pPr>
    <w:rPr>
      <w:color w:val="918585"/>
      <w:sz w:val="22"/>
    </w:rPr>
  </w:style>
  <w:style w:type="paragraph" w:customStyle="1" w:styleId="SideHeading">
    <w:name w:val="Side Heading"/>
    <w:basedOn w:val="HeadingBase"/>
    <w:rsid w:val="006E02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02B9"/>
    <w:pPr>
      <w:numPr>
        <w:numId w:val="12"/>
      </w:numPr>
    </w:pPr>
  </w:style>
  <w:style w:type="paragraph" w:styleId="PlainText">
    <w:name w:val="Plain Text"/>
    <w:basedOn w:val="Normal"/>
    <w:link w:val="PlainTextChar"/>
    <w:rsid w:val="006E02B9"/>
    <w:rPr>
      <w:sz w:val="20"/>
    </w:rPr>
  </w:style>
  <w:style w:type="character" w:customStyle="1" w:styleId="PlainTextChar">
    <w:name w:val="Plain Text Char"/>
    <w:basedOn w:val="DefaultParagraphFont"/>
    <w:link w:val="PlainText"/>
    <w:rsid w:val="006E02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E02B9"/>
    <w:rPr>
      <w:b/>
      <w:smallCaps/>
    </w:rPr>
  </w:style>
  <w:style w:type="paragraph" w:customStyle="1" w:styleId="TableListNumber">
    <w:name w:val="Table List Number"/>
    <w:basedOn w:val="ListNumber"/>
    <w:rsid w:val="006E02B9"/>
    <w:pPr>
      <w:numPr>
        <w:numId w:val="0"/>
      </w:numPr>
    </w:pPr>
  </w:style>
  <w:style w:type="paragraph" w:styleId="TOC4">
    <w:name w:val="toc 4"/>
    <w:basedOn w:val="TOCBase"/>
    <w:next w:val="Normal"/>
    <w:semiHidden/>
    <w:rsid w:val="006E02B9"/>
    <w:pPr>
      <w:tabs>
        <w:tab w:val="right" w:leader="dot" w:pos="9071"/>
      </w:tabs>
      <w:ind w:left="1701"/>
    </w:pPr>
  </w:style>
  <w:style w:type="paragraph" w:customStyle="1" w:styleId="ListAlpha">
    <w:name w:val="List Alpha"/>
    <w:basedOn w:val="List"/>
    <w:rsid w:val="006E02B9"/>
    <w:pPr>
      <w:numPr>
        <w:numId w:val="9"/>
      </w:numPr>
    </w:pPr>
  </w:style>
  <w:style w:type="paragraph" w:customStyle="1" w:styleId="ListAlpha2">
    <w:name w:val="List Alpha 2"/>
    <w:basedOn w:val="List2"/>
    <w:rsid w:val="006E02B9"/>
    <w:pPr>
      <w:numPr>
        <w:numId w:val="8"/>
      </w:numPr>
    </w:pPr>
  </w:style>
  <w:style w:type="paragraph" w:styleId="List3">
    <w:name w:val="List 3"/>
    <w:basedOn w:val="BodyText"/>
    <w:rsid w:val="006E02B9"/>
    <w:pPr>
      <w:tabs>
        <w:tab w:val="left" w:pos="1021"/>
      </w:tabs>
      <w:spacing w:before="60" w:after="60"/>
      <w:ind w:left="1020" w:hanging="340"/>
    </w:pPr>
  </w:style>
  <w:style w:type="paragraph" w:styleId="List4">
    <w:name w:val="List 4"/>
    <w:basedOn w:val="BodyText"/>
    <w:rsid w:val="006E02B9"/>
    <w:pPr>
      <w:tabs>
        <w:tab w:val="left" w:pos="1361"/>
      </w:tabs>
      <w:spacing w:before="60" w:after="60"/>
      <w:ind w:left="1361" w:hanging="340"/>
    </w:pPr>
  </w:style>
  <w:style w:type="paragraph" w:styleId="List5">
    <w:name w:val="List 5"/>
    <w:basedOn w:val="BodyText"/>
    <w:rsid w:val="006E02B9"/>
    <w:pPr>
      <w:tabs>
        <w:tab w:val="left" w:pos="1701"/>
      </w:tabs>
      <w:spacing w:before="60" w:after="60"/>
      <w:ind w:left="1701" w:hanging="340"/>
    </w:pPr>
  </w:style>
  <w:style w:type="paragraph" w:styleId="ListBullet4">
    <w:name w:val="List Bullet 4"/>
    <w:basedOn w:val="List4"/>
    <w:rsid w:val="006E02B9"/>
    <w:pPr>
      <w:numPr>
        <w:numId w:val="3"/>
      </w:numPr>
    </w:pPr>
  </w:style>
  <w:style w:type="paragraph" w:styleId="ListBullet5">
    <w:name w:val="List Bullet 5"/>
    <w:basedOn w:val="List5"/>
    <w:rsid w:val="006E02B9"/>
    <w:pPr>
      <w:numPr>
        <w:numId w:val="4"/>
      </w:numPr>
    </w:pPr>
  </w:style>
  <w:style w:type="paragraph" w:styleId="ListContinue2">
    <w:name w:val="List Continue 2"/>
    <w:basedOn w:val="List2"/>
    <w:rsid w:val="006E02B9"/>
    <w:pPr>
      <w:ind w:firstLine="0"/>
    </w:pPr>
  </w:style>
  <w:style w:type="paragraph" w:styleId="ListContinue3">
    <w:name w:val="List Continue 3"/>
    <w:basedOn w:val="List3"/>
    <w:rsid w:val="006E02B9"/>
    <w:pPr>
      <w:ind w:left="1021" w:firstLine="0"/>
    </w:pPr>
  </w:style>
  <w:style w:type="paragraph" w:styleId="ListContinue4">
    <w:name w:val="List Continue 4"/>
    <w:basedOn w:val="List4"/>
    <w:rsid w:val="006E02B9"/>
    <w:pPr>
      <w:ind w:firstLine="0"/>
    </w:pPr>
  </w:style>
  <w:style w:type="paragraph" w:styleId="ListContinue5">
    <w:name w:val="List Continue 5"/>
    <w:basedOn w:val="List5"/>
    <w:rsid w:val="006E02B9"/>
    <w:pPr>
      <w:ind w:firstLine="0"/>
    </w:pPr>
  </w:style>
  <w:style w:type="paragraph" w:styleId="ListNumber3">
    <w:name w:val="List Number 3"/>
    <w:basedOn w:val="List3"/>
    <w:rsid w:val="006E02B9"/>
    <w:pPr>
      <w:numPr>
        <w:numId w:val="5"/>
      </w:numPr>
    </w:pPr>
  </w:style>
  <w:style w:type="paragraph" w:styleId="ListNumber4">
    <w:name w:val="List Number 4"/>
    <w:basedOn w:val="List4"/>
    <w:rsid w:val="006E02B9"/>
    <w:pPr>
      <w:numPr>
        <w:numId w:val="6"/>
      </w:numPr>
    </w:pPr>
  </w:style>
  <w:style w:type="paragraph" w:styleId="ListNumber5">
    <w:name w:val="List Number 5"/>
    <w:basedOn w:val="List5"/>
    <w:rsid w:val="006E02B9"/>
    <w:pPr>
      <w:numPr>
        <w:numId w:val="7"/>
      </w:numPr>
    </w:pPr>
  </w:style>
  <w:style w:type="paragraph" w:styleId="BlockText">
    <w:name w:val="Block Text"/>
    <w:basedOn w:val="Normal"/>
    <w:rsid w:val="006E02B9"/>
    <w:pPr>
      <w:spacing w:after="120"/>
      <w:ind w:left="1440" w:right="1440"/>
    </w:pPr>
  </w:style>
  <w:style w:type="character" w:customStyle="1" w:styleId="Subscript">
    <w:name w:val="Subscript"/>
    <w:basedOn w:val="DefaultParagraphFont"/>
    <w:rsid w:val="006E02B9"/>
    <w:rPr>
      <w:sz w:val="16"/>
      <w:vertAlign w:val="subscript"/>
    </w:rPr>
  </w:style>
  <w:style w:type="character" w:customStyle="1" w:styleId="Superscript">
    <w:name w:val="Superscript"/>
    <w:basedOn w:val="DefaultParagraphFont"/>
    <w:rsid w:val="006E02B9"/>
    <w:rPr>
      <w:sz w:val="16"/>
      <w:vertAlign w:val="superscript"/>
    </w:rPr>
  </w:style>
  <w:style w:type="character" w:customStyle="1" w:styleId="Symbols">
    <w:name w:val="Symbols"/>
    <w:basedOn w:val="DefaultParagraphFont"/>
    <w:rsid w:val="006E02B9"/>
    <w:rPr>
      <w:rFonts w:ascii="Symbol" w:hAnsi="Symbol"/>
    </w:rPr>
  </w:style>
  <w:style w:type="character" w:customStyle="1" w:styleId="MenuOptions">
    <w:name w:val="Menu Options"/>
    <w:basedOn w:val="DefaultParagraphFont"/>
    <w:rsid w:val="006E02B9"/>
    <w:rPr>
      <w:rFonts w:ascii="Arial Narrow" w:hAnsi="Arial Narrow"/>
      <w:smallCaps/>
    </w:rPr>
  </w:style>
  <w:style w:type="character" w:customStyle="1" w:styleId="Buttons">
    <w:name w:val="Buttons"/>
    <w:basedOn w:val="DefaultParagraphFont"/>
    <w:rsid w:val="006E02B9"/>
    <w:rPr>
      <w:b/>
    </w:rPr>
  </w:style>
  <w:style w:type="character" w:customStyle="1" w:styleId="Underlined">
    <w:name w:val="Underlined"/>
    <w:basedOn w:val="DefaultParagraphFont"/>
    <w:rsid w:val="006E02B9"/>
    <w:rPr>
      <w:u w:val="single"/>
    </w:rPr>
  </w:style>
  <w:style w:type="paragraph" w:customStyle="1" w:styleId="TableBodyTextRight">
    <w:name w:val="Table Body Text Right"/>
    <w:basedOn w:val="TableBodyText"/>
    <w:rsid w:val="006E02B9"/>
    <w:pPr>
      <w:widowControl w:val="0"/>
      <w:autoSpaceDE w:val="0"/>
      <w:autoSpaceDN w:val="0"/>
      <w:adjustRightInd w:val="0"/>
      <w:jc w:val="right"/>
    </w:pPr>
    <w:rPr>
      <w:rFonts w:cs="Arial"/>
      <w:szCs w:val="18"/>
    </w:rPr>
  </w:style>
  <w:style w:type="paragraph" w:customStyle="1" w:styleId="CopyrightText">
    <w:name w:val="Copyright Text"/>
    <w:basedOn w:val="BodyText"/>
    <w:rsid w:val="006E02B9"/>
    <w:rPr>
      <w:sz w:val="18"/>
    </w:rPr>
  </w:style>
  <w:style w:type="paragraph" w:customStyle="1" w:styleId="BodySmallRight">
    <w:name w:val="Body Small Right"/>
    <w:basedOn w:val="BodyTextRight"/>
    <w:rsid w:val="006E02B9"/>
    <w:rPr>
      <w:sz w:val="18"/>
      <w:szCs w:val="18"/>
    </w:rPr>
  </w:style>
  <w:style w:type="paragraph" w:customStyle="1" w:styleId="MarginEdition">
    <w:name w:val="Margin Edition"/>
    <w:basedOn w:val="MarginNote"/>
    <w:rsid w:val="006E02B9"/>
    <w:pPr>
      <w:spacing w:before="0" w:after="0"/>
    </w:pPr>
    <w:rPr>
      <w:rFonts w:ascii="Times New Roman" w:hAnsi="Times New Roman"/>
      <w:color w:val="999999"/>
    </w:rPr>
  </w:style>
  <w:style w:type="paragraph" w:customStyle="1" w:styleId="Spacer">
    <w:name w:val="Spacer"/>
    <w:basedOn w:val="Normal"/>
    <w:rsid w:val="006E02B9"/>
    <w:rPr>
      <w:sz w:val="2"/>
      <w:szCs w:val="2"/>
    </w:rPr>
  </w:style>
  <w:style w:type="character" w:customStyle="1" w:styleId="Small">
    <w:name w:val="Small"/>
    <w:basedOn w:val="DefaultParagraphFont"/>
    <w:rsid w:val="006E02B9"/>
    <w:rPr>
      <w:sz w:val="16"/>
    </w:rPr>
  </w:style>
  <w:style w:type="paragraph" w:customStyle="1" w:styleId="WideTable">
    <w:name w:val="Wide Table"/>
    <w:basedOn w:val="Normal"/>
    <w:rsid w:val="006E02B9"/>
    <w:pPr>
      <w:ind w:left="-1418"/>
    </w:pPr>
    <w:rPr>
      <w:sz w:val="2"/>
      <w:szCs w:val="2"/>
    </w:rPr>
  </w:style>
  <w:style w:type="character" w:styleId="PageNumber">
    <w:name w:val="page number"/>
    <w:basedOn w:val="DefaultParagraphFont"/>
    <w:rsid w:val="006E02B9"/>
  </w:style>
  <w:style w:type="paragraph" w:styleId="Quote">
    <w:name w:val="Quote"/>
    <w:basedOn w:val="Heading1"/>
    <w:link w:val="QuoteChar"/>
    <w:qFormat/>
    <w:rsid w:val="006E02B9"/>
    <w:rPr>
      <w:b w:val="0"/>
      <w:sz w:val="72"/>
      <w:szCs w:val="72"/>
      <w:lang w:val="en-NZ"/>
    </w:rPr>
  </w:style>
  <w:style w:type="character" w:customStyle="1" w:styleId="QuoteChar">
    <w:name w:val="Quote Char"/>
    <w:basedOn w:val="DefaultParagraphFont"/>
    <w:link w:val="Quote"/>
    <w:rsid w:val="006E02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02B9"/>
    <w:pPr>
      <w:pageBreakBefore/>
    </w:pPr>
  </w:style>
  <w:style w:type="paragraph" w:customStyle="1" w:styleId="Border">
    <w:name w:val="Border"/>
    <w:basedOn w:val="Normal"/>
    <w:qFormat/>
    <w:rsid w:val="006E02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02B9"/>
    <w:rPr>
      <w:b/>
      <w:bCs/>
      <w:i/>
      <w:iCs/>
      <w:color w:val="auto"/>
    </w:rPr>
  </w:style>
  <w:style w:type="paragraph" w:styleId="IntenseQuote">
    <w:name w:val="Intense Quote"/>
    <w:basedOn w:val="Normal"/>
    <w:next w:val="Normal"/>
    <w:link w:val="IntenseQuoteChar"/>
    <w:uiPriority w:val="30"/>
    <w:qFormat/>
    <w:rsid w:val="006E02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02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E02B9"/>
    <w:rPr>
      <w:smallCaps/>
      <w:color w:val="auto"/>
      <w:u w:val="single"/>
    </w:rPr>
  </w:style>
  <w:style w:type="character" w:styleId="IntenseReference">
    <w:name w:val="Intense Reference"/>
    <w:basedOn w:val="DefaultParagraphFont"/>
    <w:uiPriority w:val="32"/>
    <w:qFormat/>
    <w:rsid w:val="006E02B9"/>
    <w:rPr>
      <w:b/>
      <w:bCs/>
      <w:smallCaps/>
      <w:color w:val="auto"/>
      <w:spacing w:val="5"/>
      <w:u w:val="single"/>
    </w:rPr>
  </w:style>
  <w:style w:type="paragraph" w:customStyle="1" w:styleId="2ColumnHeading">
    <w:name w:val="2Column Heading"/>
    <w:basedOn w:val="BodyText"/>
    <w:qFormat/>
    <w:rsid w:val="006E02B9"/>
    <w:pPr>
      <w:spacing w:after="60"/>
      <w:ind w:left="-2268"/>
    </w:pPr>
    <w:rPr>
      <w:b/>
    </w:rPr>
  </w:style>
  <w:style w:type="paragraph" w:customStyle="1" w:styleId="Heading1TOC">
    <w:name w:val="Heading1 TOC"/>
    <w:basedOn w:val="Normal"/>
    <w:qFormat/>
    <w:rsid w:val="006E02B9"/>
    <w:pPr>
      <w:spacing w:before="240" w:after="120"/>
    </w:pPr>
    <w:rPr>
      <w:rFonts w:ascii="Times New Roman" w:hAnsi="Times New Roman"/>
      <w:b/>
      <w:sz w:val="32"/>
    </w:rPr>
  </w:style>
  <w:style w:type="paragraph" w:customStyle="1" w:styleId="Heading2TOC">
    <w:name w:val="Heading2 TOC"/>
    <w:basedOn w:val="Normal"/>
    <w:qFormat/>
    <w:rsid w:val="006E02B9"/>
    <w:pPr>
      <w:spacing w:before="240" w:after="60"/>
    </w:pPr>
    <w:rPr>
      <w:rFonts w:ascii="Times New Roman" w:hAnsi="Times New Roman"/>
      <w:b/>
      <w:sz w:val="28"/>
    </w:rPr>
  </w:style>
  <w:style w:type="character" w:customStyle="1" w:styleId="Underline">
    <w:name w:val="Underline"/>
    <w:basedOn w:val="DefaultParagraphFont"/>
    <w:qFormat/>
    <w:rsid w:val="006E02B9"/>
    <w:rPr>
      <w:u w:val="single"/>
    </w:rPr>
  </w:style>
  <w:style w:type="paragraph" w:styleId="BalloonText">
    <w:name w:val="Balloon Text"/>
    <w:basedOn w:val="Normal"/>
    <w:link w:val="BalloonTextChar"/>
    <w:rsid w:val="006E02B9"/>
    <w:rPr>
      <w:rFonts w:ascii="Tahoma" w:hAnsi="Tahoma" w:cs="Tahoma"/>
      <w:sz w:val="16"/>
      <w:szCs w:val="16"/>
    </w:rPr>
  </w:style>
  <w:style w:type="character" w:customStyle="1" w:styleId="BalloonTextChar">
    <w:name w:val="Balloon Text Char"/>
    <w:basedOn w:val="DefaultParagraphFont"/>
    <w:link w:val="BalloonText"/>
    <w:rsid w:val="006E02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02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02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1814</Words>
  <Characters>11769</Characters>
  <Application>Microsoft Office Word</Application>
  <DocSecurity>0</DocSecurity>
  <Lines>422</Lines>
  <Paragraphs>232</Paragraphs>
  <ScaleCrop>false</ScaleCrop>
  <Company>Author-it Software Corporation Ltd.</Company>
  <LinksUpToDate>false</LinksUpToDate>
  <CharactersWithSpaces>13500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FPITMM5201B Assess product feasibility of designs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2012-05-26T07:19:00Z</dcterms:created>
  <dcterms:modified xsi:type="dcterms:W3CDTF">2012-05-26T07:19:00Z</dcterms:modified>
</cp:coreProperties>
</file>