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C5C" w:rsidP="00FD4C5C">
      <w:pPr>
        <w:pStyle w:val="Title"/>
      </w:pPr>
      <w:r>
        <w:fldChar w:fldCharType="begin"/>
      </w:r>
      <w:r>
        <w:instrText xml:space="preserve"> TITLE   \* MERGEFORMAT </w:instrText>
      </w:r>
      <w:r>
        <w:fldChar w:fldCharType="separate"/>
      </w:r>
      <w:r>
        <w:t>FPISAW4204B Plan and monitor board conversion</w:t>
      </w:r>
      <w:r>
        <w:fldChar w:fldCharType="end"/>
      </w:r>
    </w:p>
    <w:p w:rsidR="00FD4C5C" w:rsidP="00FD4C5C">
      <w:pPr>
        <w:pStyle w:val="Version"/>
        <w:sectPr w:rsidSect="00D32F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F3C" w:rsidP="00D32F3C">
      <w:pPr>
        <w:pStyle w:val="SuperHeading"/>
      </w:pPr>
      <w:r w:rsidRPr="00D32F3C">
        <w:t>FPISAW4204B Plan and monitor board conversion</w:t>
      </w:r>
    </w:p>
    <w:p w:rsidR="00000000" w:rsidRPr="00D32F3C" w:rsidP="00D32F3C">
      <w:pPr>
        <w:pStyle w:val="Heading1"/>
      </w:pPr>
      <w:bookmarkStart w:id="1" w:name="O_270731"/>
      <w:bookmarkEnd w:id="1"/>
      <w:r w:rsidRPr="00D32F3C">
        <w:t>Modification History</w:t>
      </w:r>
    </w:p>
    <w:p w:rsidR="00000000" w:rsidRPr="00D32F3C" w:rsidP="00D32F3C">
      <w:pPr>
        <w:pStyle w:val="BodyText"/>
      </w:pPr>
      <w:r w:rsidRPr="00D32F3C">
        <w:t>Not Applicable</w:t>
      </w:r>
    </w:p>
    <w:p w:rsidR="00000000" w:rsidRPr="00D32F3C" w:rsidP="00D32F3C">
      <w:pPr>
        <w:pStyle w:val="AllowPageBreak"/>
      </w:pPr>
    </w:p>
    <w:p w:rsidR="00000000" w:rsidRPr="00D32F3C" w:rsidP="00D32F3C">
      <w:pPr>
        <w:pStyle w:val="Heading1"/>
      </w:pPr>
      <w:bookmarkStart w:id="2" w:name="O_204193"/>
      <w:bookmarkEnd w:id="2"/>
      <w:r w:rsidRPr="00D32F3C">
        <w:t>Unit Descriptor</w:t>
      </w:r>
    </w:p>
    <w:tbl>
      <w:tblPr>
        <w:tblW w:w="0" w:type="auto"/>
        <w:tblLayout w:type="fixed"/>
        <w:tblCellMar>
          <w:left w:w="62" w:type="dxa"/>
          <w:right w:w="62" w:type="dxa"/>
        </w:tblCellMar>
        <w:tblLook w:val="0000"/>
      </w:tblPr>
      <w:tblGrid>
        <w:gridCol w:w="2664"/>
        <w:gridCol w:w="5858"/>
      </w:tblGrid>
      <w:tr w:rsidTr="00FD4C5C">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D32F3C" w:rsidP="00D32F3C">
            <w:pPr>
              <w:pStyle w:val="BodyText"/>
            </w:pPr>
            <w:r w:rsidRPr="00D32F3C">
              <w:t>This unit describes the outcomes required to plan the production of boards and cutting patterns, coordina</w:t>
            </w:r>
            <w:r w:rsidRPr="00D32F3C">
              <w:t>te sawing processes and monitor equipment and output</w:t>
            </w:r>
          </w:p>
          <w:p w:rsidR="00000000" w:rsidRPr="00D32F3C" w:rsidP="00D32F3C">
            <w:pPr>
              <w:pStyle w:val="BodyText"/>
            </w:pPr>
            <w:r w:rsidRPr="00D32F3C">
              <w:t>General workplace legislative and regulatory requirements apply to this unit; however there are no specific licensing or certification requirements at the time of publication</w:t>
            </w:r>
          </w:p>
        </w:tc>
      </w:tr>
    </w:tbl>
    <w:p w:rsidR="00FD4C5C" w:rsidP="00D32F3C">
      <w:pPr>
        <w:pStyle w:val="BodyText"/>
      </w:pPr>
    </w:p>
    <w:p w:rsidR="00FD4C5C" w:rsidP="00D32F3C">
      <w:pPr>
        <w:pStyle w:val="BodyText"/>
      </w:pPr>
    </w:p>
    <w:p w:rsidR="00000000" w:rsidRPr="00D32F3C" w:rsidP="00D32F3C">
      <w:pPr>
        <w:pStyle w:val="Heading1"/>
      </w:pPr>
      <w:bookmarkStart w:id="3" w:name="O_204197"/>
      <w:bookmarkEnd w:id="3"/>
      <w:r w:rsidRPr="00D32F3C">
        <w:t>Application of the Unit</w:t>
      </w:r>
    </w:p>
    <w:tbl>
      <w:tblPr>
        <w:tblW w:w="0" w:type="auto"/>
        <w:tblLayout w:type="fixed"/>
        <w:tblCellMar>
          <w:left w:w="62" w:type="dxa"/>
          <w:right w:w="62" w:type="dxa"/>
        </w:tblCellMar>
        <w:tblLook w:val="0000"/>
      </w:tblPr>
      <w:tblGrid>
        <w:gridCol w:w="2755"/>
        <w:gridCol w:w="5767"/>
      </w:tblGrid>
      <w:tr w:rsidTr="00FD4C5C">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D32F3C" w:rsidP="00D32F3C">
            <w:pPr>
              <w:pStyle w:val="BodyText"/>
            </w:pPr>
            <w:r w:rsidRPr="00D32F3C">
              <w:t>The unit involves planning and monitoring board conversion in a forest products factory setting</w:t>
            </w:r>
          </w:p>
          <w:p w:rsidR="00000000" w:rsidRPr="00D32F3C" w:rsidP="00D32F3C">
            <w:pPr>
              <w:pStyle w:val="BodyText"/>
            </w:pPr>
            <w:r w:rsidRPr="00D32F3C">
              <w:t>The skills and knowledge required for competent workplace performance are to be used within the scope of the per</w:t>
            </w:r>
            <w:r w:rsidRPr="00D32F3C">
              <w:t>son's job and authority</w:t>
            </w:r>
          </w:p>
        </w:tc>
      </w:tr>
    </w:tbl>
    <w:p w:rsidR="00FD4C5C" w:rsidP="00D32F3C">
      <w:pPr>
        <w:pStyle w:val="BodyText"/>
      </w:pPr>
    </w:p>
    <w:p w:rsidR="00FD4C5C" w:rsidP="00D32F3C">
      <w:pPr>
        <w:pStyle w:val="BodyText"/>
      </w:pPr>
    </w:p>
    <w:p w:rsidR="00000000" w:rsidRPr="00D32F3C" w:rsidP="00D32F3C">
      <w:pPr>
        <w:pStyle w:val="Heading1"/>
      </w:pPr>
      <w:bookmarkStart w:id="4" w:name="O_278991"/>
      <w:bookmarkEnd w:id="4"/>
      <w:r w:rsidRPr="00D32F3C">
        <w:t>Licensing/Regulatory Information</w:t>
      </w:r>
    </w:p>
    <w:p w:rsidR="00000000" w:rsidRPr="00D32F3C" w:rsidP="00D32F3C">
      <w:pPr>
        <w:pStyle w:val="BodyText"/>
      </w:pPr>
      <w:r w:rsidRPr="00D32F3C">
        <w:t>Refer to Unit Descriptor</w:t>
      </w:r>
    </w:p>
    <w:p w:rsidR="00000000" w:rsidRPr="00D32F3C" w:rsidP="00D32F3C">
      <w:pPr>
        <w:pStyle w:val="AllowPageBreak"/>
      </w:pPr>
    </w:p>
    <w:p w:rsidR="00000000" w:rsidRPr="00D32F3C" w:rsidP="00D32F3C">
      <w:pPr>
        <w:pStyle w:val="Heading1"/>
      </w:pPr>
      <w:bookmarkStart w:id="5" w:name="O_204195"/>
      <w:bookmarkEnd w:id="5"/>
      <w:r w:rsidRPr="00D32F3C">
        <w:t>Pre-Requisites</w:t>
      </w:r>
    </w:p>
    <w:tbl>
      <w:tblPr>
        <w:tblW w:w="0" w:type="auto"/>
        <w:tblLayout w:type="fixed"/>
        <w:tblCellMar>
          <w:left w:w="62" w:type="dxa"/>
          <w:right w:w="62" w:type="dxa"/>
        </w:tblCellMar>
        <w:tblLook w:val="0000"/>
      </w:tblPr>
      <w:tblGrid>
        <w:gridCol w:w="2776"/>
        <w:gridCol w:w="2873"/>
        <w:gridCol w:w="2873"/>
      </w:tblGrid>
      <w:tr w:rsidTr="00FD4C5C">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D32F3C">
            <w:pPr>
              <w:pStyle w:val="BodyText"/>
              <w:rPr>
                <w:lang w:val="en-NZ"/>
              </w:rPr>
            </w:pPr>
          </w:p>
        </w:tc>
      </w:tr>
      <w:tr w:rsidTr="00FD4C5C">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p>
        </w:tc>
      </w:tr>
      <w:tr w:rsidTr="00FD4C5C">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D32F3C" w:rsidP="00D32F3C">
            <w:pPr>
              <w:pStyle w:val="BodyText"/>
            </w:pPr>
          </w:p>
        </w:tc>
      </w:tr>
    </w:tbl>
    <w:p w:rsidR="00FD4C5C" w:rsidP="00D32F3C">
      <w:pPr>
        <w:pStyle w:val="BodyText"/>
      </w:pPr>
    </w:p>
    <w:p w:rsidR="00FD4C5C" w:rsidP="00D32F3C">
      <w:pPr>
        <w:pStyle w:val="BodyText"/>
      </w:pPr>
    </w:p>
    <w:p w:rsidR="00000000" w:rsidRPr="00D32F3C" w:rsidP="00D32F3C">
      <w:pPr>
        <w:pStyle w:val="Heading1"/>
      </w:pPr>
      <w:bookmarkStart w:id="6" w:name="O_204194"/>
      <w:bookmarkEnd w:id="6"/>
      <w:r w:rsidRPr="00D32F3C">
        <w:t>Employability Skills Information</w:t>
      </w:r>
    </w:p>
    <w:tbl>
      <w:tblPr>
        <w:tblW w:w="0" w:type="auto"/>
        <w:tblLayout w:type="fixed"/>
        <w:tblCellMar>
          <w:left w:w="62" w:type="dxa"/>
          <w:right w:w="62" w:type="dxa"/>
        </w:tblCellMar>
        <w:tblLook w:val="0000"/>
      </w:tblPr>
      <w:tblGrid>
        <w:gridCol w:w="2802"/>
        <w:gridCol w:w="5720"/>
      </w:tblGrid>
      <w:tr w:rsidTr="00FD4C5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32F3C" w:rsidP="00D32F3C">
            <w:pPr>
              <w:pStyle w:val="BodyText"/>
            </w:pPr>
            <w:r w:rsidRPr="00D32F3C">
              <w:t>This unit contains employability skills</w:t>
            </w:r>
          </w:p>
        </w:tc>
      </w:tr>
    </w:tbl>
    <w:p w:rsidR="00FD4C5C" w:rsidP="00D32F3C">
      <w:pPr>
        <w:pStyle w:val="BodyText"/>
      </w:pPr>
    </w:p>
    <w:p w:rsidR="00FD4C5C" w:rsidP="00D32F3C">
      <w:pPr>
        <w:pStyle w:val="BodyText"/>
      </w:pPr>
    </w:p>
    <w:p w:rsidR="00000000" w:rsidRPr="00D32F3C" w:rsidP="00D32F3C">
      <w:pPr>
        <w:pStyle w:val="Heading1"/>
      </w:pPr>
      <w:bookmarkStart w:id="7" w:name="O_288777"/>
      <w:bookmarkEnd w:id="7"/>
      <w:r w:rsidRPr="00D32F3C">
        <w:t>Elements and Performance Criteria Pre-Content</w:t>
      </w:r>
    </w:p>
    <w:tbl>
      <w:tblPr>
        <w:tblW w:w="0" w:type="auto"/>
        <w:tblLayout w:type="fixed"/>
        <w:tblCellMar>
          <w:left w:w="62" w:type="dxa"/>
          <w:right w:w="62" w:type="dxa"/>
        </w:tblCellMar>
        <w:tblLook w:val="0000"/>
      </w:tblPr>
      <w:tblGrid>
        <w:gridCol w:w="2592"/>
        <w:gridCol w:w="5930"/>
      </w:tblGrid>
      <w:tr w:rsidTr="00FD4C5C">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t>Elements describe the essential outcomes of a unit of competency.</w:t>
            </w:r>
          </w:p>
        </w:tc>
        <w:tc>
          <w:tcPr>
            <w:tcW w:w="5930" w:type="dxa"/>
            <w:tcBorders>
              <w:top w:val="nil"/>
              <w:left w:val="nil"/>
              <w:bottom w:val="nil"/>
              <w:right w:val="nil"/>
            </w:tcBorders>
            <w:tcMar>
              <w:top w:w="0" w:type="dxa"/>
              <w:left w:w="62" w:type="dxa"/>
              <w:bottom w:w="0" w:type="dxa"/>
              <w:right w:w="62" w:type="dxa"/>
            </w:tcMar>
          </w:tcPr>
          <w:p w:rsidR="00000000" w:rsidRPr="00D32F3C" w:rsidP="00D32F3C">
            <w:pPr>
              <w:pStyle w:val="BodyText"/>
            </w:pPr>
            <w:r w:rsidRPr="00D32F3C">
              <w:t>Performance criteria describe the performance needed to demonstrate achievement of t</w:t>
            </w:r>
            <w:r w:rsidRPr="00D32F3C">
              <w:t>he element. Where bold italicised text is used, further information is detailed in the required skills and knowledge section and the range statement. Assessment of performance is to be consistent with the evidence guide.</w:t>
            </w:r>
          </w:p>
        </w:tc>
      </w:tr>
    </w:tbl>
    <w:p w:rsidR="00000000" w:rsidRPr="00D32F3C" w:rsidP="00D32F3C">
      <w:pPr>
        <w:pStyle w:val="BodyText"/>
      </w:pPr>
    </w:p>
    <w:p w:rsidR="00000000" w:rsidRPr="00D32F3C" w:rsidP="00D32F3C">
      <w:pPr>
        <w:pStyle w:val="AllowPageBreak"/>
      </w:pPr>
    </w:p>
    <w:p w:rsidR="00000000" w:rsidRPr="00D32F3C" w:rsidP="00D32F3C">
      <w:pPr>
        <w:pStyle w:val="Heading1"/>
      </w:pPr>
      <w:bookmarkStart w:id="8" w:name="O_235444"/>
      <w:bookmarkEnd w:id="8"/>
      <w:r w:rsidRPr="00D32F3C">
        <w:t>Elements and Per</w:t>
      </w:r>
      <w:r w:rsidRPr="00D32F3C">
        <w:t>formance Criteria</w:t>
      </w:r>
    </w:p>
    <w:tbl>
      <w:tblPr>
        <w:tblW w:w="0" w:type="auto"/>
        <w:tblLayout w:type="fixed"/>
        <w:tblCellMar>
          <w:left w:w="62" w:type="dxa"/>
          <w:right w:w="62" w:type="dxa"/>
        </w:tblCellMar>
        <w:tblLook w:val="0000"/>
      </w:tblPr>
      <w:tblGrid>
        <w:gridCol w:w="2592"/>
        <w:gridCol w:w="5930"/>
      </w:tblGrid>
      <w:tr w:rsidTr="00FD4C5C">
        <w:tblPrEx>
          <w:tblW w:w="0" w:type="auto"/>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D32F3C" w:rsidP="00D32F3C">
            <w:pPr>
              <w:pStyle w:val="BodyText"/>
            </w:pPr>
            <w:r w:rsidRPr="00D32F3C">
              <w:rPr>
                <w:rStyle w:val="SpecialBold"/>
              </w:rPr>
              <w:t>ELEMENT</w:t>
            </w:r>
          </w:p>
        </w:tc>
        <w:tc>
          <w:tcPr>
            <w:tcW w:w="5930"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PERFORMANCE CRITERIA</w:t>
            </w:r>
          </w:p>
        </w:tc>
      </w:tr>
      <w:tr w:rsidTr="00FD4C5C">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32F3C">
            <w:pPr>
              <w:pStyle w:val="List"/>
              <w:rPr>
                <w:lang w:val="en-NZ"/>
              </w:rPr>
            </w:pPr>
            <w:r w:rsidRPr="00D32F3C">
              <w:t>1.</w:t>
            </w:r>
            <w:r w:rsidRPr="00D32F3C">
              <w:tab/>
              <w:t>Plan conversion operations</w:t>
            </w:r>
          </w:p>
        </w:tc>
        <w:tc>
          <w:tcPr>
            <w:tcW w:w="5930" w:type="dxa"/>
            <w:tcBorders>
              <w:top w:val="nil"/>
              <w:left w:val="nil"/>
              <w:bottom w:val="nil"/>
              <w:right w:val="nil"/>
            </w:tcBorders>
            <w:tcMar>
              <w:top w:w="0" w:type="dxa"/>
              <w:left w:w="62" w:type="dxa"/>
              <w:bottom w:w="0" w:type="dxa"/>
              <w:right w:w="62" w:type="dxa"/>
            </w:tcMar>
          </w:tcPr>
          <w:p w:rsidR="00000000" w:rsidRPr="00D32F3C" w:rsidP="00D32F3C">
            <w:pPr>
              <w:pStyle w:val="List2"/>
            </w:pPr>
            <w:r w:rsidRPr="00D32F3C">
              <w:t>1.1.</w:t>
            </w:r>
            <w:r w:rsidRPr="00D32F3C">
              <w:tab/>
              <w:t xml:space="preserve">Applicable </w:t>
            </w:r>
            <w:r w:rsidRPr="00D32F3C">
              <w:rPr>
                <w:rStyle w:val="BoldandItalics"/>
              </w:rPr>
              <w:t>Occupational Health and Safety</w:t>
            </w:r>
            <w:r w:rsidRPr="00D32F3C">
              <w:t xml:space="preserve"> (OHS), </w:t>
            </w:r>
            <w:r w:rsidRPr="00D32F3C">
              <w:rPr>
                <w:rStyle w:val="BoldandItalics"/>
              </w:rPr>
              <w:t>environmental</w:t>
            </w:r>
            <w:r w:rsidRPr="00D32F3C">
              <w:t xml:space="preserve">, </w:t>
            </w:r>
            <w:r w:rsidRPr="00D32F3C">
              <w:rPr>
                <w:rStyle w:val="BoldandItalics"/>
              </w:rPr>
              <w:t>legislative</w:t>
            </w:r>
            <w:r w:rsidRPr="00D32F3C">
              <w:t xml:space="preserve"> and </w:t>
            </w:r>
            <w:r w:rsidRPr="00D32F3C">
              <w:rPr>
                <w:rStyle w:val="BoldandItalics"/>
              </w:rPr>
              <w:t>organisational requirements</w:t>
            </w:r>
            <w:r w:rsidRPr="00D32F3C">
              <w:t xml:space="preserve"> relevant to plann</w:t>
            </w:r>
            <w:r w:rsidRPr="00D32F3C">
              <w:t>ing and monitoring board conversion are identified and followed</w:t>
            </w:r>
          </w:p>
          <w:p w:rsidR="00000000" w:rsidRPr="00D32F3C" w:rsidP="00D32F3C">
            <w:pPr>
              <w:pStyle w:val="List2"/>
            </w:pPr>
            <w:r w:rsidRPr="00D32F3C">
              <w:t>1.2.</w:t>
            </w:r>
            <w:r w:rsidRPr="00D32F3C">
              <w:tab/>
              <w:t xml:space="preserve">Variations in timber characteristics are assessed, </w:t>
            </w:r>
            <w:r w:rsidRPr="00D32F3C">
              <w:rPr>
                <w:rStyle w:val="BoldandItalics"/>
              </w:rPr>
              <w:t>recorded and reported</w:t>
            </w:r>
            <w:r w:rsidRPr="00D32F3C">
              <w:t xml:space="preserve"> to </w:t>
            </w:r>
            <w:r w:rsidRPr="00D32F3C">
              <w:rPr>
                <w:rStyle w:val="BoldandItalics"/>
              </w:rPr>
              <w:t>sawyers</w:t>
            </w:r>
          </w:p>
          <w:p w:rsidR="00000000" w:rsidRPr="00D32F3C" w:rsidP="00D32F3C">
            <w:pPr>
              <w:pStyle w:val="List2"/>
            </w:pPr>
            <w:r w:rsidRPr="00D32F3C">
              <w:t>1.3.</w:t>
            </w:r>
            <w:r w:rsidRPr="00D32F3C">
              <w:tab/>
            </w:r>
            <w:r w:rsidRPr="00D32F3C">
              <w:rPr>
                <w:rStyle w:val="BoldandItalics"/>
              </w:rPr>
              <w:t>Board conversion</w:t>
            </w:r>
            <w:r w:rsidRPr="00D32F3C">
              <w:t xml:space="preserve"> schedules are produced and applied in line with site procedures</w:t>
            </w:r>
          </w:p>
          <w:p w:rsidR="00000000" w:rsidRPr="00D32F3C" w:rsidP="00D32F3C">
            <w:pPr>
              <w:pStyle w:val="List2"/>
            </w:pPr>
            <w:r w:rsidRPr="00D32F3C">
              <w:t>1.4.</w:t>
            </w:r>
            <w:r w:rsidRPr="00D32F3C">
              <w:tab/>
            </w:r>
            <w:r w:rsidRPr="00D32F3C">
              <w:rPr>
                <w:rStyle w:val="BoldandItalics"/>
              </w:rPr>
              <w:t>Flitch and c</w:t>
            </w:r>
            <w:r w:rsidRPr="00D32F3C">
              <w:rPr>
                <w:rStyle w:val="BoldandItalics"/>
              </w:rPr>
              <w:t>ant management</w:t>
            </w:r>
            <w:r w:rsidRPr="00D32F3C">
              <w:t xml:space="preserve"> procedures including order information are planned, scheduled and </w:t>
            </w:r>
            <w:r w:rsidRPr="00D32F3C">
              <w:rPr>
                <w:rStyle w:val="BoldandItalics"/>
              </w:rPr>
              <w:t>communicated</w:t>
            </w:r>
            <w:r w:rsidRPr="00D32F3C">
              <w:t xml:space="preserve"> to sawyers</w:t>
            </w:r>
          </w:p>
          <w:p w:rsidR="00000000" w:rsidRPr="00D32F3C" w:rsidP="00D32F3C">
            <w:pPr>
              <w:pStyle w:val="List2"/>
            </w:pPr>
            <w:r w:rsidRPr="00D32F3C">
              <w:t>1.5.</w:t>
            </w:r>
            <w:r w:rsidRPr="00D32F3C">
              <w:tab/>
            </w:r>
            <w:r w:rsidRPr="00D32F3C">
              <w:rPr>
                <w:rStyle w:val="BoldandItalics"/>
              </w:rPr>
              <w:t>Cutting patterns</w:t>
            </w:r>
            <w:r w:rsidRPr="00D32F3C">
              <w:t xml:space="preserve"> are planned and prescribed in line with site procedures and environmental requirements</w:t>
            </w:r>
          </w:p>
          <w:p w:rsidR="00000000" w:rsidP="00D32F3C">
            <w:pPr>
              <w:pStyle w:val="List2"/>
              <w:rPr>
                <w:lang w:val="en-NZ"/>
              </w:rPr>
            </w:pPr>
            <w:r w:rsidRPr="00D32F3C">
              <w:t>1.6.</w:t>
            </w:r>
            <w:r w:rsidRPr="00D32F3C">
              <w:tab/>
              <w:t>Communication with others is establis</w:t>
            </w:r>
            <w:r w:rsidRPr="00D32F3C">
              <w:t>hed and maintained in line with OHS requirements</w:t>
            </w:r>
          </w:p>
        </w:tc>
      </w:tr>
      <w:tr w:rsidTr="00FD4C5C">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32F3C">
            <w:pPr>
              <w:pStyle w:val="List"/>
              <w:rPr>
                <w:lang w:val="en-NZ"/>
              </w:rPr>
            </w:pPr>
            <w:r w:rsidRPr="00D32F3C">
              <w:t>2.</w:t>
            </w:r>
            <w:r w:rsidRPr="00D32F3C">
              <w:tab/>
              <w:t>Monitor board conversion performance</w:t>
            </w:r>
          </w:p>
        </w:tc>
        <w:tc>
          <w:tcPr>
            <w:tcW w:w="5930" w:type="dxa"/>
            <w:tcBorders>
              <w:top w:val="nil"/>
              <w:left w:val="nil"/>
              <w:bottom w:val="nil"/>
              <w:right w:val="nil"/>
            </w:tcBorders>
            <w:tcMar>
              <w:top w:w="0" w:type="dxa"/>
              <w:left w:w="62" w:type="dxa"/>
              <w:bottom w:w="0" w:type="dxa"/>
              <w:right w:w="62" w:type="dxa"/>
            </w:tcMar>
          </w:tcPr>
          <w:p w:rsidR="00000000" w:rsidRPr="00D32F3C" w:rsidP="00D32F3C">
            <w:pPr>
              <w:pStyle w:val="List2"/>
            </w:pPr>
            <w:r w:rsidRPr="00D32F3C">
              <w:t>2.1.</w:t>
            </w:r>
            <w:r w:rsidRPr="00D32F3C">
              <w:tab/>
              <w:t>Standard cutting patterns are reviewed for suitability to planned cutting schedules</w:t>
            </w:r>
          </w:p>
          <w:p w:rsidR="00000000" w:rsidRPr="00D32F3C" w:rsidP="00D32F3C">
            <w:pPr>
              <w:pStyle w:val="List2"/>
            </w:pPr>
            <w:r w:rsidRPr="00D32F3C">
              <w:t>2.2.</w:t>
            </w:r>
            <w:r w:rsidRPr="00D32F3C">
              <w:tab/>
            </w:r>
            <w:r w:rsidRPr="00D32F3C">
              <w:t>Board cutting processes are monitored for effectiveness of cutting pattern and condition of timber</w:t>
            </w:r>
          </w:p>
          <w:p w:rsidR="00000000" w:rsidRPr="00D32F3C" w:rsidP="00D32F3C">
            <w:pPr>
              <w:pStyle w:val="List2"/>
            </w:pPr>
            <w:r w:rsidRPr="00D32F3C">
              <w:t>2.3.</w:t>
            </w:r>
            <w:r w:rsidRPr="00D32F3C">
              <w:tab/>
              <w:t>Assistance is provided to sawyers with the evaluation of flitches or cants and sawing problems</w:t>
            </w:r>
          </w:p>
          <w:p w:rsidR="00000000" w:rsidRPr="00D32F3C" w:rsidP="00D32F3C">
            <w:pPr>
              <w:pStyle w:val="List2"/>
            </w:pPr>
            <w:r w:rsidRPr="00D32F3C">
              <w:t>2.4.</w:t>
            </w:r>
            <w:r w:rsidRPr="00D32F3C">
              <w:tab/>
              <w:t xml:space="preserve">Board management and </w:t>
            </w:r>
            <w:r w:rsidRPr="00D32F3C">
              <w:rPr>
                <w:rStyle w:val="BoldandItalics"/>
              </w:rPr>
              <w:t>output</w:t>
            </w:r>
            <w:r w:rsidRPr="00D32F3C">
              <w:t xml:space="preserve"> are monitored to record </w:t>
            </w:r>
            <w:r w:rsidRPr="00D32F3C">
              <w:t>possible process improvements</w:t>
            </w:r>
          </w:p>
          <w:p w:rsidR="00000000" w:rsidRPr="00D32F3C" w:rsidP="00D32F3C">
            <w:pPr>
              <w:pStyle w:val="List2"/>
            </w:pPr>
            <w:r w:rsidRPr="00D32F3C">
              <w:t>2.5.</w:t>
            </w:r>
            <w:r w:rsidRPr="00D32F3C">
              <w:tab/>
              <w:t xml:space="preserve">Unsuitable flitches or cants are rejected and </w:t>
            </w:r>
            <w:r w:rsidRPr="00D32F3C">
              <w:rPr>
                <w:rStyle w:val="BoldandItalics"/>
              </w:rPr>
              <w:t>disposed of</w:t>
            </w:r>
            <w:r w:rsidRPr="00D32F3C">
              <w:t xml:space="preserve"> in line with site procedures and environmental requirements</w:t>
            </w:r>
          </w:p>
          <w:p w:rsidR="00000000" w:rsidP="00D32F3C">
            <w:pPr>
              <w:pStyle w:val="List2"/>
              <w:rPr>
                <w:lang w:val="en-NZ"/>
              </w:rPr>
            </w:pPr>
            <w:r w:rsidRPr="00D32F3C">
              <w:t>2.6.</w:t>
            </w:r>
            <w:r w:rsidRPr="00D32F3C">
              <w:tab/>
              <w:t>Board conversion, major problems and equipment faults are investigated, recorded and reported in l</w:t>
            </w:r>
            <w:r w:rsidRPr="00D32F3C">
              <w:t>ine with site requirements</w:t>
            </w:r>
          </w:p>
        </w:tc>
      </w:tr>
      <w:tr w:rsidTr="00FD4C5C">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32F3C">
            <w:pPr>
              <w:pStyle w:val="List"/>
              <w:rPr>
                <w:lang w:val="en-NZ"/>
              </w:rPr>
            </w:pPr>
            <w:r w:rsidRPr="00D32F3C">
              <w:t>3.</w:t>
            </w:r>
            <w:r w:rsidRPr="00D32F3C">
              <w:tab/>
              <w:t>Coordinate board conversion</w:t>
            </w:r>
          </w:p>
        </w:tc>
        <w:tc>
          <w:tcPr>
            <w:tcW w:w="5930" w:type="dxa"/>
            <w:tcBorders>
              <w:top w:val="nil"/>
              <w:left w:val="nil"/>
              <w:bottom w:val="nil"/>
              <w:right w:val="nil"/>
            </w:tcBorders>
            <w:tcMar>
              <w:top w:w="0" w:type="dxa"/>
              <w:left w:w="62" w:type="dxa"/>
              <w:bottom w:w="0" w:type="dxa"/>
              <w:right w:w="62" w:type="dxa"/>
            </w:tcMar>
          </w:tcPr>
          <w:p w:rsidR="00000000" w:rsidRPr="00D32F3C" w:rsidP="00D32F3C">
            <w:pPr>
              <w:pStyle w:val="List2"/>
            </w:pPr>
            <w:r w:rsidRPr="00D32F3C">
              <w:t>3.1.</w:t>
            </w:r>
            <w:r w:rsidRPr="00D32F3C">
              <w:tab/>
              <w:t>Cutting operations and output are monitored to record and action possible process improvements based on cutting patterns and timber being processed</w:t>
            </w:r>
          </w:p>
          <w:p w:rsidR="00000000" w:rsidRPr="00D32F3C" w:rsidP="00D32F3C">
            <w:pPr>
              <w:pStyle w:val="List2"/>
            </w:pPr>
            <w:r w:rsidRPr="00D32F3C">
              <w:t>3.2.</w:t>
            </w:r>
            <w:r w:rsidRPr="00D32F3C">
              <w:tab/>
              <w:t>Modifications are made to cutting patte</w:t>
            </w:r>
            <w:r w:rsidRPr="00D32F3C">
              <w:t>rns or schedules to ensure optimum performance and communicated to operators</w:t>
            </w:r>
          </w:p>
          <w:p w:rsidR="00000000" w:rsidRPr="00D32F3C" w:rsidP="00D32F3C">
            <w:pPr>
              <w:pStyle w:val="List2"/>
            </w:pPr>
            <w:r w:rsidRPr="00D32F3C">
              <w:t>3.3.</w:t>
            </w:r>
            <w:r w:rsidRPr="00D32F3C">
              <w:tab/>
              <w:t>Cutting improvement modifications are documented and communicated in line with site procedures</w:t>
            </w:r>
          </w:p>
          <w:p w:rsidR="00000000" w:rsidRPr="00D32F3C" w:rsidP="00D32F3C">
            <w:pPr>
              <w:pStyle w:val="List2"/>
            </w:pPr>
            <w:r w:rsidRPr="00D32F3C">
              <w:t>3.4.</w:t>
            </w:r>
            <w:r w:rsidRPr="00D32F3C">
              <w:tab/>
              <w:t>Cutting output details are obtained and recorded in line with site require</w:t>
            </w:r>
            <w:r w:rsidRPr="00D32F3C">
              <w:t>ments</w:t>
            </w:r>
          </w:p>
          <w:p w:rsidR="00000000" w:rsidRPr="00D32F3C" w:rsidP="00D32F3C">
            <w:pPr>
              <w:pStyle w:val="List2"/>
            </w:pPr>
            <w:r w:rsidRPr="00D32F3C">
              <w:t>3.5.</w:t>
            </w:r>
            <w:r w:rsidRPr="00D32F3C">
              <w:tab/>
              <w:t xml:space="preserve">Converted boards are directed to </w:t>
            </w:r>
            <w:r w:rsidRPr="00D32F3C">
              <w:rPr>
                <w:rStyle w:val="BoldandItalics"/>
              </w:rPr>
              <w:t>storage</w:t>
            </w:r>
            <w:r w:rsidRPr="00D32F3C">
              <w:t xml:space="preserve"> or </w:t>
            </w:r>
            <w:r w:rsidRPr="00D32F3C">
              <w:rPr>
                <w:rStyle w:val="BoldandItalics"/>
              </w:rPr>
              <w:t>transferred</w:t>
            </w:r>
            <w:r w:rsidRPr="00D32F3C">
              <w:t xml:space="preserve"> for further processing</w:t>
            </w:r>
          </w:p>
          <w:p w:rsidR="00000000" w:rsidRPr="00D32F3C" w:rsidP="00D32F3C">
            <w:pPr>
              <w:pStyle w:val="List2"/>
            </w:pPr>
            <w:r w:rsidRPr="00D32F3C">
              <w:t>3.6.</w:t>
            </w:r>
            <w:r w:rsidRPr="00D32F3C">
              <w:tab/>
              <w:t>Operating logs and cutting records are completed and maintained to site standards</w:t>
            </w:r>
          </w:p>
        </w:tc>
      </w:tr>
    </w:tbl>
    <w:p w:rsidR="00FD4C5C" w:rsidP="00D32F3C">
      <w:pPr>
        <w:pStyle w:val="BodyText"/>
      </w:pPr>
    </w:p>
    <w:p w:rsidR="00FD4C5C" w:rsidP="00D32F3C">
      <w:pPr>
        <w:pStyle w:val="BodyText"/>
      </w:pPr>
    </w:p>
    <w:p w:rsidR="00000000" w:rsidRPr="00D32F3C" w:rsidP="00D32F3C">
      <w:pPr>
        <w:pStyle w:val="Heading1"/>
      </w:pPr>
      <w:bookmarkStart w:id="9" w:name="O_259394"/>
      <w:bookmarkEnd w:id="9"/>
      <w:r w:rsidRPr="00D32F3C">
        <w:t>Required Skills and Knowledge</w:t>
      </w:r>
    </w:p>
    <w:tbl>
      <w:tblPr>
        <w:tblW w:w="0" w:type="auto"/>
        <w:tblLayout w:type="fixed"/>
        <w:tblCellMar>
          <w:left w:w="62" w:type="dxa"/>
          <w:right w:w="62" w:type="dxa"/>
        </w:tblCellMar>
        <w:tblLook w:val="0000"/>
      </w:tblPr>
      <w:tblGrid>
        <w:gridCol w:w="8522"/>
      </w:tblGrid>
      <w:tr w:rsidTr="00FD4C5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REQUIRED SKILLS AND KNOWLEDGE</w:t>
            </w:r>
          </w:p>
        </w:tc>
      </w:tr>
      <w:tr w:rsidTr="00FD4C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t>This describes the essential skills and knowledge and their level required for this unit</w:t>
            </w:r>
          </w:p>
        </w:tc>
      </w:tr>
      <w:tr w:rsidTr="00FD4C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Required skills</w:t>
            </w:r>
          </w:p>
        </w:tc>
      </w:tr>
      <w:tr w:rsidTr="00FD4C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32F3C" w:rsidP="00D32F3C">
            <w:pPr>
              <w:pStyle w:val="ListBullet"/>
            </w:pPr>
            <w:r w:rsidRPr="00D32F3C">
              <w:t xml:space="preserve">Technical skills sufficient to assess, schedule and apply conversion operations; </w:t>
            </w:r>
            <w:r w:rsidRPr="00D32F3C">
              <w:t>monitor conversion performance and modify operations as required to ensure optimum performance; efficiently and safely plan and monitor board conversion</w:t>
            </w:r>
          </w:p>
          <w:p w:rsidR="00000000" w:rsidRPr="00D32F3C" w:rsidP="00D32F3C">
            <w:pPr>
              <w:pStyle w:val="ListBullet"/>
            </w:pPr>
            <w:r w:rsidRPr="00D32F3C">
              <w:t xml:space="preserve">Communication skills and interpersonal techniques sufficient to interact appropriately with colleagues </w:t>
            </w:r>
            <w:r w:rsidRPr="00D32F3C">
              <w:t>and others in the workplace</w:t>
            </w:r>
          </w:p>
          <w:p w:rsidR="00000000" w:rsidRPr="00D32F3C" w:rsidP="00D32F3C">
            <w:pPr>
              <w:pStyle w:val="ListBullet"/>
            </w:pPr>
            <w:r w:rsidRPr="00D32F3C">
              <w:t xml:space="preserve">Literacy skills sufficient to accurately record and report workplace information, and maintain documentation </w:t>
            </w:r>
          </w:p>
          <w:p w:rsidR="00000000" w:rsidRPr="00D32F3C" w:rsidP="00D32F3C">
            <w:pPr>
              <w:pStyle w:val="ListBullet"/>
            </w:pPr>
            <w:r w:rsidRPr="00D32F3C">
              <w:t xml:space="preserve">Numeracy skills sufficient to estimate, measure and calculate time required to complete a task </w:t>
            </w:r>
          </w:p>
          <w:p w:rsidR="00000000" w:rsidP="00D32F3C">
            <w:pPr>
              <w:pStyle w:val="ListBullet"/>
              <w:rPr>
                <w:lang w:val="en-NZ"/>
              </w:rPr>
            </w:pPr>
            <w:r w:rsidRPr="00D32F3C">
              <w:t>Problem solving skills</w:t>
            </w:r>
            <w:r w:rsidRPr="00D32F3C">
              <w:t xml:space="preserve"> sufficient to demonstrate appropriate response procedures to major problems and equipment faults </w:t>
            </w:r>
          </w:p>
        </w:tc>
      </w:tr>
      <w:tr w:rsidTr="00FD4C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Required knowledge</w:t>
            </w:r>
          </w:p>
        </w:tc>
      </w:tr>
      <w:tr w:rsidTr="00FD4C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32F3C" w:rsidP="00D32F3C">
            <w:pPr>
              <w:pStyle w:val="ListBullet"/>
            </w:pPr>
            <w:r w:rsidRPr="00D32F3C">
              <w:t>Applicable Commonwealth, State or Territory legislation, regulations, standards, codes of practice and established safe practices relev</w:t>
            </w:r>
            <w:r w:rsidRPr="00D32F3C">
              <w:t>ant to the full range of processes for planning and monitoring board conversion</w:t>
            </w:r>
          </w:p>
          <w:p w:rsidR="00000000" w:rsidRPr="00D32F3C" w:rsidP="00D32F3C">
            <w:pPr>
              <w:pStyle w:val="ListBullet"/>
            </w:pPr>
            <w:r w:rsidRPr="00D32F3C">
              <w:t>Environmental protection requirements, including the safe disposal of waste material, minimising carbon emissions and the cleaning of plant, tools and equipment</w:t>
            </w:r>
          </w:p>
          <w:p w:rsidR="00000000" w:rsidRPr="00D32F3C" w:rsidP="00D32F3C">
            <w:pPr>
              <w:pStyle w:val="ListBullet"/>
            </w:pPr>
            <w:r w:rsidRPr="00D32F3C">
              <w:t xml:space="preserve">Organisational </w:t>
            </w:r>
            <w:r w:rsidRPr="00D32F3C">
              <w:t>and site standards, requirements, policies and procedures for planning and monitoring board conversion</w:t>
            </w:r>
          </w:p>
          <w:p w:rsidR="00000000" w:rsidRPr="00D32F3C" w:rsidP="00D32F3C">
            <w:pPr>
              <w:pStyle w:val="ListBullet"/>
            </w:pPr>
            <w:r w:rsidRPr="00D32F3C">
              <w:t>Environmental risks and hazards</w:t>
            </w:r>
          </w:p>
          <w:p w:rsidR="00000000" w:rsidRPr="00D32F3C" w:rsidP="00D32F3C">
            <w:pPr>
              <w:pStyle w:val="ListBullet"/>
            </w:pPr>
            <w:r w:rsidRPr="00D32F3C">
              <w:t>Using energy effectively and efficiently</w:t>
            </w:r>
          </w:p>
          <w:p w:rsidR="00000000" w:rsidRPr="00D32F3C" w:rsidP="00D32F3C">
            <w:pPr>
              <w:pStyle w:val="ListBullet"/>
            </w:pPr>
            <w:r w:rsidRPr="00D32F3C">
              <w:t>Using material effectively and efficiently</w:t>
            </w:r>
          </w:p>
          <w:p w:rsidR="00000000" w:rsidRPr="00D32F3C" w:rsidP="00D32F3C">
            <w:pPr>
              <w:pStyle w:val="ListBullet"/>
            </w:pPr>
            <w:r w:rsidRPr="00D32F3C">
              <w:t>Flitch and cant procedures and management</w:t>
            </w:r>
          </w:p>
          <w:p w:rsidR="00000000" w:rsidRPr="00D32F3C" w:rsidP="00D32F3C">
            <w:pPr>
              <w:pStyle w:val="ListBullet"/>
            </w:pPr>
            <w:r w:rsidRPr="00D32F3C">
              <w:t>Cutting pattern methodologies</w:t>
            </w:r>
          </w:p>
          <w:p w:rsidR="00000000" w:rsidRPr="00D32F3C" w:rsidP="00D32F3C">
            <w:pPr>
              <w:pStyle w:val="ListBullet"/>
            </w:pPr>
            <w:r w:rsidRPr="00D32F3C">
              <w:t>Cutting sequences</w:t>
            </w:r>
          </w:p>
          <w:p w:rsidR="00000000" w:rsidRPr="00D32F3C" w:rsidP="00D32F3C">
            <w:pPr>
              <w:pStyle w:val="ListBullet"/>
            </w:pPr>
            <w:r w:rsidRPr="00D32F3C">
              <w:t>Established communication channels and protocols</w:t>
            </w:r>
          </w:p>
          <w:p w:rsidR="00000000" w:rsidRPr="00D32F3C" w:rsidP="00D32F3C">
            <w:pPr>
              <w:pStyle w:val="ListBullet"/>
            </w:pPr>
            <w:r w:rsidRPr="00D32F3C">
              <w:t>Problem identification and resolution strategies and common fault finding techniques</w:t>
            </w:r>
          </w:p>
          <w:p w:rsidR="00000000" w:rsidRPr="00D32F3C" w:rsidP="00D32F3C">
            <w:pPr>
              <w:pStyle w:val="ListBullet"/>
            </w:pPr>
            <w:r w:rsidRPr="00D32F3C">
              <w:t>Types of tools and equipment and</w:t>
            </w:r>
            <w:r w:rsidRPr="00D32F3C">
              <w:t xml:space="preserve"> procedures for their safe use, operation and maintenance</w:t>
            </w:r>
          </w:p>
          <w:p w:rsidR="00000000" w:rsidRPr="00D32F3C" w:rsidP="00D32F3C">
            <w:pPr>
              <w:pStyle w:val="ListBullet"/>
            </w:pPr>
            <w:r w:rsidRPr="00D32F3C">
              <w:t>Appropriate mathematical procedures for estimating and measuring, including calculating time to complete tasks</w:t>
            </w:r>
          </w:p>
          <w:p w:rsidR="00000000" w:rsidRPr="00D32F3C" w:rsidP="00D32F3C">
            <w:pPr>
              <w:pStyle w:val="ListBullet"/>
            </w:pPr>
            <w:r w:rsidRPr="00D32F3C">
              <w:t>Procedures for recording and reporting workplace records and information</w:t>
            </w:r>
          </w:p>
        </w:tc>
      </w:tr>
    </w:tbl>
    <w:p w:rsidR="00FD4C5C" w:rsidP="00D32F3C">
      <w:pPr>
        <w:pStyle w:val="BodyText"/>
      </w:pPr>
    </w:p>
    <w:p w:rsidR="00FD4C5C" w:rsidP="00D32F3C">
      <w:pPr>
        <w:pStyle w:val="BodyText"/>
      </w:pPr>
    </w:p>
    <w:p w:rsidR="00000000" w:rsidRPr="00D32F3C" w:rsidP="00D32F3C">
      <w:pPr>
        <w:pStyle w:val="AllowPageBreak"/>
      </w:pPr>
    </w:p>
    <w:p w:rsidR="00000000" w:rsidRPr="00D32F3C" w:rsidP="00D32F3C">
      <w:pPr>
        <w:pStyle w:val="Heading1"/>
      </w:pPr>
      <w:bookmarkStart w:id="10" w:name="O_243428"/>
      <w:bookmarkEnd w:id="10"/>
      <w:r w:rsidRPr="00D32F3C">
        <w:t>Evidence Guide</w:t>
      </w:r>
    </w:p>
    <w:tbl>
      <w:tblPr>
        <w:tblW w:w="9570" w:type="dxa"/>
        <w:tblLayout w:type="fixed"/>
        <w:tblCellMar>
          <w:left w:w="62" w:type="dxa"/>
          <w:right w:w="62" w:type="dxa"/>
        </w:tblCellMar>
        <w:tblLook w:val="0000"/>
      </w:tblPr>
      <w:tblGrid>
        <w:gridCol w:w="3908"/>
        <w:gridCol w:w="5662"/>
      </w:tblGrid>
      <w:tr w:rsidTr="00FD4C5C">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EVIDENCE GUIDE</w:t>
            </w:r>
          </w:p>
        </w:tc>
      </w:tr>
      <w:tr w:rsidTr="00FD4C5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t xml:space="preserve">The evidence guide provides advice on assessment and must be read in conjunction with the performance criteria, required skills and knowledge, </w:t>
            </w:r>
            <w:r w:rsidRPr="00D32F3C">
              <w:t>range statement and the Assessment Guidelines for the Training Package.</w:t>
            </w:r>
          </w:p>
        </w:tc>
      </w:tr>
      <w:tr w:rsidTr="00FD4C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t xml:space="preserve">A person who demonstrates competency in this unit must be able to provide evidence that they can safely and efficiently plan and monitor board </w:t>
            </w:r>
            <w:r w:rsidRPr="00D32F3C">
              <w:t>conversion in line with organisational requirements</w:t>
            </w:r>
          </w:p>
        </w:tc>
      </w:tr>
      <w:tr w:rsidTr="00FD4C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32F3C" w:rsidP="00D32F3C">
            <w:pPr>
              <w:pStyle w:val="BodyText"/>
            </w:pPr>
            <w:r w:rsidRPr="00D32F3C">
              <w:t>The evidence required to demonstrate competency in this unit must be relevant to, and satisfy, all of the requ</w:t>
            </w:r>
            <w:r w:rsidRPr="00D32F3C">
              <w:t xml:space="preserve">irements of the elements of this unit and include demonstration of: </w:t>
            </w:r>
          </w:p>
          <w:p w:rsidR="00000000" w:rsidRPr="00D32F3C" w:rsidP="00D32F3C">
            <w:pPr>
              <w:pStyle w:val="ListBullet"/>
            </w:pPr>
            <w:r w:rsidRPr="00D32F3C">
              <w:t>following applicable Commonwealth, State or Territory legislative and regulatory requirements and codes of practice relevant to planning and monitoring board conversion</w:t>
            </w:r>
          </w:p>
          <w:p w:rsidR="00000000" w:rsidRPr="00D32F3C" w:rsidP="00D32F3C">
            <w:pPr>
              <w:pStyle w:val="ListBullet"/>
            </w:pPr>
            <w:r w:rsidRPr="00D32F3C">
              <w:t>following organis</w:t>
            </w:r>
            <w:r w:rsidRPr="00D32F3C">
              <w:t>ational policies and procedures relevant to planning and monitoring board conversion</w:t>
            </w:r>
          </w:p>
          <w:p w:rsidR="00000000" w:rsidRPr="00D32F3C" w:rsidP="00D32F3C">
            <w:pPr>
              <w:pStyle w:val="ListBullet"/>
            </w:pPr>
            <w:r w:rsidRPr="00D32F3C">
              <w:t>planning and monitoring board conversion for the enterprise</w:t>
            </w:r>
          </w:p>
          <w:p w:rsidR="00000000" w:rsidRPr="00D32F3C" w:rsidP="00D32F3C">
            <w:pPr>
              <w:pStyle w:val="ListBullet"/>
            </w:pPr>
            <w:r w:rsidRPr="00D32F3C">
              <w:t>modifying cutting patterns and schedules for board conversion within the enterprise</w:t>
            </w:r>
          </w:p>
          <w:p w:rsidR="00000000" w:rsidP="00D32F3C">
            <w:pPr>
              <w:pStyle w:val="ListBullet"/>
              <w:rPr>
                <w:lang w:val="en-NZ"/>
              </w:rPr>
            </w:pPr>
            <w:r w:rsidRPr="00D32F3C">
              <w:t>coordinating personnel to follow planning, communications and scheduling for board conversion</w:t>
            </w:r>
          </w:p>
        </w:tc>
      </w:tr>
      <w:tr w:rsidTr="00FD4C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32F3C" w:rsidP="00D32F3C">
            <w:pPr>
              <w:pStyle w:val="ListBullet"/>
            </w:pPr>
            <w:r w:rsidRPr="00D32F3C">
              <w:t>Competency is to be assessed in the workplace or realistically simulated workplace</w:t>
            </w:r>
          </w:p>
          <w:p w:rsidR="00000000" w:rsidRPr="00D32F3C" w:rsidP="00D32F3C">
            <w:pPr>
              <w:pStyle w:val="ListBullet"/>
            </w:pPr>
            <w:r w:rsidRPr="00D32F3C">
              <w:t>Assessment is to occur under</w:t>
            </w:r>
            <w:r w:rsidRPr="00D32F3C">
              <w:t xml:space="preserve"> standard and authorised work practices, safety requirements and environmental constraints</w:t>
            </w:r>
          </w:p>
          <w:p w:rsidR="00000000" w:rsidRPr="00D32F3C" w:rsidP="00D32F3C">
            <w:pPr>
              <w:pStyle w:val="ListBullet"/>
            </w:pPr>
            <w:r w:rsidRPr="00D32F3C">
              <w:t>Assessment of required knowledge, other than confirmatory questions, will usually be conducted in an off-site context</w:t>
            </w:r>
          </w:p>
          <w:p w:rsidR="00000000" w:rsidRPr="00D32F3C" w:rsidP="00D32F3C">
            <w:pPr>
              <w:pStyle w:val="ListBullet"/>
            </w:pPr>
            <w:r w:rsidRPr="00D32F3C">
              <w:t xml:space="preserve">Assessment is to follow relevant regulatory or </w:t>
            </w:r>
            <w:r w:rsidRPr="00D32F3C">
              <w:t>Australian Standards requirements</w:t>
            </w:r>
          </w:p>
          <w:p w:rsidR="00000000" w:rsidRPr="00D32F3C" w:rsidP="00D32F3C">
            <w:pPr>
              <w:pStyle w:val="ListBullet"/>
            </w:pPr>
            <w:r w:rsidRPr="00D32F3C">
              <w:t>The following resources should be made available:</w:t>
            </w:r>
          </w:p>
          <w:p w:rsidR="00000000" w:rsidRPr="00D32F3C" w:rsidP="00D32F3C">
            <w:pPr>
              <w:pStyle w:val="ListBullet3"/>
            </w:pPr>
            <w:r w:rsidRPr="00D32F3C">
              <w:t>workplace location or simulated workplace</w:t>
            </w:r>
          </w:p>
          <w:p w:rsidR="00000000" w:rsidRPr="00D32F3C" w:rsidP="00D32F3C">
            <w:pPr>
              <w:pStyle w:val="ListBullet3"/>
            </w:pPr>
            <w:r w:rsidRPr="00D32F3C">
              <w:t>materials and equipment relevant to undertaking work applicable to this unit</w:t>
            </w:r>
          </w:p>
          <w:p w:rsidR="00000000" w:rsidP="00D32F3C">
            <w:pPr>
              <w:pStyle w:val="ListBullet3"/>
              <w:rPr>
                <w:lang w:val="en-NZ"/>
              </w:rPr>
            </w:pPr>
            <w:r w:rsidRPr="00D32F3C">
              <w:t>specifications and work instructions</w:t>
            </w:r>
          </w:p>
        </w:tc>
      </w:tr>
      <w:tr w:rsidTr="00FD4C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32F3C" w:rsidP="00D32F3C">
            <w:pPr>
              <w:pStyle w:val="ListBullet"/>
            </w:pPr>
            <w:r w:rsidRPr="00D32F3C">
              <w:t>Assessment must satisfy the endorsed Assessment Guidelines of the FPI11 Training Package</w:t>
            </w:r>
          </w:p>
          <w:p w:rsidR="00000000" w:rsidRPr="00D32F3C" w:rsidP="00D32F3C">
            <w:pPr>
              <w:pStyle w:val="ListBullet"/>
            </w:pPr>
            <w:r w:rsidRPr="00D32F3C">
              <w:t>Assessment methods must confirm consistency and accuracy of performance (over time and in a range of workplace relevant contexts) together with a</w:t>
            </w:r>
            <w:r w:rsidRPr="00D32F3C">
              <w:t>pplication of required knowledge</w:t>
            </w:r>
          </w:p>
          <w:p w:rsidR="00000000" w:rsidRPr="00D32F3C" w:rsidP="00D32F3C">
            <w:pPr>
              <w:pStyle w:val="ListBullet"/>
            </w:pPr>
            <w:r w:rsidRPr="00D32F3C">
              <w:t>Assessment must be by direct observation of tasks, with questioning on required knowledge and it must also reinforce the integration of employability skills</w:t>
            </w:r>
          </w:p>
          <w:p w:rsidR="00000000" w:rsidRPr="00D32F3C" w:rsidP="00D32F3C">
            <w:pPr>
              <w:pStyle w:val="ListBullet"/>
            </w:pPr>
            <w:r w:rsidRPr="00D32F3C">
              <w:t>Assessment methods must confirm the ability to access and correctly interpret and apply the required knowledge</w:t>
            </w:r>
          </w:p>
          <w:p w:rsidR="00000000" w:rsidRPr="00D32F3C" w:rsidP="00D32F3C">
            <w:pPr>
              <w:pStyle w:val="ListBullet"/>
            </w:pPr>
            <w:r w:rsidRPr="00D32F3C">
              <w:t>Assessment may be applied under project-related conditions (real or simulated) and require evidence of process</w:t>
            </w:r>
          </w:p>
          <w:p w:rsidR="00000000" w:rsidRPr="00D32F3C" w:rsidP="00D32F3C">
            <w:pPr>
              <w:pStyle w:val="ListBullet"/>
            </w:pPr>
            <w:r w:rsidRPr="00D32F3C">
              <w:t>Assessment must confirm a reasonab</w:t>
            </w:r>
            <w:r w:rsidRPr="00D32F3C">
              <w:t>le inference that competency is able not only to be satisfied under the particular circumstance, but is able to be transferred to other circumstances</w:t>
            </w:r>
          </w:p>
          <w:p w:rsidR="00000000" w:rsidRPr="00D32F3C" w:rsidP="00D32F3C">
            <w:pPr>
              <w:pStyle w:val="ListBullet"/>
            </w:pPr>
            <w:r w:rsidRPr="00D32F3C">
              <w:t>Assessment may be in conjunction with assessment of other units of competency</w:t>
            </w:r>
          </w:p>
          <w:p w:rsidR="00000000" w:rsidRPr="00D32F3C" w:rsidP="00D32F3C">
            <w:pPr>
              <w:pStyle w:val="ListBullet"/>
            </w:pPr>
            <w:r w:rsidRPr="00D32F3C">
              <w:t>The assessment environment s</w:t>
            </w:r>
            <w:r w:rsidRPr="00D32F3C">
              <w:t>hould not disadvantage the candidate</w:t>
            </w:r>
          </w:p>
          <w:p w:rsidR="00000000" w:rsidRPr="00D32F3C" w:rsidP="00D32F3C">
            <w:pPr>
              <w:pStyle w:val="ListBullet"/>
            </w:pPr>
            <w:r w:rsidRPr="00D32F3C">
              <w:t>Assessment practices should take into account any relevant language or cultural issues related to Aboriginality, gender or language backgrounds other than English</w:t>
            </w:r>
          </w:p>
          <w:p w:rsidR="00000000" w:rsidRPr="00D32F3C" w:rsidP="00D32F3C">
            <w:pPr>
              <w:pStyle w:val="ListBullet"/>
            </w:pPr>
            <w:r w:rsidRPr="00D32F3C">
              <w:t>Where the participant has a disability, reasonable adjus</w:t>
            </w:r>
            <w:r w:rsidRPr="00D32F3C">
              <w:t>tment may be applied during assessment</w:t>
            </w:r>
          </w:p>
          <w:p w:rsidR="00000000" w:rsidRPr="00D32F3C" w:rsidP="00D32F3C">
            <w:pPr>
              <w:pStyle w:val="ListBullet"/>
            </w:pPr>
            <w:r w:rsidRPr="00D32F3C">
              <w:t>Language and literacy demands of the assessment task should not be higher than those of the work role</w:t>
            </w:r>
          </w:p>
        </w:tc>
      </w:tr>
    </w:tbl>
    <w:p w:rsidR="00FD4C5C" w:rsidP="00D32F3C">
      <w:pPr>
        <w:pStyle w:val="BodyText"/>
      </w:pPr>
    </w:p>
    <w:p w:rsidR="00FD4C5C" w:rsidP="00D32F3C">
      <w:pPr>
        <w:pStyle w:val="BodyText"/>
      </w:pPr>
    </w:p>
    <w:p w:rsidR="00000000" w:rsidRPr="00D32F3C" w:rsidP="00D32F3C">
      <w:pPr>
        <w:pStyle w:val="Heading1"/>
      </w:pPr>
      <w:bookmarkStart w:id="11" w:name="O_251411"/>
      <w:bookmarkEnd w:id="11"/>
      <w:r w:rsidRPr="00D32F3C">
        <w:t>Range Statement</w:t>
      </w:r>
    </w:p>
    <w:tbl>
      <w:tblPr>
        <w:tblW w:w="0" w:type="auto"/>
        <w:tblLayout w:type="fixed"/>
        <w:tblCellMar>
          <w:left w:w="62" w:type="dxa"/>
          <w:right w:w="62" w:type="dxa"/>
        </w:tblCellMar>
        <w:tblLook w:val="0000"/>
      </w:tblPr>
      <w:tblGrid>
        <w:gridCol w:w="3514"/>
        <w:gridCol w:w="5008"/>
      </w:tblGrid>
      <w:tr w:rsidTr="00FD4C5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RANGE STATEMENT</w:t>
            </w:r>
          </w:p>
        </w:tc>
      </w:tr>
      <w:tr w:rsidTr="00FD4C5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t>The range statement relates to the unit of competency as a whole. It allows for different work environments and situations that may affect performance. Bold italicised wording, if used in the performance criteria, is detailed below. Essential operating con</w:t>
            </w:r>
            <w:r w:rsidRPr="00D32F3C">
              <w:t>ditions that may be present with training and assessment (depending on the work situation, needs of the candidate, accessibility of the item, and local industry and regional contexts) may also be included.</w:t>
            </w:r>
          </w:p>
        </w:tc>
      </w:tr>
      <w:tr w:rsidTr="00FD4C5C">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OHS requirements</w:t>
            </w:r>
            <w:r w:rsidRPr="00D32F3C">
              <w:t>:</w:t>
            </w:r>
          </w:p>
        </w:tc>
        <w:tc>
          <w:tcPr>
            <w:tcW w:w="5008" w:type="dxa"/>
            <w:tcBorders>
              <w:top w:val="nil"/>
              <w:left w:val="nil"/>
              <w:bottom w:val="nil"/>
              <w:right w:val="nil"/>
            </w:tcBorders>
            <w:tcMar>
              <w:top w:w="0" w:type="dxa"/>
              <w:left w:w="62" w:type="dxa"/>
              <w:bottom w:w="0" w:type="dxa"/>
              <w:right w:w="62" w:type="dxa"/>
            </w:tcMar>
          </w:tcPr>
          <w:p w:rsidR="00000000" w:rsidRPr="00D32F3C" w:rsidP="00D32F3C">
            <w:pPr>
              <w:pStyle w:val="BodyText"/>
            </w:pPr>
            <w:r w:rsidRPr="00D32F3C">
              <w:t>are to be in line with applica</w:t>
            </w:r>
            <w:r w:rsidRPr="00D32F3C">
              <w:t>ble Commonwealth, State or Territory legislation and regulations, and organisational safety policies and procedures, and may include:</w:t>
            </w:r>
          </w:p>
          <w:p w:rsidR="00000000" w:rsidRPr="00D32F3C" w:rsidP="00D32F3C">
            <w:pPr>
              <w:pStyle w:val="ListBullet"/>
            </w:pPr>
            <w:r w:rsidRPr="00D32F3C">
              <w:t>personal protective equipment and clothing</w:t>
            </w:r>
          </w:p>
          <w:p w:rsidR="00000000" w:rsidRPr="00D32F3C" w:rsidP="00D32F3C">
            <w:pPr>
              <w:pStyle w:val="ListBullet"/>
            </w:pPr>
            <w:r w:rsidRPr="00D32F3C">
              <w:t>safety equipment</w:t>
            </w:r>
          </w:p>
          <w:p w:rsidR="00000000" w:rsidRPr="00D32F3C" w:rsidP="00D32F3C">
            <w:pPr>
              <w:pStyle w:val="ListBullet"/>
            </w:pPr>
            <w:r w:rsidRPr="00D32F3C">
              <w:t>first aid equipment</w:t>
            </w:r>
          </w:p>
          <w:p w:rsidR="00000000" w:rsidRPr="00D32F3C" w:rsidP="00D32F3C">
            <w:pPr>
              <w:pStyle w:val="ListBullet"/>
            </w:pPr>
            <w:r w:rsidRPr="00D32F3C">
              <w:t>fire fighting equipment</w:t>
            </w:r>
          </w:p>
          <w:p w:rsidR="00000000" w:rsidRPr="00D32F3C" w:rsidP="00D32F3C">
            <w:pPr>
              <w:pStyle w:val="ListBullet"/>
            </w:pPr>
            <w:r w:rsidRPr="00D32F3C">
              <w:t>hazard and risk control</w:t>
            </w:r>
          </w:p>
          <w:p w:rsidR="00000000" w:rsidRPr="00D32F3C" w:rsidP="00D32F3C">
            <w:pPr>
              <w:pStyle w:val="ListBullet"/>
            </w:pPr>
            <w:r w:rsidRPr="00D32F3C">
              <w:t>fatigue management</w:t>
            </w:r>
          </w:p>
          <w:p w:rsidR="00000000" w:rsidRPr="00D32F3C" w:rsidP="00D32F3C">
            <w:pPr>
              <w:pStyle w:val="ListBullet"/>
            </w:pPr>
            <w:r w:rsidRPr="00D32F3C">
              <w:t>elimination of hazardous materials and substances</w:t>
            </w:r>
          </w:p>
          <w:p w:rsidR="00000000" w:rsidRPr="00D32F3C" w:rsidP="00D32F3C">
            <w:pPr>
              <w:pStyle w:val="ListBullet"/>
            </w:pPr>
            <w:r w:rsidRPr="00D32F3C">
              <w:t>safe forest practices including required actions relating to forest fire</w:t>
            </w:r>
          </w:p>
          <w:p w:rsidR="00000000" w:rsidP="00D32F3C">
            <w:pPr>
              <w:pStyle w:val="ListBullet"/>
              <w:rPr>
                <w:lang w:val="en-NZ"/>
              </w:rPr>
            </w:pPr>
            <w:r w:rsidRPr="00D32F3C">
              <w:t>manual handling including shifting, lifting and carrying</w:t>
            </w:r>
          </w:p>
        </w:tc>
      </w:tr>
      <w:tr w:rsidTr="00FD4C5C">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Environmental requirements</w:t>
            </w:r>
            <w:r w:rsidRPr="00D32F3C">
              <w:t xml:space="preserve"> may i</w:t>
            </w:r>
            <w:r w:rsidRPr="00D32F3C">
              <w:t>nclude:</w:t>
            </w:r>
          </w:p>
        </w:tc>
        <w:tc>
          <w:tcPr>
            <w:tcW w:w="5008" w:type="dxa"/>
            <w:tcBorders>
              <w:top w:val="nil"/>
              <w:left w:val="nil"/>
              <w:bottom w:val="nil"/>
              <w:right w:val="nil"/>
            </w:tcBorders>
            <w:tcMar>
              <w:top w:w="0" w:type="dxa"/>
              <w:left w:w="62" w:type="dxa"/>
              <w:bottom w:w="0" w:type="dxa"/>
              <w:right w:w="62" w:type="dxa"/>
            </w:tcMar>
          </w:tcPr>
          <w:p w:rsidR="00000000" w:rsidRPr="00D32F3C" w:rsidP="00D32F3C">
            <w:pPr>
              <w:pStyle w:val="ListBullet"/>
            </w:pPr>
            <w:r w:rsidRPr="00D32F3C">
              <w:t>legislation</w:t>
            </w:r>
          </w:p>
          <w:p w:rsidR="00000000" w:rsidRPr="00D32F3C" w:rsidP="00D32F3C">
            <w:pPr>
              <w:pStyle w:val="ListBullet"/>
            </w:pPr>
            <w:r w:rsidRPr="00D32F3C">
              <w:t>organisational policies and procedures</w:t>
            </w:r>
          </w:p>
          <w:p w:rsidR="00000000" w:rsidP="00D32F3C">
            <w:pPr>
              <w:pStyle w:val="ListBullet"/>
              <w:rPr>
                <w:lang w:val="en-NZ"/>
              </w:rPr>
            </w:pPr>
            <w:r w:rsidRPr="00D32F3C">
              <w:t>workplace practices</w:t>
            </w:r>
          </w:p>
        </w:tc>
      </w:tr>
      <w:tr w:rsidTr="00FD4C5C">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Legislative requirements</w:t>
            </w:r>
            <w:r w:rsidRPr="00D32F3C">
              <w:t>:</w:t>
            </w:r>
          </w:p>
        </w:tc>
        <w:tc>
          <w:tcPr>
            <w:tcW w:w="5008" w:type="dxa"/>
            <w:tcBorders>
              <w:top w:val="nil"/>
              <w:left w:val="nil"/>
              <w:bottom w:val="nil"/>
              <w:right w:val="nil"/>
            </w:tcBorders>
            <w:tcMar>
              <w:top w:w="0" w:type="dxa"/>
              <w:left w:w="62" w:type="dxa"/>
              <w:bottom w:w="0" w:type="dxa"/>
              <w:right w:w="62" w:type="dxa"/>
            </w:tcMar>
          </w:tcPr>
          <w:p w:rsidR="00000000" w:rsidRPr="00D32F3C" w:rsidP="00D32F3C">
            <w:pPr>
              <w:pStyle w:val="BodyText"/>
            </w:pPr>
            <w:r w:rsidRPr="00D32F3C">
              <w:t xml:space="preserve">are to be in line with applicable Commonwealth, State or Territory legislation, regulations, certification requirements and codes of practice </w:t>
            </w:r>
            <w:r w:rsidRPr="00D32F3C">
              <w:t>and may include:</w:t>
            </w:r>
          </w:p>
          <w:p w:rsidR="00000000" w:rsidRPr="00D32F3C" w:rsidP="00D32F3C">
            <w:pPr>
              <w:pStyle w:val="ListBullet"/>
            </w:pPr>
            <w:r w:rsidRPr="00D32F3C">
              <w:t>award and enterprise agreements</w:t>
            </w:r>
          </w:p>
          <w:p w:rsidR="00000000" w:rsidRPr="00D32F3C" w:rsidP="00D32F3C">
            <w:pPr>
              <w:pStyle w:val="ListBullet"/>
            </w:pPr>
            <w:r w:rsidRPr="00D32F3C">
              <w:t>industrial relations</w:t>
            </w:r>
          </w:p>
          <w:p w:rsidR="00000000" w:rsidRPr="00D32F3C" w:rsidP="00D32F3C">
            <w:pPr>
              <w:pStyle w:val="ListBullet"/>
            </w:pPr>
            <w:r w:rsidRPr="00D32F3C">
              <w:t>Australian Standards</w:t>
            </w:r>
          </w:p>
          <w:p w:rsidR="00000000" w:rsidRPr="00D32F3C" w:rsidP="00D32F3C">
            <w:pPr>
              <w:pStyle w:val="ListBullet"/>
            </w:pPr>
            <w:r w:rsidRPr="00D32F3C">
              <w:t>confidentiality and privacy</w:t>
            </w:r>
          </w:p>
          <w:p w:rsidR="00000000" w:rsidRPr="00D32F3C" w:rsidP="00D32F3C">
            <w:pPr>
              <w:pStyle w:val="ListBullet"/>
            </w:pPr>
            <w:r w:rsidRPr="00D32F3C">
              <w:t>OHS</w:t>
            </w:r>
          </w:p>
          <w:p w:rsidR="00000000" w:rsidRPr="00D32F3C" w:rsidP="00D32F3C">
            <w:pPr>
              <w:pStyle w:val="ListBullet"/>
            </w:pPr>
            <w:r w:rsidRPr="00D32F3C">
              <w:t>the environment</w:t>
            </w:r>
          </w:p>
          <w:p w:rsidR="00000000" w:rsidRPr="00D32F3C" w:rsidP="00D32F3C">
            <w:pPr>
              <w:pStyle w:val="ListBullet"/>
            </w:pPr>
            <w:r w:rsidRPr="00D32F3C">
              <w:t>equal opportunity</w:t>
            </w:r>
          </w:p>
          <w:p w:rsidR="00000000" w:rsidRPr="00D32F3C" w:rsidP="00D32F3C">
            <w:pPr>
              <w:pStyle w:val="ListBullet"/>
            </w:pPr>
            <w:r w:rsidRPr="00D32F3C">
              <w:t>anti-discrimination</w:t>
            </w:r>
          </w:p>
          <w:p w:rsidR="00000000" w:rsidRPr="00D32F3C" w:rsidP="00D32F3C">
            <w:pPr>
              <w:pStyle w:val="ListBullet"/>
            </w:pPr>
            <w:r w:rsidRPr="00D32F3C">
              <w:t>relevant industry codes of practice</w:t>
            </w:r>
          </w:p>
          <w:p w:rsidR="00000000" w:rsidP="00D32F3C">
            <w:pPr>
              <w:pStyle w:val="ListBullet"/>
              <w:rPr>
                <w:lang w:val="en-NZ"/>
              </w:rPr>
            </w:pPr>
            <w:r w:rsidRPr="00D32F3C">
              <w:t>duty of care</w:t>
            </w:r>
          </w:p>
        </w:tc>
      </w:tr>
      <w:tr w:rsidTr="00FD4C5C">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Organisational requirements</w:t>
            </w:r>
            <w:r w:rsidRPr="00D32F3C">
              <w:t xml:space="preserve"> </w:t>
            </w:r>
            <w:r w:rsidRPr="00D32F3C">
              <w:t>may include:</w:t>
            </w:r>
          </w:p>
        </w:tc>
        <w:tc>
          <w:tcPr>
            <w:tcW w:w="5008" w:type="dxa"/>
            <w:tcBorders>
              <w:top w:val="nil"/>
              <w:left w:val="nil"/>
              <w:bottom w:val="nil"/>
              <w:right w:val="nil"/>
            </w:tcBorders>
            <w:tcMar>
              <w:top w:w="0" w:type="dxa"/>
              <w:left w:w="62" w:type="dxa"/>
              <w:bottom w:w="0" w:type="dxa"/>
              <w:right w:w="62" w:type="dxa"/>
            </w:tcMar>
          </w:tcPr>
          <w:p w:rsidR="00000000" w:rsidRPr="00D32F3C" w:rsidP="00D32F3C">
            <w:pPr>
              <w:pStyle w:val="ListBullet"/>
            </w:pPr>
            <w:r w:rsidRPr="00D32F3C">
              <w:t xml:space="preserve">legal </w:t>
            </w:r>
          </w:p>
          <w:p w:rsidR="00000000" w:rsidRPr="00D32F3C" w:rsidP="00D32F3C">
            <w:pPr>
              <w:pStyle w:val="ListBullet"/>
            </w:pPr>
            <w:r w:rsidRPr="00D32F3C">
              <w:t>organisational and site guidelines</w:t>
            </w:r>
          </w:p>
          <w:p w:rsidR="00000000" w:rsidRPr="00D32F3C" w:rsidP="00D32F3C">
            <w:pPr>
              <w:pStyle w:val="ListBullet"/>
            </w:pPr>
            <w:r w:rsidRPr="00D32F3C">
              <w:t>policies and procedures relating to own role and responsibility</w:t>
            </w:r>
          </w:p>
          <w:p w:rsidR="00000000" w:rsidRPr="00D32F3C" w:rsidP="00D32F3C">
            <w:pPr>
              <w:pStyle w:val="ListBullet"/>
            </w:pPr>
            <w:r w:rsidRPr="00D32F3C">
              <w:t>quality assurance</w:t>
            </w:r>
          </w:p>
          <w:p w:rsidR="00000000" w:rsidRPr="00D32F3C" w:rsidP="00D32F3C">
            <w:pPr>
              <w:pStyle w:val="ListBullet"/>
            </w:pPr>
            <w:r w:rsidRPr="00D32F3C">
              <w:t>procedural manuals</w:t>
            </w:r>
          </w:p>
          <w:p w:rsidR="00000000" w:rsidRPr="00D32F3C" w:rsidP="00D32F3C">
            <w:pPr>
              <w:pStyle w:val="ListBullet"/>
            </w:pPr>
            <w:r w:rsidRPr="00D32F3C">
              <w:t>quality and continuous improvement processes and standards</w:t>
            </w:r>
          </w:p>
          <w:p w:rsidR="00000000" w:rsidRPr="00D32F3C" w:rsidP="00D32F3C">
            <w:pPr>
              <w:pStyle w:val="ListBullet"/>
            </w:pPr>
            <w:r w:rsidRPr="00D32F3C">
              <w:t>OHS, emergency and evacuation procedures</w:t>
            </w:r>
          </w:p>
          <w:p w:rsidR="00000000" w:rsidRPr="00D32F3C" w:rsidP="00D32F3C">
            <w:pPr>
              <w:pStyle w:val="ListBullet"/>
            </w:pPr>
            <w:r w:rsidRPr="00D32F3C">
              <w:t>ethical standards</w:t>
            </w:r>
          </w:p>
          <w:p w:rsidR="00000000" w:rsidRPr="00D32F3C" w:rsidP="00D32F3C">
            <w:pPr>
              <w:pStyle w:val="ListBullet"/>
            </w:pPr>
            <w:r w:rsidRPr="00D32F3C">
              <w:t>recording and reporting requirements</w:t>
            </w:r>
          </w:p>
          <w:p w:rsidR="00000000" w:rsidRPr="00D32F3C" w:rsidP="00D32F3C">
            <w:pPr>
              <w:pStyle w:val="ListBullet"/>
            </w:pPr>
            <w:r w:rsidRPr="00D32F3C">
              <w:t>equipment use and maintenance and storage requirements</w:t>
            </w:r>
          </w:p>
          <w:p w:rsidR="00000000" w:rsidP="00D32F3C">
            <w:pPr>
              <w:pStyle w:val="ListBullet"/>
              <w:rPr>
                <w:lang w:val="en-NZ"/>
              </w:rPr>
            </w:pPr>
            <w:r w:rsidRPr="00D32F3C">
              <w:t>environmental management requirements (waste minimisation and disposal, recycling and re-use guidelines)</w:t>
            </w:r>
          </w:p>
        </w:tc>
      </w:tr>
      <w:tr w:rsidTr="00FD4C5C">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Records and reports</w:t>
            </w:r>
            <w:r w:rsidRPr="00D32F3C">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D32F3C" w:rsidP="00D32F3C">
            <w:pPr>
              <w:pStyle w:val="ListBullet"/>
            </w:pPr>
            <w:r w:rsidRPr="00D32F3C">
              <w:t>plann</w:t>
            </w:r>
            <w:r w:rsidRPr="00D32F3C">
              <w:t>ing and monitoring outcomes</w:t>
            </w:r>
          </w:p>
          <w:p w:rsidR="00000000" w:rsidRPr="00D32F3C" w:rsidP="00D32F3C">
            <w:pPr>
              <w:pStyle w:val="ListBullet"/>
            </w:pPr>
            <w:r w:rsidRPr="00D32F3C">
              <w:t>operating logs</w:t>
            </w:r>
          </w:p>
          <w:p w:rsidR="00000000" w:rsidRPr="00D32F3C" w:rsidP="00D32F3C">
            <w:pPr>
              <w:pStyle w:val="ListBullet"/>
            </w:pPr>
            <w:r w:rsidRPr="00D32F3C">
              <w:t>cutting records</w:t>
            </w:r>
          </w:p>
          <w:p w:rsidR="00000000" w:rsidRPr="00D32F3C" w:rsidP="00D32F3C">
            <w:pPr>
              <w:pStyle w:val="ListBullet"/>
            </w:pPr>
            <w:r w:rsidRPr="00D32F3C">
              <w:t>material movement</w:t>
            </w:r>
          </w:p>
          <w:p w:rsidR="00000000" w:rsidRPr="00D32F3C" w:rsidP="00D32F3C">
            <w:pPr>
              <w:pStyle w:val="ListBullet"/>
            </w:pPr>
            <w:r w:rsidRPr="00D32F3C">
              <w:t>despatch outcomes</w:t>
            </w:r>
          </w:p>
          <w:p w:rsidR="00000000" w:rsidRPr="00D32F3C" w:rsidP="00D32F3C">
            <w:pPr>
              <w:pStyle w:val="ListBullet"/>
            </w:pPr>
            <w:r w:rsidRPr="00D32F3C">
              <w:t>storage locations</w:t>
            </w:r>
          </w:p>
          <w:p w:rsidR="00000000" w:rsidRPr="00D32F3C" w:rsidP="00D32F3C">
            <w:pPr>
              <w:pStyle w:val="ListBullet"/>
            </w:pPr>
            <w:r w:rsidRPr="00D32F3C">
              <w:t>quality outcomes</w:t>
            </w:r>
          </w:p>
          <w:p w:rsidR="00000000" w:rsidRPr="00D32F3C" w:rsidP="00D32F3C">
            <w:pPr>
              <w:pStyle w:val="ListBullet"/>
            </w:pPr>
            <w:r w:rsidRPr="00D32F3C">
              <w:t>hazards</w:t>
            </w:r>
          </w:p>
          <w:p w:rsidR="00000000" w:rsidRPr="00D32F3C" w:rsidP="00D32F3C">
            <w:pPr>
              <w:pStyle w:val="ListBullet"/>
            </w:pPr>
            <w:r w:rsidRPr="00D32F3C">
              <w:t>incidents</w:t>
            </w:r>
          </w:p>
          <w:p w:rsidR="00000000" w:rsidRPr="00D32F3C" w:rsidP="00D32F3C">
            <w:pPr>
              <w:pStyle w:val="ListBullet"/>
            </w:pPr>
            <w:r w:rsidRPr="00D32F3C">
              <w:t>equipment malfunctions</w:t>
            </w:r>
          </w:p>
          <w:p w:rsidR="00000000" w:rsidRPr="00D32F3C" w:rsidP="00D32F3C">
            <w:pPr>
              <w:pStyle w:val="BodyText"/>
            </w:pPr>
            <w:r w:rsidRPr="00D32F3C">
              <w:t>and may be:</w:t>
            </w:r>
          </w:p>
          <w:p w:rsidR="00000000" w:rsidRPr="00D32F3C" w:rsidP="00D32F3C">
            <w:pPr>
              <w:pStyle w:val="ListBullet"/>
            </w:pPr>
            <w:r w:rsidRPr="00D32F3C">
              <w:t>manual</w:t>
            </w:r>
          </w:p>
          <w:p w:rsidR="00000000" w:rsidP="00D32F3C">
            <w:pPr>
              <w:pStyle w:val="ListBullet"/>
              <w:rPr>
                <w:lang w:val="en-NZ"/>
              </w:rPr>
            </w:pPr>
            <w:r w:rsidRPr="00D32F3C">
              <w:t>using a computer-based system or another appropriate organisational communication system</w:t>
            </w:r>
          </w:p>
        </w:tc>
      </w:tr>
      <w:tr w:rsidTr="00FD4C5C">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Sawyers</w:t>
            </w:r>
          </w:p>
        </w:tc>
        <w:tc>
          <w:tcPr>
            <w:tcW w:w="5008"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t>are the operators who use the saws to saw boards</w:t>
            </w:r>
          </w:p>
        </w:tc>
      </w:tr>
      <w:tr w:rsidTr="00FD4C5C">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Board conversion</w:t>
            </w:r>
          </w:p>
        </w:tc>
        <w:tc>
          <w:tcPr>
            <w:tcW w:w="5008"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t xml:space="preserve">is the process of producing boards by re-sawing green flitches or cants to optimise single </w:t>
            </w:r>
            <w:r w:rsidRPr="00D32F3C">
              <w:t>boards maximising the amount of boards per flitch or cant</w:t>
            </w:r>
          </w:p>
        </w:tc>
      </w:tr>
      <w:tr w:rsidTr="00FD4C5C">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Flitch and cant management</w:t>
            </w:r>
            <w:r w:rsidRPr="00D32F3C">
              <w:t xml:space="preserve"> is to include:</w:t>
            </w:r>
          </w:p>
        </w:tc>
        <w:tc>
          <w:tcPr>
            <w:tcW w:w="5008" w:type="dxa"/>
            <w:tcBorders>
              <w:top w:val="nil"/>
              <w:left w:val="nil"/>
              <w:bottom w:val="nil"/>
              <w:right w:val="nil"/>
            </w:tcBorders>
            <w:tcMar>
              <w:top w:w="0" w:type="dxa"/>
              <w:left w:w="62" w:type="dxa"/>
              <w:bottom w:w="0" w:type="dxa"/>
              <w:right w:w="62" w:type="dxa"/>
            </w:tcMar>
          </w:tcPr>
          <w:p w:rsidR="00000000" w:rsidRPr="00D32F3C" w:rsidP="00D32F3C">
            <w:pPr>
              <w:pStyle w:val="ListBullet"/>
            </w:pPr>
            <w:r w:rsidRPr="00D32F3C">
              <w:t xml:space="preserve">assessing individual flitches or cants for the most suitable cutting sequence and pattern </w:t>
            </w:r>
          </w:p>
          <w:p w:rsidR="00000000" w:rsidP="00D32F3C">
            <w:pPr>
              <w:pStyle w:val="ListBullet"/>
              <w:rPr>
                <w:lang w:val="en-NZ"/>
              </w:rPr>
            </w:pPr>
            <w:r w:rsidRPr="00D32F3C">
              <w:t>assessing which type of boards can be cut from the flitch or cant</w:t>
            </w:r>
          </w:p>
        </w:tc>
      </w:tr>
      <w:tr w:rsidTr="00FD4C5C">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Communication</w:t>
            </w:r>
            <w:r w:rsidRPr="00D32F3C">
              <w:t xml:space="preserve"> may include: </w:t>
            </w:r>
          </w:p>
        </w:tc>
        <w:tc>
          <w:tcPr>
            <w:tcW w:w="5008" w:type="dxa"/>
            <w:tcBorders>
              <w:top w:val="nil"/>
              <w:left w:val="nil"/>
              <w:bottom w:val="nil"/>
              <w:right w:val="nil"/>
            </w:tcBorders>
            <w:tcMar>
              <w:top w:w="0" w:type="dxa"/>
              <w:left w:w="62" w:type="dxa"/>
              <w:bottom w:w="0" w:type="dxa"/>
              <w:right w:w="62" w:type="dxa"/>
            </w:tcMar>
          </w:tcPr>
          <w:p w:rsidR="00000000" w:rsidRPr="00D32F3C" w:rsidP="00D32F3C">
            <w:pPr>
              <w:pStyle w:val="ListBullet"/>
            </w:pPr>
            <w:r w:rsidRPr="00D32F3C">
              <w:t>verbal and non-verbal language</w:t>
            </w:r>
          </w:p>
          <w:p w:rsidR="00000000" w:rsidRPr="00D32F3C" w:rsidP="00D32F3C">
            <w:pPr>
              <w:pStyle w:val="ListBullet"/>
            </w:pPr>
            <w:r w:rsidRPr="00D32F3C">
              <w:t>constructive feedback</w:t>
            </w:r>
          </w:p>
          <w:p w:rsidR="00000000" w:rsidRPr="00D32F3C" w:rsidP="00D32F3C">
            <w:pPr>
              <w:pStyle w:val="ListBullet"/>
            </w:pPr>
            <w:r w:rsidRPr="00D32F3C">
              <w:t>active listening</w:t>
            </w:r>
          </w:p>
          <w:p w:rsidR="00000000" w:rsidRPr="00D32F3C" w:rsidP="00D32F3C">
            <w:pPr>
              <w:pStyle w:val="ListBullet"/>
            </w:pPr>
            <w:r w:rsidRPr="00D32F3C">
              <w:t>questioning to clarify and confirm understanding</w:t>
            </w:r>
          </w:p>
          <w:p w:rsidR="00000000" w:rsidRPr="00D32F3C" w:rsidP="00D32F3C">
            <w:pPr>
              <w:pStyle w:val="ListBullet"/>
            </w:pPr>
            <w:r w:rsidRPr="00D32F3C">
              <w:t>use of positive, confident and cooperativ</w:t>
            </w:r>
            <w:r w:rsidRPr="00D32F3C">
              <w:t>e language</w:t>
            </w:r>
          </w:p>
          <w:p w:rsidR="00000000" w:rsidRPr="00D32F3C" w:rsidP="00D32F3C">
            <w:pPr>
              <w:pStyle w:val="ListBullet"/>
            </w:pPr>
            <w:r w:rsidRPr="00D32F3C">
              <w:t>use of language and concepts appropriate to individual social and cultural differences</w:t>
            </w:r>
          </w:p>
          <w:p w:rsidR="00000000" w:rsidRPr="00D32F3C" w:rsidP="00D32F3C">
            <w:pPr>
              <w:pStyle w:val="ListBullet"/>
            </w:pPr>
            <w:r w:rsidRPr="00D32F3C">
              <w:t>control of tone of voice</w:t>
            </w:r>
          </w:p>
          <w:p w:rsidR="00000000" w:rsidP="00D32F3C">
            <w:pPr>
              <w:pStyle w:val="ListBullet"/>
              <w:rPr>
                <w:lang w:val="en-NZ"/>
              </w:rPr>
            </w:pPr>
            <w:r w:rsidRPr="00D32F3C">
              <w:t>body language</w:t>
            </w:r>
          </w:p>
        </w:tc>
      </w:tr>
      <w:tr w:rsidTr="00FD4C5C">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Cutting patterns</w:t>
            </w:r>
            <w:r w:rsidRPr="00D32F3C">
              <w:t xml:space="preserve"> </w:t>
            </w:r>
          </w:p>
        </w:tc>
        <w:tc>
          <w:tcPr>
            <w:tcW w:w="5008"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t>is the way in which the flitch or cant is cut up to achieve the output boards planned for that log</w:t>
            </w:r>
          </w:p>
        </w:tc>
      </w:tr>
      <w:tr w:rsidTr="00FD4C5C">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Output</w:t>
            </w:r>
            <w:r w:rsidRPr="00D32F3C">
              <w:t xml:space="preserve"> is to include:</w:t>
            </w:r>
          </w:p>
        </w:tc>
        <w:tc>
          <w:tcPr>
            <w:tcW w:w="5008" w:type="dxa"/>
            <w:tcBorders>
              <w:top w:val="nil"/>
              <w:left w:val="nil"/>
              <w:bottom w:val="nil"/>
              <w:right w:val="nil"/>
            </w:tcBorders>
            <w:tcMar>
              <w:top w:w="0" w:type="dxa"/>
              <w:left w:w="62" w:type="dxa"/>
              <w:bottom w:w="0" w:type="dxa"/>
              <w:right w:w="62" w:type="dxa"/>
            </w:tcMar>
          </w:tcPr>
          <w:p w:rsidR="00000000" w:rsidRPr="00D32F3C" w:rsidP="00D32F3C">
            <w:pPr>
              <w:pStyle w:val="BodyText"/>
            </w:pPr>
            <w:r w:rsidRPr="00D32F3C">
              <w:t>what is produced from a flitch or cant in relation to:</w:t>
            </w:r>
          </w:p>
          <w:p w:rsidR="00000000" w:rsidRPr="00D32F3C" w:rsidP="00D32F3C">
            <w:pPr>
              <w:pStyle w:val="ListBullet"/>
            </w:pPr>
            <w:r w:rsidRPr="00D32F3C">
              <w:t>size</w:t>
            </w:r>
          </w:p>
          <w:p w:rsidR="00000000" w:rsidRPr="00D32F3C" w:rsidP="00D32F3C">
            <w:pPr>
              <w:pStyle w:val="ListBullet"/>
            </w:pPr>
            <w:r w:rsidRPr="00D32F3C">
              <w:t>volume recovery</w:t>
            </w:r>
          </w:p>
          <w:p w:rsidR="00000000" w:rsidRPr="00D32F3C" w:rsidP="00D32F3C">
            <w:pPr>
              <w:pStyle w:val="ListBullet"/>
            </w:pPr>
            <w:r w:rsidRPr="00D32F3C">
              <w:t>sawn finish</w:t>
            </w:r>
          </w:p>
          <w:p w:rsidR="00000000" w:rsidRPr="00D32F3C" w:rsidP="00D32F3C">
            <w:pPr>
              <w:pStyle w:val="ListBullet"/>
            </w:pPr>
            <w:r w:rsidRPr="00D32F3C">
              <w:t xml:space="preserve">dimensional consistency </w:t>
            </w:r>
          </w:p>
          <w:p w:rsidR="00000000" w:rsidP="00D32F3C">
            <w:pPr>
              <w:pStyle w:val="ListBullet"/>
              <w:rPr>
                <w:lang w:val="en-NZ"/>
              </w:rPr>
            </w:pPr>
            <w:r w:rsidRPr="00D32F3C">
              <w:t xml:space="preserve">quality of boards </w:t>
            </w:r>
          </w:p>
        </w:tc>
      </w:tr>
      <w:tr w:rsidTr="00FD4C5C">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Disposing of</w:t>
            </w:r>
            <w:r w:rsidRPr="00D32F3C">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D32F3C" w:rsidP="00D32F3C">
            <w:pPr>
              <w:pStyle w:val="ListBullet"/>
            </w:pPr>
            <w:r w:rsidRPr="00D32F3C">
              <w:t>recycling unsuitable flitches or cants</w:t>
            </w:r>
          </w:p>
          <w:p w:rsidR="00000000" w:rsidP="00D32F3C">
            <w:pPr>
              <w:pStyle w:val="ListBullet"/>
              <w:rPr>
                <w:lang w:val="en-NZ"/>
              </w:rPr>
            </w:pPr>
            <w:r w:rsidRPr="00D32F3C">
              <w:t>re-using unsuitable flitches or ca</w:t>
            </w:r>
            <w:r w:rsidRPr="00D32F3C">
              <w:t>nts</w:t>
            </w:r>
          </w:p>
        </w:tc>
      </w:tr>
      <w:tr w:rsidTr="00FD4C5C">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Storage</w:t>
            </w:r>
            <w:r w:rsidRPr="00D32F3C">
              <w:t xml:space="preserve"> may include: </w:t>
            </w:r>
          </w:p>
        </w:tc>
        <w:tc>
          <w:tcPr>
            <w:tcW w:w="5008" w:type="dxa"/>
            <w:tcBorders>
              <w:top w:val="nil"/>
              <w:left w:val="nil"/>
              <w:bottom w:val="nil"/>
              <w:right w:val="nil"/>
            </w:tcBorders>
            <w:tcMar>
              <w:top w:w="0" w:type="dxa"/>
              <w:left w:w="62" w:type="dxa"/>
              <w:bottom w:w="0" w:type="dxa"/>
              <w:right w:w="62" w:type="dxa"/>
            </w:tcMar>
          </w:tcPr>
          <w:p w:rsidR="00000000" w:rsidRPr="00D32F3C" w:rsidP="00D32F3C">
            <w:pPr>
              <w:pStyle w:val="ListBullet"/>
            </w:pPr>
            <w:r w:rsidRPr="00D32F3C">
              <w:t>storage racks</w:t>
            </w:r>
          </w:p>
          <w:p w:rsidR="00000000" w:rsidRPr="00D32F3C" w:rsidP="00D32F3C">
            <w:pPr>
              <w:pStyle w:val="ListBullet"/>
            </w:pPr>
            <w:r w:rsidRPr="00D32F3C">
              <w:t>storage bays</w:t>
            </w:r>
          </w:p>
          <w:p w:rsidR="00000000" w:rsidRPr="00D32F3C" w:rsidP="00D32F3C">
            <w:pPr>
              <w:pStyle w:val="ListBullet"/>
            </w:pPr>
            <w:r w:rsidRPr="00D32F3C">
              <w:t>bins</w:t>
            </w:r>
          </w:p>
          <w:p w:rsidR="00000000" w:rsidRPr="00D32F3C" w:rsidP="00D32F3C">
            <w:pPr>
              <w:pStyle w:val="ListBullet"/>
            </w:pPr>
            <w:r w:rsidRPr="00D32F3C">
              <w:t>stacks</w:t>
            </w:r>
          </w:p>
          <w:p w:rsidR="00000000" w:rsidRPr="00D32F3C" w:rsidP="00D32F3C">
            <w:pPr>
              <w:pStyle w:val="ListBullet"/>
            </w:pPr>
            <w:r w:rsidRPr="00D32F3C">
              <w:t>pallet boxes</w:t>
            </w:r>
          </w:p>
          <w:p w:rsidR="00000000" w:rsidRPr="00D32F3C" w:rsidP="00D32F3C">
            <w:pPr>
              <w:pStyle w:val="ListBullet"/>
            </w:pPr>
            <w:r w:rsidRPr="00D32F3C">
              <w:t>modularised storage components</w:t>
            </w:r>
          </w:p>
          <w:p w:rsidR="00000000" w:rsidRPr="00D32F3C" w:rsidP="00D32F3C">
            <w:pPr>
              <w:pStyle w:val="ListBullet"/>
            </w:pPr>
            <w:r w:rsidRPr="00D32F3C">
              <w:t>temporary stacking bays (stand, frame or ground)</w:t>
            </w:r>
          </w:p>
          <w:p w:rsidR="00000000" w:rsidRPr="00D32F3C" w:rsidP="00D32F3C">
            <w:pPr>
              <w:pStyle w:val="ListBullet"/>
            </w:pPr>
            <w:r w:rsidRPr="00D32F3C">
              <w:t>and may be divided into:</w:t>
            </w:r>
          </w:p>
          <w:p w:rsidR="00000000" w:rsidRPr="00D32F3C" w:rsidP="00D32F3C">
            <w:pPr>
              <w:pStyle w:val="ListBullet2"/>
            </w:pPr>
            <w:r w:rsidRPr="00D32F3C">
              <w:t>standard product classification</w:t>
            </w:r>
          </w:p>
          <w:p w:rsidR="00000000" w:rsidRPr="00D32F3C" w:rsidP="00D32F3C">
            <w:pPr>
              <w:pStyle w:val="ListBullet2"/>
            </w:pPr>
            <w:r w:rsidRPr="00D32F3C">
              <w:t>product designation</w:t>
            </w:r>
          </w:p>
          <w:p w:rsidR="00000000" w:rsidRPr="00D32F3C" w:rsidP="00D32F3C">
            <w:pPr>
              <w:pStyle w:val="ListBullet2"/>
            </w:pPr>
            <w:r w:rsidRPr="00D32F3C">
              <w:t>size</w:t>
            </w:r>
          </w:p>
          <w:p w:rsidR="00000000" w:rsidRPr="00D32F3C" w:rsidP="00D32F3C">
            <w:pPr>
              <w:pStyle w:val="ListBullet2"/>
            </w:pPr>
            <w:r w:rsidRPr="00D32F3C">
              <w:t>dimension</w:t>
            </w:r>
          </w:p>
          <w:p w:rsidR="00000000" w:rsidRPr="00D32F3C" w:rsidP="00D32F3C">
            <w:pPr>
              <w:pStyle w:val="ListBullet2"/>
            </w:pPr>
            <w:r w:rsidRPr="00D32F3C">
              <w:t>stack number</w:t>
            </w:r>
          </w:p>
          <w:p w:rsidR="00000000" w:rsidRPr="00D32F3C" w:rsidP="00D32F3C">
            <w:pPr>
              <w:pStyle w:val="ListBullet2"/>
            </w:pPr>
            <w:r w:rsidRPr="00D32F3C">
              <w:t>weight</w:t>
            </w:r>
          </w:p>
          <w:p w:rsidR="00000000" w:rsidRPr="00D32F3C" w:rsidP="00D32F3C">
            <w:pPr>
              <w:pStyle w:val="ListBullet2"/>
            </w:pPr>
            <w:r w:rsidRPr="00D32F3C">
              <w:t>grade</w:t>
            </w:r>
          </w:p>
          <w:p w:rsidR="00000000" w:rsidRPr="00D32F3C" w:rsidP="00D32F3C">
            <w:pPr>
              <w:pStyle w:val="ListBullet2"/>
            </w:pPr>
            <w:r w:rsidRPr="00D32F3C">
              <w:t>shelf life</w:t>
            </w:r>
          </w:p>
          <w:p w:rsidR="00000000" w:rsidP="00D32F3C">
            <w:pPr>
              <w:pStyle w:val="ListBullet2"/>
              <w:rPr>
                <w:lang w:val="en-NZ"/>
              </w:rPr>
            </w:pPr>
            <w:r w:rsidRPr="00D32F3C">
              <w:t>stock rotation position</w:t>
            </w:r>
          </w:p>
        </w:tc>
      </w:tr>
      <w:tr w:rsidTr="00FD4C5C">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Transferral</w:t>
            </w:r>
            <w:r w:rsidRPr="00D32F3C">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D32F3C" w:rsidP="00D32F3C">
            <w:pPr>
              <w:pStyle w:val="BodyText"/>
            </w:pPr>
            <w:r w:rsidRPr="00D32F3C">
              <w:t>the use of:</w:t>
            </w:r>
          </w:p>
          <w:p w:rsidR="00000000" w:rsidRPr="00D32F3C" w:rsidP="00D32F3C">
            <w:pPr>
              <w:pStyle w:val="ListBullet"/>
            </w:pPr>
            <w:r w:rsidRPr="00D32F3C">
              <w:t>conveyor belt systems</w:t>
            </w:r>
          </w:p>
          <w:p w:rsidR="00000000" w:rsidRPr="00D32F3C" w:rsidP="00D32F3C">
            <w:pPr>
              <w:pStyle w:val="ListBullet"/>
            </w:pPr>
            <w:r w:rsidRPr="00D32F3C">
              <w:t xml:space="preserve">track systems </w:t>
            </w:r>
          </w:p>
          <w:p w:rsidR="00000000" w:rsidRPr="00D32F3C" w:rsidP="00D32F3C">
            <w:pPr>
              <w:pStyle w:val="ListBullet"/>
            </w:pPr>
            <w:r w:rsidRPr="00D32F3C">
              <w:t>lifting equipment</w:t>
            </w:r>
          </w:p>
          <w:p w:rsidR="00000000" w:rsidRPr="00D32F3C" w:rsidP="00D32F3C">
            <w:pPr>
              <w:pStyle w:val="BodyText"/>
            </w:pPr>
            <w:r w:rsidRPr="00D32F3C">
              <w:t>lifting equipment may include:</w:t>
            </w:r>
          </w:p>
          <w:p w:rsidR="00000000" w:rsidRPr="00D32F3C" w:rsidP="00D32F3C">
            <w:pPr>
              <w:pStyle w:val="ListBullet"/>
            </w:pPr>
            <w:r w:rsidRPr="00D32F3C">
              <w:t>fork lifts</w:t>
            </w:r>
          </w:p>
          <w:p w:rsidR="00000000" w:rsidRPr="00D32F3C" w:rsidP="00D32F3C">
            <w:pPr>
              <w:pStyle w:val="ListBullet"/>
            </w:pPr>
            <w:r w:rsidRPr="00D32F3C">
              <w:t>slings</w:t>
            </w:r>
          </w:p>
          <w:p w:rsidR="00000000" w:rsidRPr="00D32F3C" w:rsidP="00D32F3C">
            <w:pPr>
              <w:pStyle w:val="ListBullet"/>
            </w:pPr>
            <w:r w:rsidRPr="00D32F3C">
              <w:t>trolley jacks</w:t>
            </w:r>
          </w:p>
          <w:p w:rsidR="00000000" w:rsidRPr="00D32F3C" w:rsidP="00D32F3C">
            <w:pPr>
              <w:pStyle w:val="ListBullet"/>
            </w:pPr>
            <w:r w:rsidRPr="00D32F3C">
              <w:t xml:space="preserve">gantry cranes </w:t>
            </w:r>
          </w:p>
          <w:p w:rsidR="00000000" w:rsidRPr="00D32F3C" w:rsidP="00D32F3C">
            <w:pPr>
              <w:pStyle w:val="ListBullet"/>
            </w:pPr>
            <w:r w:rsidRPr="00D32F3C">
              <w:t>loaders</w:t>
            </w:r>
          </w:p>
          <w:p w:rsidR="00000000" w:rsidRPr="00D32F3C" w:rsidP="00D32F3C">
            <w:pPr>
              <w:pStyle w:val="BodyText"/>
            </w:pPr>
            <w:r w:rsidRPr="00D32F3C">
              <w:t>assistance with lifting may include:</w:t>
            </w:r>
          </w:p>
          <w:p w:rsidR="00000000" w:rsidRPr="00D32F3C" w:rsidP="00D32F3C">
            <w:pPr>
              <w:pStyle w:val="ListBullet"/>
            </w:pPr>
            <w:r w:rsidRPr="00D32F3C">
              <w:t>the involvement of two or more personnel to lift materials manually or to guide the movement of mechanical equipment</w:t>
            </w:r>
          </w:p>
        </w:tc>
      </w:tr>
    </w:tbl>
    <w:p w:rsidR="00FD4C5C" w:rsidP="00D32F3C">
      <w:pPr>
        <w:pStyle w:val="BodyText"/>
      </w:pPr>
    </w:p>
    <w:p w:rsidR="00FD4C5C" w:rsidP="00D32F3C">
      <w:pPr>
        <w:pStyle w:val="BodyText"/>
      </w:pPr>
    </w:p>
    <w:p w:rsidR="00000000" w:rsidRPr="00D32F3C" w:rsidP="00D32F3C">
      <w:pPr>
        <w:pStyle w:val="Heading1"/>
      </w:pPr>
      <w:bookmarkStart w:id="12" w:name="O_204199"/>
      <w:bookmarkEnd w:id="12"/>
      <w:r w:rsidRPr="00D32F3C">
        <w:t>Unit Sector(s)</w:t>
      </w:r>
    </w:p>
    <w:tbl>
      <w:tblPr>
        <w:tblW w:w="0" w:type="auto"/>
        <w:tblLayout w:type="fixed"/>
        <w:tblCellMar>
          <w:left w:w="62" w:type="dxa"/>
          <w:right w:w="62" w:type="dxa"/>
        </w:tblCellMar>
        <w:tblLook w:val="0000"/>
      </w:tblPr>
      <w:tblGrid>
        <w:gridCol w:w="2632"/>
        <w:gridCol w:w="5890"/>
      </w:tblGrid>
      <w:tr w:rsidTr="00FD4C5C">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D32F3C" w:rsidP="00D32F3C">
            <w:pPr>
              <w:pStyle w:val="BodyText"/>
            </w:pPr>
            <w:r w:rsidRPr="00D32F3C">
              <w:t>No sector assigned</w:t>
            </w:r>
          </w:p>
        </w:tc>
      </w:tr>
    </w:tbl>
    <w:p w:rsidR="00FD4C5C" w:rsidP="00D32F3C">
      <w:pPr>
        <w:pStyle w:val="BodyText"/>
      </w:pPr>
    </w:p>
    <w:p w:rsidR="00FD4C5C" w:rsidP="00D32F3C">
      <w:pPr>
        <w:pStyle w:val="BodyText"/>
      </w:pPr>
    </w:p>
    <w:p w:rsidR="00000000" w:rsidRPr="00D32F3C" w:rsidP="00D32F3C">
      <w:pPr>
        <w:pStyle w:val="Heading1"/>
      </w:pPr>
      <w:bookmarkStart w:id="13" w:name="O_204196"/>
      <w:bookmarkEnd w:id="13"/>
      <w:r w:rsidRPr="00D32F3C">
        <w:t>Co-requisite units</w:t>
      </w:r>
    </w:p>
    <w:tbl>
      <w:tblPr>
        <w:tblW w:w="0" w:type="auto"/>
        <w:tblLayout w:type="fixed"/>
        <w:tblCellMar>
          <w:left w:w="62" w:type="dxa"/>
          <w:right w:w="62" w:type="dxa"/>
        </w:tblCellMar>
        <w:tblLook w:val="0000"/>
      </w:tblPr>
      <w:tblGrid>
        <w:gridCol w:w="2642"/>
        <w:gridCol w:w="2940"/>
        <w:gridCol w:w="2940"/>
      </w:tblGrid>
      <w:tr w:rsidTr="00FD4C5C">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D4C5C">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p>
        </w:tc>
      </w:tr>
      <w:tr w:rsidTr="00FD4C5C">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D32F3C" w:rsidP="00D32F3C">
            <w:pPr>
              <w:pStyle w:val="BodyText"/>
            </w:pPr>
          </w:p>
        </w:tc>
      </w:tr>
    </w:tbl>
    <w:p w:rsidR="00FD4C5C" w:rsidP="00D32F3C">
      <w:pPr>
        <w:pStyle w:val="BodyText"/>
      </w:pPr>
    </w:p>
    <w:p w:rsidR="00FD4C5C" w:rsidP="00D32F3C">
      <w:pPr>
        <w:pStyle w:val="BodyText"/>
      </w:pPr>
    </w:p>
    <w:p w:rsidR="00000000" w:rsidRPr="00D32F3C" w:rsidP="00D32F3C">
      <w:pPr>
        <w:pStyle w:val="Heading1"/>
      </w:pPr>
      <w:bookmarkStart w:id="14" w:name="O_204198"/>
      <w:bookmarkEnd w:id="14"/>
      <w:r w:rsidRPr="00D32F3C">
        <w:t>Competency field</w:t>
      </w:r>
    </w:p>
    <w:tbl>
      <w:tblPr>
        <w:tblW w:w="0" w:type="auto"/>
        <w:tblLayout w:type="fixed"/>
        <w:tblCellMar>
          <w:left w:w="62" w:type="dxa"/>
          <w:right w:w="62" w:type="dxa"/>
        </w:tblCellMar>
        <w:tblLook w:val="0000"/>
      </w:tblPr>
      <w:tblGrid>
        <w:gridCol w:w="2776"/>
        <w:gridCol w:w="5746"/>
      </w:tblGrid>
      <w:tr w:rsidTr="00FD4C5C">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D32F3C">
            <w:pPr>
              <w:pStyle w:val="BodyText"/>
              <w:rPr>
                <w:lang w:val="en-NZ"/>
              </w:rPr>
            </w:pPr>
            <w:r w:rsidRPr="00D32F3C">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D32F3C" w:rsidP="00D32F3C">
            <w:pPr>
              <w:pStyle w:val="BodyText"/>
            </w:pPr>
            <w:r w:rsidRPr="00D32F3C">
              <w:t>Sawmilling and Processing</w:t>
            </w:r>
          </w:p>
        </w:tc>
      </w:tr>
    </w:tbl>
    <w:p w:rsidR="00FD4C5C" w:rsidP="00D32F3C">
      <w:pPr>
        <w:pStyle w:val="BodyText"/>
      </w:pPr>
    </w:p>
    <w:p w:rsidR="00FD4C5C" w:rsidP="00D32F3C">
      <w:pPr>
        <w:pStyle w:val="BodyText"/>
      </w:pPr>
    </w:p>
    <w:p w:rsidR="00000000" w:rsidRPr="00D32F3C" w:rsidP="00D32F3C"/>
    <w:sectPr w:rsidSect="00D32F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4C5C" w:rsidP="00FD4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C5C" w:rsidP="00D32F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D4C5C" w:rsidP="00D32F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D4C5C" w:rsidP="00D32F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4C5C" w:rsidP="00FD4C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C5C" w:rsidP="00D32F3C">
    <w:pPr>
      <w:pStyle w:val="Header"/>
      <w:framePr w:wrap="around"/>
    </w:pPr>
    <w:r>
      <w:fldChar w:fldCharType="begin"/>
    </w:r>
    <w:r>
      <w:instrText xml:space="preserve"> TITLE   \* MERGEFORMAT </w:instrText>
    </w:r>
    <w:r>
      <w:fldChar w:fldCharType="separate"/>
    </w:r>
    <w:r>
      <w:t>FPISAW4204B Plan and monitor board conversion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D4C5C" w:rsidP="00D32F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FC7A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184D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A4D1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F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2F3C"/>
    <w:pPr>
      <w:spacing w:before="360" w:after="60"/>
      <w:outlineLvl w:val="0"/>
    </w:pPr>
    <w:rPr>
      <w:sz w:val="32"/>
    </w:rPr>
  </w:style>
  <w:style w:type="paragraph" w:styleId="Heading2">
    <w:name w:val="heading 2"/>
    <w:basedOn w:val="HeadingBase"/>
    <w:next w:val="BodyText"/>
    <w:link w:val="Heading2Char"/>
    <w:qFormat/>
    <w:rsid w:val="00D32F3C"/>
    <w:pPr>
      <w:keepLines/>
      <w:spacing w:before="240" w:after="120"/>
      <w:outlineLvl w:val="1"/>
    </w:pPr>
    <w:rPr>
      <w:sz w:val="28"/>
      <w:szCs w:val="40"/>
    </w:rPr>
  </w:style>
  <w:style w:type="paragraph" w:styleId="Heading3">
    <w:name w:val="heading 3"/>
    <w:basedOn w:val="HeadingBase"/>
    <w:next w:val="BodyText"/>
    <w:link w:val="Heading3Char"/>
    <w:qFormat/>
    <w:rsid w:val="00D32F3C"/>
    <w:pPr>
      <w:spacing w:before="180" w:after="120"/>
      <w:outlineLvl w:val="2"/>
    </w:pPr>
    <w:rPr>
      <w:spacing w:val="-10"/>
      <w:kern w:val="32"/>
    </w:rPr>
  </w:style>
  <w:style w:type="paragraph" w:styleId="Heading4">
    <w:name w:val="heading 4"/>
    <w:basedOn w:val="HeadingBase"/>
    <w:next w:val="BodyText"/>
    <w:link w:val="Heading4Char"/>
    <w:qFormat/>
    <w:rsid w:val="00D32F3C"/>
    <w:pPr>
      <w:spacing w:before="160" w:after="120"/>
      <w:outlineLvl w:val="3"/>
    </w:pPr>
    <w:rPr>
      <w:sz w:val="22"/>
    </w:rPr>
  </w:style>
  <w:style w:type="paragraph" w:styleId="Heading5">
    <w:name w:val="heading 5"/>
    <w:basedOn w:val="HeadingBase"/>
    <w:next w:val="Normal"/>
    <w:link w:val="Heading5Char"/>
    <w:qFormat/>
    <w:rsid w:val="00D32F3C"/>
    <w:pPr>
      <w:spacing w:before="80"/>
      <w:outlineLvl w:val="4"/>
    </w:pPr>
    <w:rPr>
      <w:color w:val="918585"/>
      <w:sz w:val="20"/>
    </w:rPr>
  </w:style>
  <w:style w:type="paragraph" w:styleId="Heading6">
    <w:name w:val="heading 6"/>
    <w:basedOn w:val="HeadingBase"/>
    <w:next w:val="Normal"/>
    <w:link w:val="Heading6Char"/>
    <w:qFormat/>
    <w:rsid w:val="00D32F3C"/>
    <w:pPr>
      <w:spacing w:before="60"/>
      <w:outlineLvl w:val="5"/>
    </w:pPr>
    <w:rPr>
      <w:color w:val="918585"/>
      <w:sz w:val="20"/>
    </w:rPr>
  </w:style>
  <w:style w:type="paragraph" w:styleId="Heading7">
    <w:name w:val="heading 7"/>
    <w:basedOn w:val="Normal"/>
    <w:next w:val="Normal"/>
    <w:link w:val="Heading7Char"/>
    <w:qFormat/>
    <w:rsid w:val="00D32F3C"/>
    <w:pPr>
      <w:ind w:left="720"/>
      <w:outlineLvl w:val="6"/>
    </w:pPr>
    <w:rPr>
      <w:i/>
    </w:rPr>
  </w:style>
  <w:style w:type="paragraph" w:styleId="Heading8">
    <w:name w:val="heading 8"/>
    <w:basedOn w:val="Normal"/>
    <w:next w:val="Normal"/>
    <w:link w:val="Heading8Char"/>
    <w:qFormat/>
    <w:rsid w:val="00D32F3C"/>
    <w:pPr>
      <w:ind w:left="720"/>
      <w:outlineLvl w:val="7"/>
    </w:pPr>
    <w:rPr>
      <w:i/>
    </w:rPr>
  </w:style>
  <w:style w:type="paragraph" w:styleId="Heading9">
    <w:name w:val="heading 9"/>
    <w:basedOn w:val="Normal"/>
    <w:next w:val="Normal"/>
    <w:link w:val="Heading9Char"/>
    <w:qFormat/>
    <w:rsid w:val="00D32F3C"/>
    <w:pPr>
      <w:ind w:left="720"/>
      <w:outlineLvl w:val="8"/>
    </w:pPr>
    <w:rPr>
      <w:i/>
    </w:rPr>
  </w:style>
  <w:style w:type="character" w:default="1" w:styleId="DefaultParagraphFont">
    <w:name w:val="Default Paragraph Font"/>
    <w:uiPriority w:val="1"/>
    <w:unhideWhenUsed/>
    <w:rsid w:val="00D32F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F3C"/>
  </w:style>
  <w:style w:type="character" w:customStyle="1" w:styleId="Heading1Char">
    <w:name w:val="Heading 1 Char"/>
    <w:basedOn w:val="DefaultParagraphFont"/>
    <w:link w:val="Heading1"/>
    <w:rsid w:val="00D32F3C"/>
    <w:rPr>
      <w:rFonts w:ascii="Times New Roman" w:eastAsia="Times New Roman" w:hAnsi="Times New Roman" w:cs="Times New Roman"/>
      <w:b/>
      <w:sz w:val="32"/>
      <w:szCs w:val="20"/>
      <w:lang w:eastAsia="en-US"/>
    </w:rPr>
  </w:style>
  <w:style w:type="paragraph" w:styleId="BodyText">
    <w:name w:val="Body Text"/>
    <w:basedOn w:val="Normal"/>
    <w:link w:val="BodyTextChar"/>
    <w:rsid w:val="00D32F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2F3C"/>
    <w:rPr>
      <w:rFonts w:ascii="Times New Roman" w:eastAsia="Times New Roman" w:hAnsi="Times New Roman" w:cs="Times New Roman"/>
      <w:sz w:val="24"/>
      <w:lang w:val="en-US" w:eastAsia="en-US"/>
    </w:rPr>
  </w:style>
  <w:style w:type="paragraph" w:styleId="Footer">
    <w:name w:val="footer"/>
    <w:basedOn w:val="Normal"/>
    <w:link w:val="FooterChar"/>
    <w:rsid w:val="00D32F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F3C"/>
    <w:rPr>
      <w:rFonts w:ascii="Times New Roman" w:eastAsia="Times New Roman" w:hAnsi="Times New Roman" w:cs="Times New Roman"/>
      <w:sz w:val="16"/>
      <w:lang w:val="en-US" w:eastAsia="en-US"/>
    </w:rPr>
  </w:style>
  <w:style w:type="paragraph" w:styleId="List">
    <w:name w:val="List"/>
    <w:basedOn w:val="BodyText"/>
    <w:next w:val="BodyText"/>
    <w:rsid w:val="00D32F3C"/>
    <w:pPr>
      <w:tabs>
        <w:tab w:val="left" w:pos="340"/>
      </w:tabs>
      <w:spacing w:before="60" w:after="60"/>
      <w:ind w:left="340" w:hanging="340"/>
    </w:pPr>
  </w:style>
  <w:style w:type="paragraph" w:styleId="ListBullet">
    <w:name w:val="List Bullet"/>
    <w:basedOn w:val="List"/>
    <w:rsid w:val="00D32F3C"/>
    <w:pPr>
      <w:numPr>
        <w:numId w:val="14"/>
      </w:numPr>
      <w:tabs>
        <w:tab w:val="clear" w:pos="340"/>
      </w:tabs>
      <w:spacing w:before="40" w:after="40"/>
    </w:pPr>
  </w:style>
  <w:style w:type="character" w:customStyle="1" w:styleId="SpecialBold">
    <w:name w:val="Special Bold"/>
    <w:basedOn w:val="DefaultParagraphFont"/>
    <w:rsid w:val="00D32F3C"/>
    <w:rPr>
      <w:b/>
      <w:spacing w:val="0"/>
    </w:rPr>
  </w:style>
  <w:style w:type="paragraph" w:styleId="ListBullet2">
    <w:name w:val="List Bullet 2"/>
    <w:basedOn w:val="List2"/>
    <w:rsid w:val="00D32F3C"/>
    <w:pPr>
      <w:numPr>
        <w:numId w:val="15"/>
      </w:numPr>
      <w:tabs>
        <w:tab w:val="clear" w:pos="680"/>
      </w:tabs>
    </w:pPr>
  </w:style>
  <w:style w:type="paragraph" w:styleId="Header">
    <w:name w:val="header"/>
    <w:basedOn w:val="Normal"/>
    <w:link w:val="HeaderChar"/>
    <w:rsid w:val="00D32F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F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2F3C"/>
    <w:pPr>
      <w:spacing w:before="240" w:after="120"/>
      <w:outlineLvl w:val="0"/>
    </w:pPr>
    <w:rPr>
      <w:rFonts w:ascii="Times New Roman" w:hAnsi="Times New Roman"/>
      <w:b/>
      <w:sz w:val="28"/>
    </w:rPr>
  </w:style>
  <w:style w:type="paragraph" w:customStyle="1" w:styleId="AllowPageBreak">
    <w:name w:val="AllowPageBreak"/>
    <w:rsid w:val="00D32F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2F3C"/>
    <w:pPr>
      <w:tabs>
        <w:tab w:val="left" w:pos="680"/>
      </w:tabs>
      <w:spacing w:before="60" w:after="60"/>
      <w:ind w:left="680" w:hanging="340"/>
    </w:pPr>
  </w:style>
  <w:style w:type="paragraph" w:styleId="ListBullet3">
    <w:name w:val="List Bullet 3"/>
    <w:basedOn w:val="List3"/>
    <w:rsid w:val="00D32F3C"/>
    <w:pPr>
      <w:numPr>
        <w:numId w:val="3"/>
      </w:numPr>
      <w:tabs>
        <w:tab w:val="clear" w:pos="1021"/>
      </w:tabs>
      <w:ind w:left="1037" w:hanging="357"/>
    </w:pPr>
  </w:style>
  <w:style w:type="character" w:customStyle="1" w:styleId="BoldandItalics">
    <w:name w:val="Bold and Italics"/>
    <w:qFormat/>
    <w:rsid w:val="00D32F3C"/>
    <w:rPr>
      <w:b/>
      <w:i/>
      <w:u w:val="none"/>
    </w:rPr>
  </w:style>
  <w:style w:type="character" w:customStyle="1" w:styleId="Heading2Char">
    <w:name w:val="Heading 2 Char"/>
    <w:basedOn w:val="DefaultParagraphFont"/>
    <w:link w:val="Heading2"/>
    <w:rsid w:val="00D32F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F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F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F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F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F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2F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2F3C"/>
    <w:rPr>
      <w:rFonts w:ascii="Courier New" w:eastAsia="Times New Roman" w:hAnsi="Courier New" w:cs="Times New Roman"/>
      <w:i/>
      <w:szCs w:val="20"/>
      <w:lang w:val="en-US" w:eastAsia="en-US"/>
    </w:rPr>
  </w:style>
  <w:style w:type="paragraph" w:customStyle="1" w:styleId="HeadingBase">
    <w:name w:val="Heading Base"/>
    <w:rsid w:val="00D32F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F3C"/>
    <w:pPr>
      <w:tabs>
        <w:tab w:val="right" w:leader="dot" w:pos="9072"/>
      </w:tabs>
      <w:ind w:left="567"/>
    </w:pPr>
    <w:rPr>
      <w:szCs w:val="22"/>
    </w:rPr>
  </w:style>
  <w:style w:type="paragraph" w:customStyle="1" w:styleId="TOCBase">
    <w:name w:val="TOC Base"/>
    <w:rsid w:val="00D32F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F3C"/>
    <w:pPr>
      <w:tabs>
        <w:tab w:val="right" w:leader="dot" w:pos="9072"/>
      </w:tabs>
      <w:spacing w:before="40" w:after="40"/>
      <w:ind w:left="284"/>
    </w:pPr>
    <w:rPr>
      <w:rFonts w:ascii="Times New Roman" w:hAnsi="Times New Roman"/>
    </w:rPr>
  </w:style>
  <w:style w:type="paragraph" w:styleId="TOC1">
    <w:name w:val="toc 1"/>
    <w:basedOn w:val="TOCBase"/>
    <w:next w:val="Normal"/>
    <w:rsid w:val="00D32F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2F3C"/>
    <w:pPr>
      <w:spacing w:before="5040"/>
      <w:jc w:val="center"/>
    </w:pPr>
    <w:rPr>
      <w:sz w:val="48"/>
      <w:szCs w:val="72"/>
      <w:lang w:val="en-US"/>
    </w:rPr>
  </w:style>
  <w:style w:type="character" w:customStyle="1" w:styleId="TitleChar">
    <w:name w:val="Title Char"/>
    <w:basedOn w:val="DefaultParagraphFont"/>
    <w:link w:val="Title"/>
    <w:rsid w:val="00D32F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F3C"/>
    <w:pPr>
      <w:tabs>
        <w:tab w:val="left" w:pos="3600"/>
        <w:tab w:val="left" w:pos="3958"/>
      </w:tabs>
    </w:pPr>
  </w:style>
  <w:style w:type="paragraph" w:customStyle="1" w:styleId="Note">
    <w:name w:val="Note"/>
    <w:basedOn w:val="BodyText"/>
    <w:rsid w:val="00D32F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F3C"/>
    <w:pPr>
      <w:framePr w:wrap="auto" w:hAnchor="text" w:y="6049"/>
    </w:pPr>
    <w:rPr>
      <w:color w:val="000000"/>
      <w:sz w:val="40"/>
    </w:rPr>
  </w:style>
  <w:style w:type="paragraph" w:customStyle="1" w:styleId="TOCTitle">
    <w:name w:val="TOCTitle"/>
    <w:basedOn w:val="Heading1"/>
    <w:rsid w:val="00D32F3C"/>
    <w:pPr>
      <w:spacing w:after="240"/>
      <w:jc w:val="center"/>
      <w:outlineLvl w:val="9"/>
    </w:pPr>
    <w:rPr>
      <w:caps/>
    </w:rPr>
  </w:style>
  <w:style w:type="paragraph" w:customStyle="1" w:styleId="Version">
    <w:name w:val="Version"/>
    <w:rsid w:val="00D32F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F3C"/>
    <w:pPr>
      <w:keepNext w:val="0"/>
      <w:tabs>
        <w:tab w:val="right" w:pos="4176"/>
      </w:tabs>
      <w:ind w:left="198" w:hanging="198"/>
    </w:pPr>
    <w:rPr>
      <w:rFonts w:ascii="Garamond" w:hAnsi="Garamond"/>
    </w:rPr>
  </w:style>
  <w:style w:type="paragraph" w:styleId="IndexHeading">
    <w:name w:val="index heading"/>
    <w:basedOn w:val="Normal"/>
    <w:next w:val="Index1"/>
    <w:semiHidden/>
    <w:rsid w:val="00D32F3C"/>
    <w:pPr>
      <w:spacing w:before="120" w:after="120"/>
    </w:pPr>
    <w:rPr>
      <w:rFonts w:ascii="Arial" w:hAnsi="Arial"/>
      <w:b/>
      <w:color w:val="918585"/>
      <w:sz w:val="24"/>
    </w:rPr>
  </w:style>
  <w:style w:type="paragraph" w:customStyle="1" w:styleId="Chapter">
    <w:name w:val="Chapter"/>
    <w:basedOn w:val="Normal"/>
    <w:rsid w:val="00D32F3C"/>
    <w:pPr>
      <w:spacing w:before="240"/>
    </w:pPr>
    <w:rPr>
      <w:rFonts w:ascii="Times New Roman" w:hAnsi="Times New Roman"/>
      <w:smallCaps/>
      <w:spacing w:val="80"/>
      <w:sz w:val="28"/>
    </w:rPr>
  </w:style>
  <w:style w:type="paragraph" w:customStyle="1" w:styleId="InChapter">
    <w:name w:val="InChapter"/>
    <w:basedOn w:val="Heading3"/>
    <w:rsid w:val="00D32F3C"/>
    <w:pPr>
      <w:spacing w:after="240"/>
      <w:outlineLvl w:val="9"/>
    </w:pPr>
    <w:rPr>
      <w:noProof/>
    </w:rPr>
  </w:style>
  <w:style w:type="paragraph" w:styleId="Index2">
    <w:name w:val="index 2"/>
    <w:basedOn w:val="Normal"/>
    <w:next w:val="Normal"/>
    <w:semiHidden/>
    <w:rsid w:val="00D32F3C"/>
    <w:pPr>
      <w:tabs>
        <w:tab w:val="right" w:pos="4176"/>
      </w:tabs>
      <w:ind w:left="568" w:hanging="284"/>
    </w:pPr>
    <w:rPr>
      <w:rFonts w:ascii="Garamond" w:hAnsi="Garamond"/>
    </w:rPr>
  </w:style>
  <w:style w:type="paragraph" w:customStyle="1" w:styleId="Byline">
    <w:name w:val="Byline"/>
    <w:rsid w:val="00D32F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F3C"/>
    <w:pPr>
      <w:tabs>
        <w:tab w:val="clear" w:pos="3600"/>
        <w:tab w:val="clear" w:pos="3958"/>
      </w:tabs>
      <w:jc w:val="right"/>
    </w:pPr>
  </w:style>
  <w:style w:type="character" w:styleId="Emphasis">
    <w:name w:val="Emphasis"/>
    <w:basedOn w:val="DefaultParagraphFont"/>
    <w:qFormat/>
    <w:rsid w:val="00D32F3C"/>
    <w:rPr>
      <w:i/>
    </w:rPr>
  </w:style>
  <w:style w:type="paragraph" w:styleId="Caption">
    <w:name w:val="caption"/>
    <w:basedOn w:val="BodyText"/>
    <w:next w:val="Normal"/>
    <w:qFormat/>
    <w:rsid w:val="00D32F3C"/>
    <w:pPr>
      <w:framePr w:w="2268" w:hSpace="181" w:vSpace="181" w:wrap="around" w:vAnchor="text" w:hAnchor="page" w:x="1135" w:y="285" w:anchorLock="1"/>
    </w:pPr>
    <w:rPr>
      <w:i/>
    </w:rPr>
  </w:style>
  <w:style w:type="paragraph" w:customStyle="1" w:styleId="MiniTOCTitle">
    <w:name w:val="MiniTOCTitle"/>
    <w:basedOn w:val="Heading4"/>
    <w:rsid w:val="00D32F3C"/>
    <w:pPr>
      <w:spacing w:before="240"/>
      <w:outlineLvl w:val="9"/>
    </w:pPr>
    <w:rPr>
      <w:noProof/>
      <w:sz w:val="24"/>
    </w:rPr>
  </w:style>
  <w:style w:type="paragraph" w:customStyle="1" w:styleId="MiniTOCItem">
    <w:name w:val="MiniTOCItem"/>
    <w:basedOn w:val="ListBullet"/>
    <w:rsid w:val="00D32F3C"/>
    <w:pPr>
      <w:numPr>
        <w:numId w:val="0"/>
      </w:numPr>
      <w:tabs>
        <w:tab w:val="right" w:leader="dot" w:pos="6521"/>
      </w:tabs>
      <w:spacing w:before="0" w:after="0"/>
    </w:pPr>
  </w:style>
  <w:style w:type="paragraph" w:customStyle="1" w:styleId="TOFTitle">
    <w:name w:val="TOFTitle"/>
    <w:basedOn w:val="TOCTitle"/>
    <w:rsid w:val="00D32F3C"/>
  </w:style>
  <w:style w:type="paragraph" w:styleId="TableofFigures">
    <w:name w:val="table of figures"/>
    <w:basedOn w:val="Normal"/>
    <w:next w:val="Normal"/>
    <w:semiHidden/>
    <w:rsid w:val="00D32F3C"/>
    <w:pPr>
      <w:tabs>
        <w:tab w:val="right" w:leader="dot" w:pos="9072"/>
      </w:tabs>
      <w:ind w:left="970" w:hanging="403"/>
    </w:pPr>
    <w:rPr>
      <w:rFonts w:ascii="Times New Roman" w:hAnsi="Times New Roman"/>
      <w:b/>
    </w:rPr>
  </w:style>
  <w:style w:type="paragraph" w:styleId="ListNumber">
    <w:name w:val="List Number"/>
    <w:basedOn w:val="List"/>
    <w:rsid w:val="00D32F3C"/>
    <w:pPr>
      <w:numPr>
        <w:numId w:val="12"/>
      </w:numPr>
    </w:pPr>
  </w:style>
  <w:style w:type="character" w:customStyle="1" w:styleId="WingdingSymbols">
    <w:name w:val="Wingding Symbols"/>
    <w:rsid w:val="00D32F3C"/>
    <w:rPr>
      <w:rFonts w:ascii="Wingdings" w:hAnsi="Wingdings"/>
    </w:rPr>
  </w:style>
  <w:style w:type="paragraph" w:customStyle="1" w:styleId="TableHeading">
    <w:name w:val="Table Heading"/>
    <w:basedOn w:val="HeadingBase"/>
    <w:rsid w:val="00D32F3C"/>
    <w:pPr>
      <w:keepLines/>
      <w:pBdr>
        <w:bottom w:val="single" w:sz="6" w:space="1" w:color="918585"/>
      </w:pBdr>
      <w:spacing w:before="240"/>
    </w:pPr>
  </w:style>
  <w:style w:type="character" w:customStyle="1" w:styleId="HotSpot">
    <w:name w:val="HotSpot"/>
    <w:rsid w:val="00D32F3C"/>
    <w:rPr>
      <w:color w:val="0033CC"/>
      <w:u w:val="none"/>
    </w:rPr>
  </w:style>
  <w:style w:type="paragraph" w:customStyle="1" w:styleId="BodyTextRight">
    <w:name w:val="Body Text Right"/>
    <w:basedOn w:val="BodyText"/>
    <w:rsid w:val="00D32F3C"/>
    <w:pPr>
      <w:spacing w:before="0" w:after="0"/>
      <w:jc w:val="right"/>
    </w:pPr>
  </w:style>
  <w:style w:type="paragraph" w:styleId="Index3">
    <w:name w:val="index 3"/>
    <w:basedOn w:val="ListNumber2"/>
    <w:next w:val="Normal"/>
    <w:semiHidden/>
    <w:rsid w:val="00D32F3C"/>
    <w:pPr>
      <w:numPr>
        <w:numId w:val="0"/>
      </w:numPr>
      <w:tabs>
        <w:tab w:val="right" w:leader="dot" w:pos="4176"/>
      </w:tabs>
    </w:pPr>
  </w:style>
  <w:style w:type="paragraph" w:styleId="ListNumber2">
    <w:name w:val="List Number 2"/>
    <w:basedOn w:val="List2"/>
    <w:rsid w:val="00D32F3C"/>
    <w:pPr>
      <w:numPr>
        <w:numId w:val="11"/>
      </w:numPr>
      <w:tabs>
        <w:tab w:val="clear" w:pos="1060"/>
      </w:tabs>
    </w:pPr>
  </w:style>
  <w:style w:type="paragraph" w:customStyle="1" w:styleId="MarginNote">
    <w:name w:val="Margin Note"/>
    <w:basedOn w:val="BodyText"/>
    <w:rsid w:val="00D32F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F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F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2F3C"/>
    <w:rPr>
      <w:sz w:val="32"/>
    </w:rPr>
  </w:style>
  <w:style w:type="paragraph" w:customStyle="1" w:styleId="HeadingProcedure">
    <w:name w:val="Heading Procedure"/>
    <w:basedOn w:val="HeadingBase"/>
    <w:next w:val="Normal"/>
    <w:rsid w:val="00D32F3C"/>
    <w:pPr>
      <w:tabs>
        <w:tab w:val="left" w:pos="0"/>
      </w:tabs>
      <w:spacing w:before="120" w:after="60"/>
    </w:pPr>
    <w:rPr>
      <w:i/>
      <w:color w:val="918585"/>
      <w:sz w:val="22"/>
    </w:rPr>
  </w:style>
  <w:style w:type="paragraph" w:customStyle="1" w:styleId="TableBodyText">
    <w:name w:val="Table Body Text"/>
    <w:basedOn w:val="BodyText"/>
    <w:rsid w:val="00D32F3C"/>
    <w:pPr>
      <w:spacing w:before="60" w:after="60"/>
    </w:pPr>
  </w:style>
  <w:style w:type="paragraph" w:styleId="ListContinue">
    <w:name w:val="List Continue"/>
    <w:basedOn w:val="List"/>
    <w:rsid w:val="00D32F3C"/>
    <w:pPr>
      <w:ind w:firstLine="0"/>
    </w:pPr>
  </w:style>
  <w:style w:type="paragraph" w:customStyle="1" w:styleId="ListNote">
    <w:name w:val="List Note"/>
    <w:basedOn w:val="List"/>
    <w:rsid w:val="00D32F3C"/>
    <w:pPr>
      <w:pBdr>
        <w:top w:val="single" w:sz="6" w:space="2" w:color="918585"/>
        <w:bottom w:val="single" w:sz="6" w:space="2" w:color="918585"/>
      </w:pBdr>
      <w:tabs>
        <w:tab w:val="left" w:pos="1021"/>
      </w:tabs>
      <w:ind w:firstLine="0"/>
    </w:pPr>
  </w:style>
  <w:style w:type="paragraph" w:customStyle="1" w:styleId="Warning">
    <w:name w:val="Warning"/>
    <w:basedOn w:val="BodyText"/>
    <w:rsid w:val="00D32F3C"/>
    <w:pPr>
      <w:shd w:val="clear" w:color="auto" w:fill="D9D9D9"/>
      <w:tabs>
        <w:tab w:val="left" w:pos="992"/>
      </w:tabs>
      <w:ind w:left="119" w:right="119"/>
    </w:pPr>
    <w:rPr>
      <w:sz w:val="20"/>
    </w:rPr>
  </w:style>
  <w:style w:type="paragraph" w:customStyle="1" w:styleId="MarginIcons">
    <w:name w:val="Margin Icons"/>
    <w:basedOn w:val="BodyText"/>
    <w:rsid w:val="00D32F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F3C"/>
    <w:rPr>
      <w:rFonts w:ascii="Courier New" w:hAnsi="Courier New"/>
    </w:rPr>
  </w:style>
  <w:style w:type="paragraph" w:customStyle="1" w:styleId="NoteBullet">
    <w:name w:val="Note Bullet"/>
    <w:basedOn w:val="Note"/>
    <w:rsid w:val="00D32F3C"/>
    <w:pPr>
      <w:tabs>
        <w:tab w:val="clear" w:pos="680"/>
      </w:tabs>
      <w:spacing w:before="60" w:after="60"/>
    </w:pPr>
  </w:style>
  <w:style w:type="paragraph" w:customStyle="1" w:styleId="SubHeading2">
    <w:name w:val="SubHeading2"/>
    <w:basedOn w:val="HeadingBase"/>
    <w:rsid w:val="00D32F3C"/>
    <w:pPr>
      <w:spacing w:before="240" w:after="60"/>
    </w:pPr>
    <w:rPr>
      <w:sz w:val="20"/>
    </w:rPr>
  </w:style>
  <w:style w:type="paragraph" w:customStyle="1" w:styleId="SubHeading1">
    <w:name w:val="SubHeading1"/>
    <w:basedOn w:val="HeadingBase"/>
    <w:rsid w:val="00D32F3C"/>
    <w:pPr>
      <w:spacing w:before="240" w:after="60"/>
    </w:pPr>
    <w:rPr>
      <w:color w:val="918585"/>
      <w:sz w:val="22"/>
    </w:rPr>
  </w:style>
  <w:style w:type="paragraph" w:customStyle="1" w:styleId="SideHeading">
    <w:name w:val="Side Heading"/>
    <w:basedOn w:val="HeadingBase"/>
    <w:rsid w:val="00D32F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F3C"/>
    <w:pPr>
      <w:numPr>
        <w:numId w:val="13"/>
      </w:numPr>
    </w:pPr>
  </w:style>
  <w:style w:type="paragraph" w:styleId="PlainText">
    <w:name w:val="Plain Text"/>
    <w:basedOn w:val="Normal"/>
    <w:link w:val="PlainTextChar"/>
    <w:rsid w:val="00D32F3C"/>
    <w:rPr>
      <w:sz w:val="20"/>
    </w:rPr>
  </w:style>
  <w:style w:type="character" w:customStyle="1" w:styleId="PlainTextChar">
    <w:name w:val="Plain Text Char"/>
    <w:basedOn w:val="DefaultParagraphFont"/>
    <w:link w:val="PlainText"/>
    <w:rsid w:val="00D32F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2F3C"/>
    <w:rPr>
      <w:b/>
      <w:smallCaps/>
    </w:rPr>
  </w:style>
  <w:style w:type="paragraph" w:customStyle="1" w:styleId="TableListNumber">
    <w:name w:val="Table List Number"/>
    <w:basedOn w:val="ListNumber"/>
    <w:rsid w:val="00D32F3C"/>
    <w:pPr>
      <w:numPr>
        <w:numId w:val="0"/>
      </w:numPr>
    </w:pPr>
  </w:style>
  <w:style w:type="paragraph" w:styleId="TOC4">
    <w:name w:val="toc 4"/>
    <w:basedOn w:val="TOCBase"/>
    <w:next w:val="Normal"/>
    <w:semiHidden/>
    <w:rsid w:val="00D32F3C"/>
    <w:pPr>
      <w:tabs>
        <w:tab w:val="right" w:leader="dot" w:pos="9071"/>
      </w:tabs>
      <w:ind w:left="1701"/>
    </w:pPr>
  </w:style>
  <w:style w:type="paragraph" w:customStyle="1" w:styleId="ListAlpha">
    <w:name w:val="List Alpha"/>
    <w:basedOn w:val="List"/>
    <w:rsid w:val="00D32F3C"/>
    <w:pPr>
      <w:numPr>
        <w:numId w:val="10"/>
      </w:numPr>
    </w:pPr>
  </w:style>
  <w:style w:type="paragraph" w:customStyle="1" w:styleId="ListAlpha2">
    <w:name w:val="List Alpha 2"/>
    <w:basedOn w:val="List2"/>
    <w:rsid w:val="00D32F3C"/>
    <w:pPr>
      <w:numPr>
        <w:numId w:val="9"/>
      </w:numPr>
    </w:pPr>
  </w:style>
  <w:style w:type="paragraph" w:styleId="List3">
    <w:name w:val="List 3"/>
    <w:basedOn w:val="BodyText"/>
    <w:rsid w:val="00D32F3C"/>
    <w:pPr>
      <w:tabs>
        <w:tab w:val="left" w:pos="1021"/>
      </w:tabs>
      <w:spacing w:before="60" w:after="60"/>
      <w:ind w:left="1020" w:hanging="340"/>
    </w:pPr>
  </w:style>
  <w:style w:type="paragraph" w:styleId="List4">
    <w:name w:val="List 4"/>
    <w:basedOn w:val="BodyText"/>
    <w:rsid w:val="00D32F3C"/>
    <w:pPr>
      <w:tabs>
        <w:tab w:val="left" w:pos="1361"/>
      </w:tabs>
      <w:spacing w:before="60" w:after="60"/>
      <w:ind w:left="1361" w:hanging="340"/>
    </w:pPr>
  </w:style>
  <w:style w:type="paragraph" w:styleId="List5">
    <w:name w:val="List 5"/>
    <w:basedOn w:val="BodyText"/>
    <w:rsid w:val="00D32F3C"/>
    <w:pPr>
      <w:tabs>
        <w:tab w:val="left" w:pos="1701"/>
      </w:tabs>
      <w:spacing w:before="60" w:after="60"/>
      <w:ind w:left="1701" w:hanging="340"/>
    </w:pPr>
  </w:style>
  <w:style w:type="paragraph" w:styleId="ListBullet4">
    <w:name w:val="List Bullet 4"/>
    <w:basedOn w:val="List4"/>
    <w:rsid w:val="00D32F3C"/>
    <w:pPr>
      <w:numPr>
        <w:numId w:val="4"/>
      </w:numPr>
    </w:pPr>
  </w:style>
  <w:style w:type="paragraph" w:styleId="ListBullet5">
    <w:name w:val="List Bullet 5"/>
    <w:basedOn w:val="List5"/>
    <w:rsid w:val="00D32F3C"/>
    <w:pPr>
      <w:numPr>
        <w:numId w:val="5"/>
      </w:numPr>
    </w:pPr>
  </w:style>
  <w:style w:type="paragraph" w:styleId="ListContinue2">
    <w:name w:val="List Continue 2"/>
    <w:basedOn w:val="List2"/>
    <w:rsid w:val="00D32F3C"/>
    <w:pPr>
      <w:ind w:firstLine="0"/>
    </w:pPr>
  </w:style>
  <w:style w:type="paragraph" w:styleId="ListContinue3">
    <w:name w:val="List Continue 3"/>
    <w:basedOn w:val="List3"/>
    <w:rsid w:val="00D32F3C"/>
    <w:pPr>
      <w:ind w:left="1021" w:firstLine="0"/>
    </w:pPr>
  </w:style>
  <w:style w:type="paragraph" w:styleId="ListContinue4">
    <w:name w:val="List Continue 4"/>
    <w:basedOn w:val="List4"/>
    <w:rsid w:val="00D32F3C"/>
    <w:pPr>
      <w:ind w:firstLine="0"/>
    </w:pPr>
  </w:style>
  <w:style w:type="paragraph" w:styleId="ListContinue5">
    <w:name w:val="List Continue 5"/>
    <w:basedOn w:val="List5"/>
    <w:rsid w:val="00D32F3C"/>
    <w:pPr>
      <w:ind w:firstLine="0"/>
    </w:pPr>
  </w:style>
  <w:style w:type="paragraph" w:styleId="ListNumber3">
    <w:name w:val="List Number 3"/>
    <w:basedOn w:val="List3"/>
    <w:rsid w:val="00D32F3C"/>
    <w:pPr>
      <w:numPr>
        <w:numId w:val="6"/>
      </w:numPr>
    </w:pPr>
  </w:style>
  <w:style w:type="paragraph" w:styleId="ListNumber4">
    <w:name w:val="List Number 4"/>
    <w:basedOn w:val="List4"/>
    <w:rsid w:val="00D32F3C"/>
    <w:pPr>
      <w:numPr>
        <w:numId w:val="7"/>
      </w:numPr>
    </w:pPr>
  </w:style>
  <w:style w:type="paragraph" w:styleId="ListNumber5">
    <w:name w:val="List Number 5"/>
    <w:basedOn w:val="List5"/>
    <w:rsid w:val="00D32F3C"/>
    <w:pPr>
      <w:numPr>
        <w:numId w:val="8"/>
      </w:numPr>
    </w:pPr>
  </w:style>
  <w:style w:type="paragraph" w:styleId="BlockText">
    <w:name w:val="Block Text"/>
    <w:basedOn w:val="Normal"/>
    <w:rsid w:val="00D32F3C"/>
    <w:pPr>
      <w:spacing w:after="120"/>
      <w:ind w:left="1440" w:right="1440"/>
    </w:pPr>
  </w:style>
  <w:style w:type="character" w:customStyle="1" w:styleId="Subscript">
    <w:name w:val="Subscript"/>
    <w:basedOn w:val="DefaultParagraphFont"/>
    <w:rsid w:val="00D32F3C"/>
    <w:rPr>
      <w:sz w:val="16"/>
      <w:vertAlign w:val="subscript"/>
    </w:rPr>
  </w:style>
  <w:style w:type="character" w:customStyle="1" w:styleId="Superscript">
    <w:name w:val="Superscript"/>
    <w:basedOn w:val="DefaultParagraphFont"/>
    <w:rsid w:val="00D32F3C"/>
    <w:rPr>
      <w:sz w:val="16"/>
      <w:vertAlign w:val="superscript"/>
    </w:rPr>
  </w:style>
  <w:style w:type="character" w:customStyle="1" w:styleId="Symbols">
    <w:name w:val="Symbols"/>
    <w:basedOn w:val="DefaultParagraphFont"/>
    <w:rsid w:val="00D32F3C"/>
    <w:rPr>
      <w:rFonts w:ascii="Symbol" w:hAnsi="Symbol"/>
    </w:rPr>
  </w:style>
  <w:style w:type="character" w:customStyle="1" w:styleId="MenuOptions">
    <w:name w:val="Menu Options"/>
    <w:basedOn w:val="DefaultParagraphFont"/>
    <w:rsid w:val="00D32F3C"/>
    <w:rPr>
      <w:rFonts w:ascii="Arial Narrow" w:hAnsi="Arial Narrow"/>
      <w:smallCaps/>
    </w:rPr>
  </w:style>
  <w:style w:type="character" w:customStyle="1" w:styleId="Buttons">
    <w:name w:val="Buttons"/>
    <w:basedOn w:val="DefaultParagraphFont"/>
    <w:rsid w:val="00D32F3C"/>
    <w:rPr>
      <w:b/>
    </w:rPr>
  </w:style>
  <w:style w:type="character" w:customStyle="1" w:styleId="Underlined">
    <w:name w:val="Underlined"/>
    <w:basedOn w:val="DefaultParagraphFont"/>
    <w:rsid w:val="00D32F3C"/>
    <w:rPr>
      <w:u w:val="single"/>
    </w:rPr>
  </w:style>
  <w:style w:type="paragraph" w:customStyle="1" w:styleId="TableBodyTextRight">
    <w:name w:val="Table Body Text Right"/>
    <w:basedOn w:val="TableBodyText"/>
    <w:rsid w:val="00D32F3C"/>
    <w:pPr>
      <w:widowControl w:val="0"/>
      <w:autoSpaceDE w:val="0"/>
      <w:autoSpaceDN w:val="0"/>
      <w:adjustRightInd w:val="0"/>
      <w:jc w:val="right"/>
    </w:pPr>
    <w:rPr>
      <w:rFonts w:cs="Arial"/>
      <w:szCs w:val="18"/>
    </w:rPr>
  </w:style>
  <w:style w:type="paragraph" w:customStyle="1" w:styleId="CopyrightText">
    <w:name w:val="Copyright Text"/>
    <w:basedOn w:val="BodyText"/>
    <w:rsid w:val="00D32F3C"/>
    <w:rPr>
      <w:sz w:val="18"/>
    </w:rPr>
  </w:style>
  <w:style w:type="paragraph" w:customStyle="1" w:styleId="BodySmallRight">
    <w:name w:val="Body Small Right"/>
    <w:basedOn w:val="BodyTextRight"/>
    <w:rsid w:val="00D32F3C"/>
    <w:rPr>
      <w:sz w:val="18"/>
      <w:szCs w:val="18"/>
    </w:rPr>
  </w:style>
  <w:style w:type="paragraph" w:customStyle="1" w:styleId="MarginEdition">
    <w:name w:val="Margin Edition"/>
    <w:basedOn w:val="MarginNote"/>
    <w:rsid w:val="00D32F3C"/>
    <w:pPr>
      <w:spacing w:before="0" w:after="0"/>
    </w:pPr>
    <w:rPr>
      <w:rFonts w:ascii="Times New Roman" w:hAnsi="Times New Roman"/>
      <w:color w:val="999999"/>
    </w:rPr>
  </w:style>
  <w:style w:type="paragraph" w:customStyle="1" w:styleId="Spacer">
    <w:name w:val="Spacer"/>
    <w:basedOn w:val="Normal"/>
    <w:rsid w:val="00D32F3C"/>
    <w:rPr>
      <w:sz w:val="2"/>
      <w:szCs w:val="2"/>
    </w:rPr>
  </w:style>
  <w:style w:type="character" w:customStyle="1" w:styleId="Small">
    <w:name w:val="Small"/>
    <w:basedOn w:val="DefaultParagraphFont"/>
    <w:rsid w:val="00D32F3C"/>
    <w:rPr>
      <w:sz w:val="16"/>
    </w:rPr>
  </w:style>
  <w:style w:type="paragraph" w:customStyle="1" w:styleId="WideTable">
    <w:name w:val="Wide Table"/>
    <w:basedOn w:val="Normal"/>
    <w:rsid w:val="00D32F3C"/>
    <w:pPr>
      <w:ind w:left="-1418"/>
    </w:pPr>
    <w:rPr>
      <w:sz w:val="2"/>
      <w:szCs w:val="2"/>
    </w:rPr>
  </w:style>
  <w:style w:type="character" w:styleId="PageNumber">
    <w:name w:val="page number"/>
    <w:basedOn w:val="DefaultParagraphFont"/>
    <w:rsid w:val="00D32F3C"/>
  </w:style>
  <w:style w:type="paragraph" w:styleId="Quote">
    <w:name w:val="Quote"/>
    <w:basedOn w:val="Heading1"/>
    <w:link w:val="QuoteChar"/>
    <w:qFormat/>
    <w:rsid w:val="00D32F3C"/>
    <w:rPr>
      <w:b w:val="0"/>
      <w:sz w:val="72"/>
      <w:szCs w:val="72"/>
      <w:lang w:val="en-NZ"/>
    </w:rPr>
  </w:style>
  <w:style w:type="character" w:customStyle="1" w:styleId="QuoteChar">
    <w:name w:val="Quote Char"/>
    <w:basedOn w:val="DefaultParagraphFont"/>
    <w:link w:val="Quote"/>
    <w:rsid w:val="00D32F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F3C"/>
    <w:pPr>
      <w:pageBreakBefore/>
    </w:pPr>
  </w:style>
  <w:style w:type="paragraph" w:customStyle="1" w:styleId="Border">
    <w:name w:val="Border"/>
    <w:basedOn w:val="Normal"/>
    <w:qFormat/>
    <w:rsid w:val="00D32F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F3C"/>
    <w:rPr>
      <w:b/>
      <w:bCs/>
      <w:i/>
      <w:iCs/>
      <w:color w:val="auto"/>
    </w:rPr>
  </w:style>
  <w:style w:type="paragraph" w:styleId="IntenseQuote">
    <w:name w:val="Intense Quote"/>
    <w:basedOn w:val="Normal"/>
    <w:next w:val="Normal"/>
    <w:link w:val="IntenseQuoteChar"/>
    <w:uiPriority w:val="30"/>
    <w:qFormat/>
    <w:rsid w:val="00D32F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F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2F3C"/>
    <w:rPr>
      <w:smallCaps/>
      <w:color w:val="auto"/>
      <w:u w:val="single"/>
    </w:rPr>
  </w:style>
  <w:style w:type="character" w:styleId="IntenseReference">
    <w:name w:val="Intense Reference"/>
    <w:basedOn w:val="DefaultParagraphFont"/>
    <w:uiPriority w:val="32"/>
    <w:qFormat/>
    <w:rsid w:val="00D32F3C"/>
    <w:rPr>
      <w:b/>
      <w:bCs/>
      <w:smallCaps/>
      <w:color w:val="auto"/>
      <w:spacing w:val="5"/>
      <w:u w:val="single"/>
    </w:rPr>
  </w:style>
  <w:style w:type="paragraph" w:customStyle="1" w:styleId="2ColumnHeading">
    <w:name w:val="2Column Heading"/>
    <w:basedOn w:val="BodyText"/>
    <w:qFormat/>
    <w:rsid w:val="00D32F3C"/>
    <w:pPr>
      <w:spacing w:after="60"/>
      <w:ind w:left="-2268"/>
    </w:pPr>
    <w:rPr>
      <w:b/>
    </w:rPr>
  </w:style>
  <w:style w:type="paragraph" w:customStyle="1" w:styleId="Heading1TOC">
    <w:name w:val="Heading1 TOC"/>
    <w:basedOn w:val="Normal"/>
    <w:qFormat/>
    <w:rsid w:val="00D32F3C"/>
    <w:pPr>
      <w:spacing w:before="240" w:after="120"/>
    </w:pPr>
    <w:rPr>
      <w:rFonts w:ascii="Times New Roman" w:hAnsi="Times New Roman"/>
      <w:b/>
      <w:sz w:val="32"/>
    </w:rPr>
  </w:style>
  <w:style w:type="paragraph" w:customStyle="1" w:styleId="Heading2TOC">
    <w:name w:val="Heading2 TOC"/>
    <w:basedOn w:val="Normal"/>
    <w:qFormat/>
    <w:rsid w:val="00D32F3C"/>
    <w:pPr>
      <w:spacing w:before="240" w:after="60"/>
    </w:pPr>
    <w:rPr>
      <w:rFonts w:ascii="Times New Roman" w:hAnsi="Times New Roman"/>
      <w:b/>
      <w:sz w:val="28"/>
    </w:rPr>
  </w:style>
  <w:style w:type="character" w:customStyle="1" w:styleId="Underline">
    <w:name w:val="Underline"/>
    <w:basedOn w:val="DefaultParagraphFont"/>
    <w:qFormat/>
    <w:rsid w:val="00D32F3C"/>
    <w:rPr>
      <w:u w:val="single"/>
    </w:rPr>
  </w:style>
  <w:style w:type="paragraph" w:styleId="BalloonText">
    <w:name w:val="Balloon Text"/>
    <w:basedOn w:val="Normal"/>
    <w:link w:val="BalloonTextChar"/>
    <w:rsid w:val="00D32F3C"/>
    <w:rPr>
      <w:rFonts w:ascii="Tahoma" w:hAnsi="Tahoma" w:cs="Tahoma"/>
      <w:sz w:val="16"/>
      <w:szCs w:val="16"/>
    </w:rPr>
  </w:style>
  <w:style w:type="character" w:customStyle="1" w:styleId="BalloonTextChar">
    <w:name w:val="Balloon Text Char"/>
    <w:basedOn w:val="DefaultParagraphFont"/>
    <w:link w:val="BalloonText"/>
    <w:rsid w:val="00D32F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2F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2F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1775</Words>
  <Characters>11314</Characters>
  <Application>Microsoft Office Word</Application>
  <DocSecurity>0</DocSecurity>
  <Lines>410</Lines>
  <Paragraphs>227</Paragraphs>
  <ScaleCrop>false</ScaleCrop>
  <Company>Author-it Software Corporation Ltd.</Company>
  <LinksUpToDate>false</LinksUpToDate>
  <CharactersWithSpaces>13005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FPISAW4204B Plan and monitor board conversion</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2012-05-26T07:18:00Z</dcterms:created>
  <dcterms:modified xsi:type="dcterms:W3CDTF">2012-05-26T07:18:00Z</dcterms:modified>
</cp:coreProperties>
</file>