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B19" w:rsidP="00D50B19">
      <w:pPr>
        <w:pStyle w:val="Title"/>
      </w:pPr>
      <w:r>
        <w:fldChar w:fldCharType="begin"/>
      </w:r>
      <w:r>
        <w:instrText xml:space="preserve"> TITLE   \* MERGEFORMAT </w:instrText>
      </w:r>
      <w:r>
        <w:fldChar w:fldCharType="separate"/>
      </w:r>
      <w:r>
        <w:t>FPISAW3222B Recondition band mill wheels</w:t>
      </w:r>
      <w:r>
        <w:fldChar w:fldCharType="end"/>
      </w:r>
    </w:p>
    <w:p w:rsidR="00D50B19" w:rsidP="00D50B19">
      <w:pPr>
        <w:pStyle w:val="Version"/>
        <w:sectPr w:rsidSect="00335B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B67" w:rsidP="00335B67">
      <w:pPr>
        <w:pStyle w:val="SuperHeading"/>
      </w:pPr>
      <w:r w:rsidRPr="00335B67">
        <w:t>FPISAW3222B Recondition band mill wheels</w:t>
      </w:r>
    </w:p>
    <w:p w:rsidR="00000000" w:rsidRPr="00335B67" w:rsidP="00335B67">
      <w:pPr>
        <w:pStyle w:val="Heading1"/>
      </w:pPr>
      <w:bookmarkStart w:id="1" w:name="O_270720"/>
      <w:bookmarkEnd w:id="1"/>
      <w:r w:rsidRPr="00335B67">
        <w:t>Modification History</w:t>
      </w:r>
    </w:p>
    <w:p w:rsidR="00000000" w:rsidRPr="00335B67" w:rsidP="00335B67">
      <w:pPr>
        <w:pStyle w:val="BodyText"/>
      </w:pPr>
      <w:r w:rsidRPr="00335B67">
        <w:t>Not Applicable</w:t>
      </w:r>
    </w:p>
    <w:p w:rsidR="00000000" w:rsidRPr="00335B67" w:rsidP="00335B67">
      <w:pPr>
        <w:pStyle w:val="AllowPageBreak"/>
      </w:pPr>
    </w:p>
    <w:p w:rsidR="00000000" w:rsidRPr="00335B67" w:rsidP="00335B67">
      <w:pPr>
        <w:pStyle w:val="Heading1"/>
      </w:pPr>
      <w:bookmarkStart w:id="2" w:name="O_204116"/>
      <w:bookmarkEnd w:id="2"/>
      <w:r w:rsidRPr="00335B67">
        <w:t>Unit Descriptor</w:t>
      </w:r>
    </w:p>
    <w:tbl>
      <w:tblPr>
        <w:tblW w:w="0" w:type="auto"/>
        <w:tblLayout w:type="fixed"/>
        <w:tblCellMar>
          <w:left w:w="62" w:type="dxa"/>
          <w:right w:w="62" w:type="dxa"/>
        </w:tblCellMar>
        <w:tblLook w:val="0000"/>
      </w:tblPr>
      <w:tblGrid>
        <w:gridCol w:w="2664"/>
        <w:gridCol w:w="5858"/>
      </w:tblGrid>
      <w:tr w:rsidTr="00D50B1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35B67" w:rsidP="00335B67">
            <w:pPr>
              <w:pStyle w:val="BodyText"/>
            </w:pPr>
            <w:r w:rsidRPr="00335B67">
              <w:t>This unit describes the outcomes required to prepare the band mill, fit special grinders, grind the wheel prof</w:t>
            </w:r>
            <w:r w:rsidRPr="00335B67">
              <w:t>ile and re-assemble the band mill in readiness for return of bandsaws and wide bandsaws to service</w:t>
            </w:r>
          </w:p>
          <w:p w:rsidR="00000000" w:rsidRPr="00335B67" w:rsidP="00335B67">
            <w:pPr>
              <w:pStyle w:val="BodyText"/>
            </w:pPr>
            <w:r w:rsidRPr="00335B67">
              <w:t>General workplace legislative and regulatory requirements apply to this unit; however there are no specific licensing or certification requirements at the ti</w:t>
            </w:r>
            <w:r w:rsidRPr="00335B67">
              <w:t>me of publication</w:t>
            </w:r>
          </w:p>
          <w:p w:rsidR="00000000" w:rsidRPr="00335B67" w:rsidP="00335B67">
            <w:pPr>
              <w:pStyle w:val="BodyText"/>
            </w:pPr>
            <w:r w:rsidRPr="00335B67">
              <w:t xml:space="preserve">This unit replaces FPISAW3222A Recondition band mill wheels </w:t>
            </w:r>
          </w:p>
        </w:tc>
      </w:tr>
    </w:tbl>
    <w:p w:rsidR="00D50B19" w:rsidP="00335B67">
      <w:pPr>
        <w:pStyle w:val="BodyText"/>
      </w:pPr>
    </w:p>
    <w:p w:rsidR="00D50B19" w:rsidP="00335B67">
      <w:pPr>
        <w:pStyle w:val="BodyText"/>
      </w:pPr>
    </w:p>
    <w:p w:rsidR="00000000" w:rsidRPr="00335B67" w:rsidP="00335B67">
      <w:pPr>
        <w:pStyle w:val="Heading1"/>
      </w:pPr>
      <w:bookmarkStart w:id="3" w:name="O_204120"/>
      <w:bookmarkEnd w:id="3"/>
      <w:r w:rsidRPr="00335B67">
        <w:t>Application of the Unit</w:t>
      </w:r>
    </w:p>
    <w:tbl>
      <w:tblPr>
        <w:tblW w:w="0" w:type="auto"/>
        <w:tblLayout w:type="fixed"/>
        <w:tblCellMar>
          <w:left w:w="62" w:type="dxa"/>
          <w:right w:w="62" w:type="dxa"/>
        </w:tblCellMar>
        <w:tblLook w:val="0000"/>
      </w:tblPr>
      <w:tblGrid>
        <w:gridCol w:w="2753"/>
        <w:gridCol w:w="5769"/>
      </w:tblGrid>
      <w:tr w:rsidTr="00D50B19">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335B67" w:rsidP="00335B67">
            <w:pPr>
              <w:pStyle w:val="BodyText"/>
            </w:pPr>
            <w:r w:rsidRPr="00335B67">
              <w:t>The unit involves reconditioning band mill wheels in a forest products factory setting</w:t>
            </w:r>
          </w:p>
          <w:p w:rsidR="00000000" w:rsidRPr="00335B67" w:rsidP="00335B67">
            <w:pPr>
              <w:pStyle w:val="BodyText"/>
            </w:pPr>
            <w:r w:rsidRPr="00335B67">
              <w:t>The skills and knowledge required for competent workplace performance are to be used within the scope of the person's job and authority</w:t>
            </w:r>
          </w:p>
        </w:tc>
      </w:tr>
    </w:tbl>
    <w:p w:rsidR="00D50B19" w:rsidP="00335B67">
      <w:pPr>
        <w:pStyle w:val="BodyText"/>
      </w:pPr>
    </w:p>
    <w:p w:rsidR="00D50B19" w:rsidP="00335B67">
      <w:pPr>
        <w:pStyle w:val="BodyText"/>
      </w:pPr>
    </w:p>
    <w:p w:rsidR="00000000" w:rsidRPr="00335B67" w:rsidP="00335B67">
      <w:pPr>
        <w:pStyle w:val="Heading1"/>
      </w:pPr>
      <w:bookmarkStart w:id="4" w:name="O_278980"/>
      <w:bookmarkEnd w:id="4"/>
      <w:r w:rsidRPr="00335B67">
        <w:t>Licensing/Regulatory Information</w:t>
      </w:r>
    </w:p>
    <w:p w:rsidR="00000000" w:rsidRPr="00335B67" w:rsidP="00335B67">
      <w:pPr>
        <w:pStyle w:val="BodyText"/>
      </w:pPr>
      <w:r w:rsidRPr="00335B67">
        <w:t>Refer to Unit Descriptor</w:t>
      </w:r>
    </w:p>
    <w:p w:rsidR="00000000" w:rsidRPr="00335B67" w:rsidP="00335B67">
      <w:pPr>
        <w:pStyle w:val="AllowPageBreak"/>
      </w:pPr>
    </w:p>
    <w:p w:rsidR="00000000" w:rsidRPr="00335B67" w:rsidP="00335B67">
      <w:pPr>
        <w:pStyle w:val="Heading1"/>
      </w:pPr>
      <w:bookmarkStart w:id="5" w:name="O_204118"/>
      <w:bookmarkEnd w:id="5"/>
      <w:r w:rsidRPr="00335B67">
        <w:t>Pre-Requisites</w:t>
      </w:r>
    </w:p>
    <w:tbl>
      <w:tblPr>
        <w:tblW w:w="0" w:type="auto"/>
        <w:tblLayout w:type="fixed"/>
        <w:tblCellMar>
          <w:left w:w="62" w:type="dxa"/>
          <w:right w:w="62" w:type="dxa"/>
        </w:tblCellMar>
        <w:tblLook w:val="0000"/>
      </w:tblPr>
      <w:tblGrid>
        <w:gridCol w:w="2776"/>
        <w:gridCol w:w="2873"/>
        <w:gridCol w:w="2873"/>
      </w:tblGrid>
      <w:tr w:rsidTr="00D50B1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35B67">
            <w:pPr>
              <w:pStyle w:val="BodyText"/>
              <w:rPr>
                <w:lang w:val="en-NZ"/>
              </w:rPr>
            </w:pPr>
          </w:p>
        </w:tc>
      </w:tr>
      <w:tr w:rsidTr="00D50B1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p>
        </w:tc>
      </w:tr>
      <w:tr w:rsidTr="00D50B1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35B67" w:rsidP="00335B67">
            <w:pPr>
              <w:pStyle w:val="BodyText"/>
            </w:pPr>
          </w:p>
        </w:tc>
      </w:tr>
    </w:tbl>
    <w:p w:rsidR="00D50B19" w:rsidP="00335B67">
      <w:pPr>
        <w:pStyle w:val="BodyText"/>
      </w:pPr>
    </w:p>
    <w:p w:rsidR="00D50B19" w:rsidP="00335B67">
      <w:pPr>
        <w:pStyle w:val="BodyText"/>
      </w:pPr>
    </w:p>
    <w:p w:rsidR="00000000" w:rsidRPr="00335B67" w:rsidP="00335B67">
      <w:pPr>
        <w:pStyle w:val="Heading1"/>
      </w:pPr>
      <w:bookmarkStart w:id="6" w:name="O_204117"/>
      <w:bookmarkEnd w:id="6"/>
      <w:r w:rsidRPr="00335B67">
        <w:t>Employability Skills Information</w:t>
      </w:r>
    </w:p>
    <w:tbl>
      <w:tblPr>
        <w:tblW w:w="0" w:type="auto"/>
        <w:tblLayout w:type="fixed"/>
        <w:tblCellMar>
          <w:left w:w="62" w:type="dxa"/>
          <w:right w:w="62" w:type="dxa"/>
        </w:tblCellMar>
        <w:tblLook w:val="0000"/>
      </w:tblPr>
      <w:tblGrid>
        <w:gridCol w:w="2802"/>
        <w:gridCol w:w="5720"/>
      </w:tblGrid>
      <w:tr w:rsidTr="00D50B1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35B67" w:rsidP="00335B67">
            <w:pPr>
              <w:pStyle w:val="BodyText"/>
            </w:pPr>
            <w:r w:rsidRPr="00335B67">
              <w:t>This unit contains employability skills</w:t>
            </w:r>
          </w:p>
        </w:tc>
      </w:tr>
    </w:tbl>
    <w:p w:rsidR="00D50B19" w:rsidP="00335B67">
      <w:pPr>
        <w:pStyle w:val="BodyText"/>
      </w:pPr>
    </w:p>
    <w:p w:rsidR="00D50B19" w:rsidP="00335B67">
      <w:pPr>
        <w:pStyle w:val="BodyText"/>
      </w:pPr>
    </w:p>
    <w:p w:rsidR="00000000" w:rsidRPr="00335B67" w:rsidP="00335B67">
      <w:pPr>
        <w:pStyle w:val="Heading1"/>
      </w:pPr>
      <w:bookmarkStart w:id="7" w:name="O_288766"/>
      <w:bookmarkEnd w:id="7"/>
      <w:r w:rsidRPr="00335B67">
        <w:t>Elements and Performance Criteria Pre-Content</w:t>
      </w:r>
    </w:p>
    <w:tbl>
      <w:tblPr>
        <w:tblW w:w="0" w:type="auto"/>
        <w:tblLayout w:type="fixed"/>
        <w:tblCellMar>
          <w:left w:w="62" w:type="dxa"/>
          <w:right w:w="62" w:type="dxa"/>
        </w:tblCellMar>
        <w:tblLook w:val="0000"/>
      </w:tblPr>
      <w:tblGrid>
        <w:gridCol w:w="2595"/>
        <w:gridCol w:w="5927"/>
      </w:tblGrid>
      <w:tr w:rsidTr="00D50B19">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Elements describe the essential outcomes of a unit of competency.</w:t>
            </w:r>
          </w:p>
        </w:tc>
        <w:tc>
          <w:tcPr>
            <w:tcW w:w="5927" w:type="dxa"/>
            <w:tcBorders>
              <w:top w:val="nil"/>
              <w:left w:val="nil"/>
              <w:bottom w:val="nil"/>
              <w:right w:val="nil"/>
            </w:tcBorders>
            <w:tcMar>
              <w:top w:w="0" w:type="dxa"/>
              <w:left w:w="62" w:type="dxa"/>
              <w:bottom w:w="0" w:type="dxa"/>
              <w:right w:w="62" w:type="dxa"/>
            </w:tcMar>
          </w:tcPr>
          <w:p w:rsidR="00000000" w:rsidRPr="00335B67" w:rsidP="00335B67">
            <w:pPr>
              <w:pStyle w:val="BodyText"/>
            </w:pPr>
            <w:r w:rsidRPr="00335B67">
              <w:t>Performance criteria describe the performance needed to demonstrate achievement of the element. Where bold italicised text is used, further information is detailed in the required skills and</w:t>
            </w:r>
            <w:r w:rsidRPr="00335B67">
              <w:t xml:space="preserve"> knowledge section and the range statement. Assessment of performance is to be consistent with the evidence guide.</w:t>
            </w:r>
          </w:p>
        </w:tc>
      </w:tr>
    </w:tbl>
    <w:p w:rsidR="00000000" w:rsidRPr="00335B67" w:rsidP="00335B67">
      <w:pPr>
        <w:pStyle w:val="BodyText"/>
      </w:pPr>
    </w:p>
    <w:p w:rsidR="00000000" w:rsidRPr="00335B67" w:rsidP="00335B67">
      <w:pPr>
        <w:pStyle w:val="AllowPageBreak"/>
      </w:pPr>
    </w:p>
    <w:p w:rsidR="00000000" w:rsidRPr="00335B67" w:rsidP="00335B67">
      <w:pPr>
        <w:pStyle w:val="Heading1"/>
      </w:pPr>
      <w:bookmarkStart w:id="8" w:name="O_235433"/>
      <w:bookmarkEnd w:id="8"/>
      <w:r w:rsidRPr="00335B67">
        <w:t>Elements and Performance Criteria</w:t>
      </w:r>
    </w:p>
    <w:tbl>
      <w:tblPr>
        <w:tblW w:w="0" w:type="auto"/>
        <w:tblLayout w:type="fixed"/>
        <w:tblCellMar>
          <w:left w:w="62" w:type="dxa"/>
          <w:right w:w="62" w:type="dxa"/>
        </w:tblCellMar>
        <w:tblLook w:val="0000"/>
      </w:tblPr>
      <w:tblGrid>
        <w:gridCol w:w="2595"/>
        <w:gridCol w:w="5927"/>
      </w:tblGrid>
      <w:tr w:rsidTr="00D50B19">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RPr="00335B67" w:rsidP="00335B67">
            <w:pPr>
              <w:pStyle w:val="BodyText"/>
            </w:pPr>
            <w:r w:rsidRPr="00335B67">
              <w:rPr>
                <w:rStyle w:val="SpecialBold"/>
              </w:rPr>
              <w:t>ELEMENT</w:t>
            </w:r>
          </w:p>
        </w:tc>
        <w:tc>
          <w:tcPr>
            <w:tcW w:w="592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PERFORMANCE CRITERIA</w:t>
            </w:r>
          </w:p>
        </w:tc>
      </w:tr>
      <w:tr w:rsidTr="00D50B19">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335B67">
            <w:pPr>
              <w:pStyle w:val="List"/>
              <w:rPr>
                <w:lang w:val="en-NZ"/>
              </w:rPr>
            </w:pPr>
            <w:r w:rsidRPr="00335B67">
              <w:t>1.</w:t>
            </w:r>
            <w:r w:rsidRPr="00335B67">
              <w:tab/>
              <w:t>Prepare for reconditioning</w:t>
            </w:r>
          </w:p>
        </w:tc>
        <w:tc>
          <w:tcPr>
            <w:tcW w:w="5927" w:type="dxa"/>
            <w:tcBorders>
              <w:top w:val="nil"/>
              <w:left w:val="nil"/>
              <w:bottom w:val="nil"/>
              <w:right w:val="nil"/>
            </w:tcBorders>
            <w:tcMar>
              <w:top w:w="0" w:type="dxa"/>
              <w:left w:w="62" w:type="dxa"/>
              <w:bottom w:w="0" w:type="dxa"/>
              <w:right w:w="62" w:type="dxa"/>
            </w:tcMar>
          </w:tcPr>
          <w:p w:rsidR="00000000" w:rsidRPr="00335B67" w:rsidP="00335B67">
            <w:pPr>
              <w:pStyle w:val="List2"/>
            </w:pPr>
            <w:r w:rsidRPr="00335B67">
              <w:t>1.1.</w:t>
            </w:r>
            <w:r w:rsidRPr="00335B67">
              <w:tab/>
              <w:t xml:space="preserve">Applicable </w:t>
            </w:r>
            <w:r w:rsidRPr="00335B67">
              <w:rPr>
                <w:rStyle w:val="BoldandItalics"/>
              </w:rPr>
              <w:t>Occupational Health and Safety</w:t>
            </w:r>
            <w:r w:rsidRPr="00335B67">
              <w:t xml:space="preserve"> (OHS), </w:t>
            </w:r>
            <w:r w:rsidRPr="00335B67">
              <w:rPr>
                <w:rStyle w:val="BoldandItalics"/>
              </w:rPr>
              <w:t>environmental</w:t>
            </w:r>
            <w:r w:rsidRPr="00335B67">
              <w:t xml:space="preserve">, </w:t>
            </w:r>
            <w:r w:rsidRPr="00335B67">
              <w:rPr>
                <w:rStyle w:val="BoldandItalics"/>
              </w:rPr>
              <w:t>legislative</w:t>
            </w:r>
            <w:r w:rsidRPr="00335B67">
              <w:t xml:space="preserve"> and </w:t>
            </w:r>
            <w:r w:rsidRPr="00335B67">
              <w:rPr>
                <w:rStyle w:val="BoldandItalics"/>
              </w:rPr>
              <w:t>organisational requirements</w:t>
            </w:r>
            <w:r w:rsidRPr="00335B67">
              <w:t xml:space="preserve"> relevant to </w:t>
            </w:r>
            <w:r w:rsidRPr="00335B67">
              <w:rPr>
                <w:rStyle w:val="SpecialBold"/>
              </w:rPr>
              <w:t>reconditioning</w:t>
            </w:r>
            <w:r w:rsidRPr="00335B67">
              <w:t xml:space="preserve"> </w:t>
            </w:r>
            <w:r w:rsidRPr="00335B67">
              <w:rPr>
                <w:rStyle w:val="SpecialBold"/>
              </w:rPr>
              <w:t>band mill wheels</w:t>
            </w:r>
            <w:r w:rsidRPr="00335B67">
              <w:t xml:space="preserve"> are identified and followed</w:t>
            </w:r>
          </w:p>
          <w:p w:rsidR="00000000" w:rsidRPr="00335B67" w:rsidP="00335B67">
            <w:pPr>
              <w:pStyle w:val="List2"/>
            </w:pPr>
            <w:r w:rsidRPr="00335B67">
              <w:t>1.2.</w:t>
            </w:r>
            <w:r w:rsidRPr="00335B67">
              <w:tab/>
            </w:r>
            <w:r w:rsidRPr="00335B67">
              <w:rPr>
                <w:rStyle w:val="BoldandItalics"/>
              </w:rPr>
              <w:t>Work order</w:t>
            </w:r>
            <w:r w:rsidRPr="00335B67">
              <w:t xml:space="preserve"> is reviewed and checked with </w:t>
            </w:r>
            <w:r w:rsidRPr="00335B67">
              <w:rPr>
                <w:rStyle w:val="BoldandItalics"/>
              </w:rPr>
              <w:t>appropriate personnel</w:t>
            </w:r>
          </w:p>
          <w:p w:rsidR="00000000" w:rsidRPr="00335B67" w:rsidP="00335B67">
            <w:pPr>
              <w:pStyle w:val="List2"/>
            </w:pPr>
            <w:r w:rsidRPr="00335B67">
              <w:t>1.3.</w:t>
            </w:r>
            <w:r w:rsidRPr="00335B67">
              <w:tab/>
            </w:r>
            <w:r w:rsidRPr="00335B67">
              <w:rPr>
                <w:rStyle w:val="BoldandItalics"/>
              </w:rPr>
              <w:t>Equipment</w:t>
            </w:r>
            <w:r w:rsidRPr="00335B67">
              <w:t xml:space="preserve"> is se</w:t>
            </w:r>
            <w:r w:rsidRPr="00335B67">
              <w:t>lected appropriate to work requirements and checked for operational effectiveness in line with manufacturer's recommendations</w:t>
            </w:r>
          </w:p>
          <w:p w:rsidR="00000000" w:rsidRPr="00335B67" w:rsidP="00335B67">
            <w:pPr>
              <w:pStyle w:val="List2"/>
            </w:pPr>
            <w:r w:rsidRPr="00335B67">
              <w:t>1.4.</w:t>
            </w:r>
            <w:r w:rsidRPr="00335B67">
              <w:tab/>
              <w:t>Reconditioning process is planned in line with site procedures and environmental requirements</w:t>
            </w:r>
          </w:p>
          <w:p w:rsidR="00000000" w:rsidP="00335B67">
            <w:pPr>
              <w:pStyle w:val="List2"/>
              <w:rPr>
                <w:lang w:val="en-NZ"/>
              </w:rPr>
            </w:pPr>
            <w:r w:rsidRPr="00335B67">
              <w:t>1.5.</w:t>
            </w:r>
            <w:r w:rsidRPr="00335B67">
              <w:tab/>
            </w:r>
            <w:r w:rsidRPr="00335B67">
              <w:rPr>
                <w:rStyle w:val="BoldandItalics"/>
              </w:rPr>
              <w:t>Communication</w:t>
            </w:r>
            <w:r w:rsidRPr="00335B67">
              <w:t xml:space="preserve"> with others </w:t>
            </w:r>
            <w:r w:rsidRPr="00335B67">
              <w:t>is established and maintained in line with OHS requirements</w:t>
            </w:r>
          </w:p>
        </w:tc>
      </w:tr>
      <w:tr w:rsidTr="00D50B19">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335B67">
            <w:pPr>
              <w:pStyle w:val="List"/>
              <w:rPr>
                <w:lang w:val="en-NZ"/>
              </w:rPr>
            </w:pPr>
            <w:r w:rsidRPr="00335B67">
              <w:t>2.</w:t>
            </w:r>
            <w:r w:rsidRPr="00335B67">
              <w:tab/>
              <w:t>Fit and grind wheel profile</w:t>
            </w:r>
          </w:p>
        </w:tc>
        <w:tc>
          <w:tcPr>
            <w:tcW w:w="5927" w:type="dxa"/>
            <w:tcBorders>
              <w:top w:val="nil"/>
              <w:left w:val="nil"/>
              <w:bottom w:val="nil"/>
              <w:right w:val="nil"/>
            </w:tcBorders>
            <w:tcMar>
              <w:top w:w="0" w:type="dxa"/>
              <w:left w:w="62" w:type="dxa"/>
              <w:bottom w:w="0" w:type="dxa"/>
              <w:right w:w="62" w:type="dxa"/>
            </w:tcMar>
          </w:tcPr>
          <w:p w:rsidR="00000000" w:rsidRPr="00335B67" w:rsidP="00335B67">
            <w:pPr>
              <w:pStyle w:val="List2"/>
            </w:pPr>
            <w:r w:rsidRPr="00335B67">
              <w:t>2.1.</w:t>
            </w:r>
            <w:r w:rsidRPr="00335B67">
              <w:tab/>
              <w:t xml:space="preserve">Wheel is inspected and measured to identify wear and method of </w:t>
            </w:r>
            <w:r w:rsidRPr="00335B67">
              <w:rPr>
                <w:rStyle w:val="BoldandItalics"/>
              </w:rPr>
              <w:t>grinding</w:t>
            </w:r>
          </w:p>
          <w:p w:rsidR="00000000" w:rsidRPr="00335B67" w:rsidP="00335B67">
            <w:pPr>
              <w:pStyle w:val="List2"/>
            </w:pPr>
            <w:r w:rsidRPr="00335B67">
              <w:t>2.2.</w:t>
            </w:r>
            <w:r w:rsidRPr="00335B67">
              <w:tab/>
              <w:t xml:space="preserve">Wheel grinder is serviced, fitted and aligned to the </w:t>
            </w:r>
            <w:r w:rsidRPr="00335B67">
              <w:rPr>
                <w:rStyle w:val="BoldandItalics"/>
              </w:rPr>
              <w:t>band mill</w:t>
            </w:r>
            <w:r w:rsidRPr="00335B67">
              <w:t xml:space="preserve"> and wheel in line w</w:t>
            </w:r>
            <w:r w:rsidRPr="00335B67">
              <w:t xml:space="preserve">ith manufacturer's specifications and recommended </w:t>
            </w:r>
            <w:r w:rsidRPr="00335B67">
              <w:rPr>
                <w:rStyle w:val="BoldandItalics"/>
              </w:rPr>
              <w:t>tolerances</w:t>
            </w:r>
          </w:p>
          <w:p w:rsidR="00000000" w:rsidRPr="00335B67" w:rsidP="00335B67">
            <w:pPr>
              <w:pStyle w:val="List2"/>
            </w:pPr>
            <w:r w:rsidRPr="00335B67">
              <w:t>2.3.</w:t>
            </w:r>
            <w:r w:rsidRPr="00335B67">
              <w:tab/>
              <w:t xml:space="preserve">Trial cut is taken to check and further </w:t>
            </w:r>
            <w:r w:rsidRPr="00335B67">
              <w:rPr>
                <w:rStyle w:val="BoldandItalics"/>
              </w:rPr>
              <w:t>align</w:t>
            </w:r>
            <w:r w:rsidRPr="00335B67">
              <w:t xml:space="preserve"> the grinder</w:t>
            </w:r>
          </w:p>
          <w:p w:rsidR="00000000" w:rsidRPr="00335B67" w:rsidP="00335B67">
            <w:pPr>
              <w:pStyle w:val="List2"/>
            </w:pPr>
            <w:r w:rsidRPr="00335B67">
              <w:t>2.4.</w:t>
            </w:r>
            <w:r w:rsidRPr="00335B67">
              <w:tab/>
              <w:t xml:space="preserve">Wheel is ground until all signs of wear are removed, ensuring the face is not hollow and obtaining the required wheel </w:t>
            </w:r>
            <w:r w:rsidRPr="00335B67">
              <w:rPr>
                <w:rStyle w:val="BoldandItalics"/>
              </w:rPr>
              <w:t>profile</w:t>
            </w:r>
            <w:r w:rsidRPr="00335B67">
              <w:t xml:space="preserve"> and finish</w:t>
            </w:r>
          </w:p>
          <w:p w:rsidR="00000000" w:rsidRPr="00335B67" w:rsidP="00335B67">
            <w:pPr>
              <w:pStyle w:val="List2"/>
            </w:pPr>
            <w:r w:rsidRPr="00335B67">
              <w:t>2.5.</w:t>
            </w:r>
            <w:r w:rsidRPr="00335B67">
              <w:tab/>
              <w:t xml:space="preserve">Grinding </w:t>
            </w:r>
            <w:r w:rsidRPr="00335B67">
              <w:rPr>
                <w:rStyle w:val="BoldandItalics"/>
              </w:rPr>
              <w:t>feeds</w:t>
            </w:r>
            <w:r w:rsidRPr="00335B67">
              <w:t xml:space="preserve"> are controlled to obtain the required profile</w:t>
            </w:r>
          </w:p>
          <w:p w:rsidR="00000000" w:rsidRPr="00335B67" w:rsidP="00335B67">
            <w:pPr>
              <w:pStyle w:val="List2"/>
            </w:pPr>
            <w:r w:rsidRPr="00335B67">
              <w:t>2.6.</w:t>
            </w:r>
            <w:r w:rsidRPr="00335B67">
              <w:tab/>
              <w:t>Wheel is measured to ensure the diameter of back and front edges are equivalent</w:t>
            </w:r>
          </w:p>
          <w:p w:rsidR="00000000" w:rsidRPr="00335B67" w:rsidP="00335B67">
            <w:pPr>
              <w:pStyle w:val="List2"/>
            </w:pPr>
            <w:r w:rsidRPr="00335B67">
              <w:t>2.7.</w:t>
            </w:r>
            <w:r w:rsidRPr="00335B67">
              <w:tab/>
              <w:t>Wheel profile is measured to ensure grinding has achieved the required profile</w:t>
            </w:r>
          </w:p>
          <w:p w:rsidR="00000000" w:rsidP="00335B67">
            <w:pPr>
              <w:pStyle w:val="List2"/>
              <w:rPr>
                <w:lang w:val="en-NZ"/>
              </w:rPr>
            </w:pPr>
            <w:r w:rsidRPr="00335B67">
              <w:t>2.8.</w:t>
            </w:r>
            <w:r w:rsidRPr="00335B67">
              <w:tab/>
              <w:t>Grin</w:t>
            </w:r>
            <w:r w:rsidRPr="00335B67">
              <w:t>der traversing speeds are controlled to obtain the required profile</w:t>
            </w:r>
          </w:p>
        </w:tc>
      </w:tr>
      <w:tr w:rsidTr="00D50B19">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335B67">
            <w:pPr>
              <w:pStyle w:val="List"/>
              <w:rPr>
                <w:lang w:val="en-NZ"/>
              </w:rPr>
            </w:pPr>
            <w:r w:rsidRPr="00335B67">
              <w:t>3.</w:t>
            </w:r>
            <w:r w:rsidRPr="00335B67">
              <w:tab/>
              <w:t>Reassemble band mill</w:t>
            </w:r>
          </w:p>
        </w:tc>
        <w:tc>
          <w:tcPr>
            <w:tcW w:w="5927" w:type="dxa"/>
            <w:tcBorders>
              <w:top w:val="nil"/>
              <w:left w:val="nil"/>
              <w:bottom w:val="nil"/>
              <w:right w:val="nil"/>
            </w:tcBorders>
            <w:tcMar>
              <w:top w:w="0" w:type="dxa"/>
              <w:left w:w="62" w:type="dxa"/>
              <w:bottom w:w="0" w:type="dxa"/>
              <w:right w:w="62" w:type="dxa"/>
            </w:tcMar>
          </w:tcPr>
          <w:p w:rsidR="00000000" w:rsidRPr="00335B67" w:rsidP="00335B67">
            <w:pPr>
              <w:pStyle w:val="List2"/>
            </w:pPr>
            <w:r w:rsidRPr="00335B67">
              <w:t>3.1.</w:t>
            </w:r>
            <w:r w:rsidRPr="00335B67">
              <w:tab/>
              <w:t>Grinder and base plate are removed from band mill at completion of grinding</w:t>
            </w:r>
          </w:p>
          <w:p w:rsidR="00000000" w:rsidRPr="00335B67" w:rsidP="00335B67">
            <w:pPr>
              <w:pStyle w:val="List2"/>
            </w:pPr>
            <w:r w:rsidRPr="00335B67">
              <w:t>3.2.</w:t>
            </w:r>
            <w:r w:rsidRPr="00335B67">
              <w:tab/>
              <w:t>Band mill components are reassembled to manufacturer's specifications</w:t>
            </w:r>
          </w:p>
          <w:p w:rsidR="00000000" w:rsidRPr="00335B67" w:rsidP="00335B67">
            <w:pPr>
              <w:pStyle w:val="List2"/>
            </w:pPr>
            <w:r w:rsidRPr="00335B67">
              <w:t>3.3.</w:t>
            </w:r>
            <w:r w:rsidRPr="00335B67">
              <w:tab/>
              <w:t>Ba</w:t>
            </w:r>
            <w:r w:rsidRPr="00335B67">
              <w:t xml:space="preserve">nd saw is set up on </w:t>
            </w:r>
            <w:r w:rsidRPr="00335B67">
              <w:rPr>
                <w:rStyle w:val="BoldandItalics"/>
              </w:rPr>
              <w:t>mill</w:t>
            </w:r>
            <w:r w:rsidRPr="00335B67">
              <w:t xml:space="preserve"> to specified alignment</w:t>
            </w:r>
          </w:p>
          <w:p w:rsidR="00000000" w:rsidRPr="00335B67" w:rsidP="00335B67">
            <w:pPr>
              <w:pStyle w:val="List2"/>
            </w:pPr>
            <w:r w:rsidRPr="00335B67">
              <w:t>3.4.</w:t>
            </w:r>
            <w:r w:rsidRPr="00335B67">
              <w:tab/>
              <w:t>Band saw and mill operation are tested to ensure correct operation</w:t>
            </w:r>
          </w:p>
          <w:p w:rsidR="00000000" w:rsidRPr="00335B67" w:rsidP="00335B67">
            <w:pPr>
              <w:pStyle w:val="List2"/>
            </w:pPr>
            <w:r w:rsidRPr="00335B67">
              <w:t>3.5.</w:t>
            </w:r>
            <w:r w:rsidRPr="00335B67">
              <w:tab/>
            </w:r>
            <w:r w:rsidRPr="00335B67">
              <w:rPr>
                <w:rStyle w:val="BoldandItalics"/>
              </w:rPr>
              <w:t>Isolation padlocks or tags</w:t>
            </w:r>
            <w:r w:rsidRPr="00335B67">
              <w:t xml:space="preserve"> are removed at </w:t>
            </w:r>
            <w:r w:rsidRPr="00335B67">
              <w:t>completion of the work in line with OHS legislation and site procedures</w:t>
            </w:r>
          </w:p>
          <w:p w:rsidR="00000000" w:rsidRPr="00335B67" w:rsidP="00335B67">
            <w:pPr>
              <w:pStyle w:val="List2"/>
            </w:pPr>
            <w:r w:rsidRPr="00335B67">
              <w:t>3.6.</w:t>
            </w:r>
            <w:r w:rsidRPr="00335B67">
              <w:tab/>
              <w:t>Band saw mil</w:t>
            </w:r>
            <w:r w:rsidRPr="00335B67">
              <w:t xml:space="preserve">ls damaged during the process that cannot be repaired are </w:t>
            </w:r>
            <w:r w:rsidRPr="00335B67">
              <w:rPr>
                <w:rStyle w:val="BoldandItalics"/>
              </w:rPr>
              <w:t>disposed of</w:t>
            </w:r>
            <w:r w:rsidRPr="00335B67">
              <w:t xml:space="preserve"> in line with site procedures and environmental requirements</w:t>
            </w:r>
          </w:p>
          <w:p w:rsidR="00000000" w:rsidRPr="00335B67" w:rsidP="00335B67">
            <w:pPr>
              <w:pStyle w:val="List2"/>
            </w:pPr>
            <w:r w:rsidRPr="00335B67">
              <w:t>3.7.</w:t>
            </w:r>
            <w:r w:rsidRPr="00335B67">
              <w:tab/>
              <w:t xml:space="preserve">Reconditioning process and equipment faults are investigated, </w:t>
            </w:r>
            <w:r w:rsidRPr="00335B67">
              <w:rPr>
                <w:rStyle w:val="BoldandItalics"/>
              </w:rPr>
              <w:t>recorded and reported</w:t>
            </w:r>
            <w:r w:rsidRPr="00335B67">
              <w:t xml:space="preserve"> in line with site requirements</w:t>
            </w:r>
          </w:p>
        </w:tc>
      </w:tr>
    </w:tbl>
    <w:p w:rsidR="00D50B19" w:rsidP="00335B67">
      <w:pPr>
        <w:pStyle w:val="BodyText"/>
      </w:pPr>
    </w:p>
    <w:p w:rsidR="00D50B19" w:rsidP="00335B67">
      <w:pPr>
        <w:pStyle w:val="BodyText"/>
      </w:pPr>
    </w:p>
    <w:p w:rsidR="00000000" w:rsidRPr="00335B67" w:rsidP="00335B67">
      <w:pPr>
        <w:pStyle w:val="Heading1"/>
      </w:pPr>
      <w:bookmarkStart w:id="9" w:name="O_259383"/>
      <w:bookmarkEnd w:id="9"/>
      <w:r w:rsidRPr="00335B67">
        <w:t>Required Skills and Knowledge</w:t>
      </w:r>
    </w:p>
    <w:tbl>
      <w:tblPr>
        <w:tblW w:w="0" w:type="auto"/>
        <w:tblLayout w:type="fixed"/>
        <w:tblCellMar>
          <w:left w:w="62" w:type="dxa"/>
          <w:right w:w="62" w:type="dxa"/>
        </w:tblCellMar>
        <w:tblLook w:val="0000"/>
      </w:tblPr>
      <w:tblGrid>
        <w:gridCol w:w="8522"/>
      </w:tblGrid>
      <w:tr w:rsidTr="00D50B1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REQUIRED SKILLS AND KNOWLEDGE</w:t>
            </w:r>
          </w:p>
        </w:tc>
      </w:tr>
      <w:tr w:rsidTr="00D50B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This describes the essential skills and knowledge and their level required for this unit</w:t>
            </w:r>
          </w:p>
        </w:tc>
      </w:tr>
      <w:tr w:rsidTr="00D50B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Required skills</w:t>
            </w:r>
          </w:p>
        </w:tc>
      </w:tr>
      <w:tr w:rsidTr="00D50B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Technical skills sufficient to use and maintain relevant tools, machinery and equipment; efficiently and safely recondition band mill wheels</w:t>
            </w:r>
          </w:p>
          <w:p w:rsidR="00000000" w:rsidRPr="00335B67" w:rsidP="00335B67">
            <w:pPr>
              <w:pStyle w:val="ListBullet"/>
            </w:pPr>
            <w:r w:rsidRPr="00335B67">
              <w:t>Communication skills and interpersonal techniques sufficient to interact appropriately with colleagues and others i</w:t>
            </w:r>
            <w:r w:rsidRPr="00335B67">
              <w:t>n the workplace</w:t>
            </w:r>
          </w:p>
          <w:p w:rsidR="00000000" w:rsidRPr="00335B67" w:rsidP="00335B67">
            <w:pPr>
              <w:pStyle w:val="ListBullet"/>
            </w:pPr>
            <w:r w:rsidRPr="00335B67">
              <w:t xml:space="preserve">Literacy skills sufficient to accurately record and report workplace information, and maintain documentation </w:t>
            </w:r>
          </w:p>
          <w:p w:rsidR="00000000" w:rsidRPr="00335B67" w:rsidP="00335B67">
            <w:pPr>
              <w:pStyle w:val="ListBullet"/>
            </w:pPr>
            <w:r w:rsidRPr="00335B67">
              <w:t>Numeracy skills sufficient to take wheel measurements, and to estimate, measure and calculate time required to complete a task</w:t>
            </w:r>
          </w:p>
          <w:p w:rsidR="00000000" w:rsidRPr="00335B67" w:rsidP="00335B67">
            <w:pPr>
              <w:pStyle w:val="ListBullet"/>
            </w:pPr>
            <w:r w:rsidRPr="00335B67">
              <w:t>Pro</w:t>
            </w:r>
            <w:r w:rsidRPr="00335B67">
              <w:t>blem solving skills sufficient to identify problems and equipment faults and demonstrate appropriate response procedures</w:t>
            </w:r>
          </w:p>
          <w:p w:rsidR="00000000" w:rsidP="00335B67">
            <w:pPr>
              <w:pStyle w:val="BodyText"/>
              <w:rPr>
                <w:lang w:val="en-NZ"/>
              </w:rPr>
            </w:pPr>
            <w:r w:rsidRPr="00335B67">
              <w:t xml:space="preserve"> </w:t>
            </w:r>
          </w:p>
        </w:tc>
      </w:tr>
      <w:tr w:rsidTr="00D50B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Required knowledge</w:t>
            </w:r>
          </w:p>
        </w:tc>
      </w:tr>
      <w:tr w:rsidTr="00D50B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Applicable Commonwealth, State or Territory legislation, regulations, standards, codes of practice and establis</w:t>
            </w:r>
            <w:r w:rsidRPr="00335B67">
              <w:t>hed safe practices relevant to the full range of processes for reconditioning band mill wheels</w:t>
            </w:r>
          </w:p>
          <w:p w:rsidR="00000000" w:rsidRPr="00335B67" w:rsidP="00335B67">
            <w:pPr>
              <w:pStyle w:val="ListBullet"/>
            </w:pPr>
            <w:r w:rsidRPr="00335B67">
              <w:t>Environmental protection requirements, including the safe disposal of waste material, minimising carbon emissions and the cleaning of plant, tools and equipment</w:t>
            </w:r>
          </w:p>
          <w:p w:rsidR="00000000" w:rsidRPr="00335B67" w:rsidP="00335B67">
            <w:pPr>
              <w:pStyle w:val="ListBullet"/>
            </w:pPr>
            <w:r w:rsidRPr="00335B67">
              <w:t>Organisational and site standards, requirements, policies and procedures for reconditioning band mill wheels</w:t>
            </w:r>
          </w:p>
          <w:p w:rsidR="00000000" w:rsidRPr="00335B67" w:rsidP="00335B67">
            <w:pPr>
              <w:pStyle w:val="ListBullet"/>
            </w:pPr>
            <w:r w:rsidRPr="00335B67">
              <w:t>Environmental risks and hazards</w:t>
            </w:r>
          </w:p>
          <w:p w:rsidR="00000000" w:rsidRPr="00335B67" w:rsidP="00335B67">
            <w:pPr>
              <w:pStyle w:val="ListBullet"/>
            </w:pPr>
            <w:r w:rsidRPr="00335B67">
              <w:t>Characteristics of metal and saws</w:t>
            </w:r>
          </w:p>
          <w:p w:rsidR="00000000" w:rsidRPr="00335B67" w:rsidP="00335B67">
            <w:pPr>
              <w:pStyle w:val="ListBullet"/>
            </w:pPr>
            <w:r w:rsidRPr="00335B67">
              <w:t>Disassembly and reassembly methods</w:t>
            </w:r>
          </w:p>
          <w:p w:rsidR="00000000" w:rsidRPr="00335B67" w:rsidP="00335B67">
            <w:pPr>
              <w:pStyle w:val="ListBullet"/>
            </w:pPr>
            <w:r w:rsidRPr="00335B67">
              <w:t>Band mill wheel assessment</w:t>
            </w:r>
          </w:p>
          <w:p w:rsidR="00000000" w:rsidRPr="00335B67" w:rsidP="00335B67">
            <w:pPr>
              <w:pStyle w:val="ListBullet"/>
            </w:pPr>
            <w:r w:rsidRPr="00335B67">
              <w:t>Grinding and alignment techniques</w:t>
            </w:r>
          </w:p>
          <w:p w:rsidR="00000000" w:rsidRPr="00335B67" w:rsidP="00335B67">
            <w:pPr>
              <w:pStyle w:val="ListBullet"/>
            </w:pPr>
            <w:r w:rsidRPr="00335B67">
              <w:t>Established communication channels and protocols</w:t>
            </w:r>
          </w:p>
          <w:p w:rsidR="00000000" w:rsidRPr="00335B67" w:rsidP="00335B67">
            <w:pPr>
              <w:pStyle w:val="ListBullet"/>
            </w:pPr>
            <w:r w:rsidRPr="00335B67">
              <w:t>Problem identification and resolution strategies and common fault finding techniques</w:t>
            </w:r>
          </w:p>
          <w:p w:rsidR="00000000" w:rsidRPr="00335B67" w:rsidP="00335B67">
            <w:pPr>
              <w:pStyle w:val="ListBullet"/>
            </w:pPr>
            <w:r w:rsidRPr="00335B67">
              <w:t>Types of tools and equipment and procedures for their safe use, operation and maintenanc</w:t>
            </w:r>
            <w:r w:rsidRPr="00335B67">
              <w:t>e</w:t>
            </w:r>
          </w:p>
          <w:p w:rsidR="00000000" w:rsidRPr="00335B67" w:rsidP="00335B67">
            <w:pPr>
              <w:pStyle w:val="ListBullet"/>
            </w:pPr>
            <w:r w:rsidRPr="00335B67">
              <w:t>Appropriate mathematical procedures for estimating and measuring, including calculating time to complete tasks</w:t>
            </w:r>
          </w:p>
          <w:p w:rsidR="00000000" w:rsidRPr="00335B67" w:rsidP="00335B67">
            <w:pPr>
              <w:pStyle w:val="ListBullet"/>
            </w:pPr>
            <w:r w:rsidRPr="00335B67">
              <w:t>Procedures for recording and reporting workplace information</w:t>
            </w:r>
          </w:p>
        </w:tc>
      </w:tr>
    </w:tbl>
    <w:p w:rsidR="00D50B19" w:rsidP="00335B67">
      <w:pPr>
        <w:pStyle w:val="BodyText"/>
      </w:pPr>
    </w:p>
    <w:p w:rsidR="00D50B19" w:rsidP="00335B67">
      <w:pPr>
        <w:pStyle w:val="BodyText"/>
      </w:pPr>
    </w:p>
    <w:p w:rsidR="00000000" w:rsidRPr="00335B67" w:rsidP="00335B67">
      <w:pPr>
        <w:pStyle w:val="AllowPageBreak"/>
      </w:pPr>
    </w:p>
    <w:p w:rsidR="00000000" w:rsidRPr="00335B67" w:rsidP="00335B67">
      <w:pPr>
        <w:pStyle w:val="Heading1"/>
      </w:pPr>
      <w:bookmarkStart w:id="10" w:name="O_243417"/>
      <w:bookmarkEnd w:id="10"/>
      <w:r w:rsidRPr="00335B67">
        <w:t>Evidence Guide</w:t>
      </w:r>
    </w:p>
    <w:tbl>
      <w:tblPr>
        <w:tblW w:w="9570" w:type="dxa"/>
        <w:tblLayout w:type="fixed"/>
        <w:tblCellMar>
          <w:left w:w="62" w:type="dxa"/>
          <w:right w:w="62" w:type="dxa"/>
        </w:tblCellMar>
        <w:tblLook w:val="0000"/>
      </w:tblPr>
      <w:tblGrid>
        <w:gridCol w:w="3908"/>
        <w:gridCol w:w="5662"/>
      </w:tblGrid>
      <w:tr w:rsidTr="00D50B1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EVIDENCE GUIDE</w:t>
            </w:r>
          </w:p>
        </w:tc>
      </w:tr>
      <w:tr w:rsidTr="00D50B1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The evidence guide provides advice on assessment and must be read in conjunction with the performance criteria, required skills and knowledge, range statement and the Assessment Guidelines for the Training Package.</w:t>
            </w:r>
          </w:p>
        </w:tc>
      </w:tr>
      <w:tr w:rsidTr="00D50B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A person who demonstrates competency in this unit must be able to provide evidence that they can safely and efficiently recondition band mill wheels within organisational requirements</w:t>
            </w:r>
          </w:p>
        </w:tc>
      </w:tr>
      <w:tr w:rsidTr="00D50B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Critical aspects for assessment and evidence required to demonstrate co</w:t>
            </w:r>
            <w:r w:rsidRPr="00335B67">
              <w:rPr>
                <w:rStyle w:val="SpecialBold"/>
              </w:rPr>
              <w:t>mpetency in this unit</w:t>
            </w:r>
          </w:p>
        </w:tc>
        <w:tc>
          <w:tcPr>
            <w:tcW w:w="5662" w:type="dxa"/>
            <w:tcBorders>
              <w:top w:val="nil"/>
              <w:left w:val="nil"/>
              <w:bottom w:val="nil"/>
              <w:right w:val="nil"/>
            </w:tcBorders>
            <w:tcMar>
              <w:top w:w="0" w:type="dxa"/>
              <w:left w:w="62" w:type="dxa"/>
              <w:bottom w:w="0" w:type="dxa"/>
              <w:right w:w="62" w:type="dxa"/>
            </w:tcMar>
          </w:tcPr>
          <w:p w:rsidR="00000000" w:rsidRPr="00335B67" w:rsidP="00335B67">
            <w:pPr>
              <w:pStyle w:val="BodyText"/>
            </w:pPr>
            <w:r w:rsidRPr="00335B67">
              <w:t xml:space="preserve">The evidence required to demonstrate competency in this unit must be relevant to, and satisfy, all of the requirements of the elements of this unit and include demonstration of: </w:t>
            </w:r>
          </w:p>
          <w:p w:rsidR="00000000" w:rsidRPr="00335B67" w:rsidP="00335B67">
            <w:pPr>
              <w:pStyle w:val="ListBullet"/>
            </w:pPr>
            <w:r w:rsidRPr="00335B67">
              <w:t xml:space="preserve">following applicable Commonwealth, State or Territory </w:t>
            </w:r>
            <w:r w:rsidRPr="00335B67">
              <w:t>legislative and regulatory requirements and codes of practice relevant to reconditioning band mill wheels</w:t>
            </w:r>
          </w:p>
          <w:p w:rsidR="00000000" w:rsidRPr="00335B67" w:rsidP="00335B67">
            <w:pPr>
              <w:pStyle w:val="ListBullet"/>
            </w:pPr>
            <w:r w:rsidRPr="00335B67">
              <w:t>following organisational policies and procedures relevant to reconditioning band mill wheels</w:t>
            </w:r>
          </w:p>
          <w:p w:rsidR="00000000" w:rsidRPr="00335B67" w:rsidP="00335B67">
            <w:pPr>
              <w:pStyle w:val="ListBullet"/>
            </w:pPr>
            <w:r w:rsidRPr="00335B67">
              <w:t>reconditioning band mill wheels in line with the work ord</w:t>
            </w:r>
            <w:r w:rsidRPr="00335B67">
              <w:t>er and within prescribed organisational requirements</w:t>
            </w:r>
          </w:p>
          <w:p w:rsidR="00000000" w:rsidRPr="00335B67" w:rsidP="00335B67">
            <w:pPr>
              <w:pStyle w:val="ListBullet"/>
            </w:pPr>
            <w:r w:rsidRPr="00335B67">
              <w:t>removing and replacing wheels from band mill if faces are to be resurfaced on a metal lathe</w:t>
            </w:r>
          </w:p>
          <w:p w:rsidR="00000000" w:rsidP="00335B67">
            <w:pPr>
              <w:pStyle w:val="ListBullet"/>
              <w:rPr>
                <w:lang w:val="en-NZ"/>
              </w:rPr>
            </w:pPr>
            <w:r w:rsidRPr="00335B67">
              <w:t>assessing band mill wheel conditions in line with standard operating procedures</w:t>
            </w:r>
          </w:p>
        </w:tc>
      </w:tr>
      <w:tr w:rsidTr="00D50B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Competency is to be assessed in the workplace or realistically simulated workplace</w:t>
            </w:r>
          </w:p>
          <w:p w:rsidR="00000000" w:rsidRPr="00335B67" w:rsidP="00335B67">
            <w:pPr>
              <w:pStyle w:val="ListBullet"/>
            </w:pPr>
            <w:r w:rsidRPr="00335B67">
              <w:t>Assessment is to occur under standard and authorised work practices, safety requirements and environmental constraints</w:t>
            </w:r>
          </w:p>
          <w:p w:rsidR="00000000" w:rsidRPr="00335B67" w:rsidP="00335B67">
            <w:pPr>
              <w:pStyle w:val="ListBullet"/>
            </w:pPr>
            <w:r w:rsidRPr="00335B67">
              <w:t>Asse</w:t>
            </w:r>
            <w:r w:rsidRPr="00335B67">
              <w:t>ssment of required knowledge, other than confirmatory questions, will usually be conducted in an off-site context</w:t>
            </w:r>
          </w:p>
          <w:p w:rsidR="00000000" w:rsidRPr="00335B67" w:rsidP="00335B67">
            <w:pPr>
              <w:pStyle w:val="ListBullet"/>
            </w:pPr>
            <w:r w:rsidRPr="00335B67">
              <w:t>Assessment is to follow relevant regulatory or Australian Standards requirements</w:t>
            </w:r>
          </w:p>
          <w:p w:rsidR="00000000" w:rsidRPr="00335B67" w:rsidP="00335B67">
            <w:pPr>
              <w:pStyle w:val="ListBullet"/>
            </w:pPr>
            <w:r w:rsidRPr="00335B67">
              <w:t>The following resources should be made available:</w:t>
            </w:r>
          </w:p>
          <w:p w:rsidR="00000000" w:rsidRPr="00335B67" w:rsidP="00335B67">
            <w:pPr>
              <w:pStyle w:val="ListBullet3"/>
            </w:pPr>
            <w:r w:rsidRPr="00335B67">
              <w:t xml:space="preserve">workplace </w:t>
            </w:r>
            <w:r w:rsidRPr="00335B67">
              <w:t>location or simulated workplace</w:t>
            </w:r>
          </w:p>
          <w:p w:rsidR="00000000" w:rsidRPr="00335B67" w:rsidP="00335B67">
            <w:pPr>
              <w:pStyle w:val="ListBullet3"/>
            </w:pPr>
            <w:r w:rsidRPr="00335B67">
              <w:t>materials and equipment relevant to undertaking work applicable to this unit</w:t>
            </w:r>
          </w:p>
          <w:p w:rsidR="00000000" w:rsidP="00335B67">
            <w:pPr>
              <w:pStyle w:val="ListBullet3"/>
              <w:rPr>
                <w:lang w:val="en-NZ"/>
              </w:rPr>
            </w:pPr>
            <w:r w:rsidRPr="00335B67">
              <w:t>specifications and work instructions</w:t>
            </w:r>
          </w:p>
        </w:tc>
      </w:tr>
      <w:tr w:rsidTr="00D50B1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 xml:space="preserve">Assessment must satisfy the endorsed Assessment Guidelines of the FPI11 Training </w:t>
            </w:r>
            <w:r w:rsidRPr="00335B67">
              <w:t>Package</w:t>
            </w:r>
          </w:p>
          <w:p w:rsidR="00000000" w:rsidRPr="00335B67" w:rsidP="00335B67">
            <w:pPr>
              <w:pStyle w:val="ListBullet"/>
            </w:pPr>
            <w:r w:rsidRPr="00335B67">
              <w:t>Assessment methods must confirm consistency and accuracy of performance (over time and in a range of workplace relevant contexts) together with application of required knowledge</w:t>
            </w:r>
          </w:p>
          <w:p w:rsidR="00000000" w:rsidRPr="00335B67" w:rsidP="00335B67">
            <w:pPr>
              <w:pStyle w:val="ListBullet"/>
            </w:pPr>
            <w:r w:rsidRPr="00335B67">
              <w:t>Assessment must be by direct observation of tasks, with questioning on required knowledge and it must also reinforce the integration of employability skills</w:t>
            </w:r>
          </w:p>
          <w:p w:rsidR="00000000" w:rsidRPr="00335B67" w:rsidP="00335B67">
            <w:pPr>
              <w:pStyle w:val="ListBullet"/>
            </w:pPr>
            <w:r w:rsidRPr="00335B67">
              <w:t>Assessment methods must confirm the ability to access and correctly interpret and apply the require</w:t>
            </w:r>
            <w:r w:rsidRPr="00335B67">
              <w:t>d knowledge</w:t>
            </w:r>
          </w:p>
          <w:p w:rsidR="00000000" w:rsidRPr="00335B67" w:rsidP="00335B67">
            <w:pPr>
              <w:pStyle w:val="ListBullet"/>
            </w:pPr>
            <w:r w:rsidRPr="00335B67">
              <w:t>Assessment may be applied under project-related conditions (real or simulated) and require evidence of process</w:t>
            </w:r>
          </w:p>
          <w:p w:rsidR="00000000" w:rsidRPr="00335B67" w:rsidP="00335B67">
            <w:pPr>
              <w:pStyle w:val="ListBullet"/>
            </w:pPr>
            <w:r w:rsidRPr="00335B67">
              <w:t>Assessment must confirm a reasonable inference that competency is able not only to be satisfied under the particular circumstance, bu</w:t>
            </w:r>
            <w:r w:rsidRPr="00335B67">
              <w:t>t is able to be transferred to other circumstances</w:t>
            </w:r>
          </w:p>
          <w:p w:rsidR="00000000" w:rsidRPr="00335B67" w:rsidP="00335B67">
            <w:pPr>
              <w:pStyle w:val="ListBullet"/>
            </w:pPr>
            <w:r w:rsidRPr="00335B67">
              <w:t>Assessment may be in conjunction with assessment of other units of competency</w:t>
            </w:r>
          </w:p>
          <w:p w:rsidR="00000000" w:rsidRPr="00335B67" w:rsidP="00335B67">
            <w:pPr>
              <w:pStyle w:val="ListBullet"/>
            </w:pPr>
            <w:r w:rsidRPr="00335B67">
              <w:t>The assessment environment should not disadvantage the candidate</w:t>
            </w:r>
          </w:p>
          <w:p w:rsidR="00000000" w:rsidRPr="00335B67" w:rsidP="00335B67">
            <w:pPr>
              <w:pStyle w:val="ListBullet"/>
            </w:pPr>
            <w:r w:rsidRPr="00335B67">
              <w:t>Assessment practices should take into account any relevant lan</w:t>
            </w:r>
            <w:r w:rsidRPr="00335B67">
              <w:t>guage or cultural issues related to Aboriginality, gender or language backgrounds other than English</w:t>
            </w:r>
          </w:p>
          <w:p w:rsidR="00000000" w:rsidRPr="00335B67" w:rsidP="00335B67">
            <w:pPr>
              <w:pStyle w:val="ListBullet"/>
            </w:pPr>
            <w:r w:rsidRPr="00335B67">
              <w:t>Where the participant has a disability, reasonable adjustment may be applied during assessment</w:t>
            </w:r>
          </w:p>
          <w:p w:rsidR="00000000" w:rsidRPr="00335B67" w:rsidP="00335B67">
            <w:pPr>
              <w:pStyle w:val="ListBullet"/>
            </w:pPr>
            <w:r w:rsidRPr="00335B67">
              <w:t xml:space="preserve">Language and literacy demands of the assessment task should </w:t>
            </w:r>
            <w:r w:rsidRPr="00335B67">
              <w:t>not be higher than those of the work role</w:t>
            </w:r>
          </w:p>
        </w:tc>
      </w:tr>
    </w:tbl>
    <w:p w:rsidR="00D50B19" w:rsidP="00335B67">
      <w:pPr>
        <w:pStyle w:val="BodyText"/>
      </w:pPr>
    </w:p>
    <w:p w:rsidR="00D50B19" w:rsidP="00335B67">
      <w:pPr>
        <w:pStyle w:val="BodyText"/>
      </w:pPr>
    </w:p>
    <w:p w:rsidR="00000000" w:rsidRPr="00335B67" w:rsidP="00335B67">
      <w:pPr>
        <w:pStyle w:val="Heading1"/>
      </w:pPr>
      <w:bookmarkStart w:id="11" w:name="O_251400"/>
      <w:bookmarkEnd w:id="11"/>
      <w:r w:rsidRPr="00335B67">
        <w:t>Range Statement</w:t>
      </w:r>
    </w:p>
    <w:tbl>
      <w:tblPr>
        <w:tblW w:w="0" w:type="auto"/>
        <w:tblLayout w:type="fixed"/>
        <w:tblCellMar>
          <w:left w:w="62" w:type="dxa"/>
          <w:right w:w="62" w:type="dxa"/>
        </w:tblCellMar>
        <w:tblLook w:val="0000"/>
      </w:tblPr>
      <w:tblGrid>
        <w:gridCol w:w="3537"/>
        <w:gridCol w:w="4985"/>
      </w:tblGrid>
      <w:tr w:rsidTr="00D50B1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RANGE STATEMENT</w:t>
            </w:r>
          </w:p>
        </w:tc>
      </w:tr>
      <w:tr w:rsidTr="00D50B1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The range statement relates to the unit of competency as a whole. It allows for different work environments and situations that may affect performanc</w:t>
            </w:r>
            <w:r w:rsidRPr="00335B67">
              <w:t>e. Bold italicised wording, if used in the performance criteria, is detailed below. Essential operating conditions that may be present with training and assessment (depending on the work situation, needs of the candidate, accessibility of the item, and loc</w:t>
            </w:r>
            <w:r w:rsidRPr="00335B67">
              <w:t>al industry and regional contexts) may also be included.</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OHS requirements</w:t>
            </w:r>
            <w:r w:rsidRPr="00335B67">
              <w:t>:</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BodyText"/>
            </w:pPr>
            <w:r w:rsidRPr="00335B67">
              <w:t>are to be in line with applicable Commonwealth, State or Territory legislation and regulations, and organisational safety policies and procedures, and may include:</w:t>
            </w:r>
          </w:p>
          <w:p w:rsidR="00000000" w:rsidRPr="00335B67" w:rsidP="00335B67">
            <w:pPr>
              <w:pStyle w:val="ListBullet"/>
            </w:pPr>
            <w:r w:rsidRPr="00335B67">
              <w:t>personal prote</w:t>
            </w:r>
            <w:r w:rsidRPr="00335B67">
              <w:t>ctive equipment and clothing</w:t>
            </w:r>
          </w:p>
          <w:p w:rsidR="00000000" w:rsidRPr="00335B67" w:rsidP="00335B67">
            <w:pPr>
              <w:pStyle w:val="ListBullet"/>
            </w:pPr>
            <w:r w:rsidRPr="00335B67">
              <w:t>safety equipment</w:t>
            </w:r>
          </w:p>
          <w:p w:rsidR="00000000" w:rsidRPr="00335B67" w:rsidP="00335B67">
            <w:pPr>
              <w:pStyle w:val="ListBullet"/>
            </w:pPr>
            <w:r w:rsidRPr="00335B67">
              <w:t>first aid equipment</w:t>
            </w:r>
          </w:p>
          <w:p w:rsidR="00000000" w:rsidRPr="00335B67" w:rsidP="00335B67">
            <w:pPr>
              <w:pStyle w:val="ListBullet"/>
            </w:pPr>
            <w:r w:rsidRPr="00335B67">
              <w:t>fire fighting equipment</w:t>
            </w:r>
          </w:p>
          <w:p w:rsidR="00000000" w:rsidRPr="00335B67" w:rsidP="00335B67">
            <w:pPr>
              <w:pStyle w:val="ListBullet"/>
            </w:pPr>
            <w:r w:rsidRPr="00335B67">
              <w:t>hazard and risk control</w:t>
            </w:r>
          </w:p>
          <w:p w:rsidR="00000000" w:rsidRPr="00335B67" w:rsidP="00335B67">
            <w:pPr>
              <w:pStyle w:val="ListBullet"/>
            </w:pPr>
            <w:r w:rsidRPr="00335B67">
              <w:t>fatigue management</w:t>
            </w:r>
          </w:p>
          <w:p w:rsidR="00000000" w:rsidRPr="00335B67" w:rsidP="00335B67">
            <w:pPr>
              <w:pStyle w:val="ListBullet"/>
            </w:pPr>
            <w:r w:rsidRPr="00335B67">
              <w:t>elimination of hazardous materials and substances</w:t>
            </w:r>
          </w:p>
          <w:p w:rsidR="00000000" w:rsidRPr="00335B67" w:rsidP="00335B67">
            <w:pPr>
              <w:pStyle w:val="ListBullet"/>
            </w:pPr>
            <w:r w:rsidRPr="00335B67">
              <w:t>safe forest practices including required actions relating to forest fire</w:t>
            </w:r>
          </w:p>
          <w:p w:rsidR="00000000" w:rsidRPr="00335B67" w:rsidP="00335B67">
            <w:pPr>
              <w:pStyle w:val="ListBullet"/>
            </w:pPr>
            <w:r w:rsidRPr="00335B67">
              <w:t>manual handling including shifting, lifting and carrying</w:t>
            </w:r>
          </w:p>
          <w:p w:rsidR="00000000" w:rsidP="00335B67">
            <w:pPr>
              <w:pStyle w:val="ListBullet"/>
              <w:rPr>
                <w:lang w:val="en-NZ"/>
              </w:rPr>
            </w:pPr>
            <w:r w:rsidRPr="00335B67">
              <w:t>machine isolation and guarding</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Environmental requirements</w:t>
            </w:r>
            <w:r w:rsidRPr="00335B6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legislation</w:t>
            </w:r>
          </w:p>
          <w:p w:rsidR="00000000" w:rsidRPr="00335B67" w:rsidP="00335B67">
            <w:pPr>
              <w:pStyle w:val="ListBullet"/>
            </w:pPr>
            <w:r w:rsidRPr="00335B67">
              <w:t>organisational policies and procedures</w:t>
            </w:r>
          </w:p>
          <w:p w:rsidR="00000000" w:rsidP="00335B67">
            <w:pPr>
              <w:pStyle w:val="ListBullet"/>
              <w:rPr>
                <w:lang w:val="en-NZ"/>
              </w:rPr>
            </w:pPr>
            <w:r w:rsidRPr="00335B67">
              <w:t>workplace practices</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Legislative requirements</w:t>
            </w:r>
            <w:r w:rsidRPr="00335B67">
              <w:t>:</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BodyText"/>
            </w:pPr>
            <w:r w:rsidRPr="00335B67">
              <w:t>are to be in line with applicable Commonwealth, State or Territory legislation, regulations, certification requirements and codes of practice and may include:</w:t>
            </w:r>
          </w:p>
          <w:p w:rsidR="00000000" w:rsidRPr="00335B67" w:rsidP="00335B67">
            <w:pPr>
              <w:pStyle w:val="ListBullet"/>
            </w:pPr>
            <w:r w:rsidRPr="00335B67">
              <w:t>award and enterprise agreements</w:t>
            </w:r>
          </w:p>
          <w:p w:rsidR="00000000" w:rsidRPr="00335B67" w:rsidP="00335B67">
            <w:pPr>
              <w:pStyle w:val="ListBullet"/>
            </w:pPr>
            <w:r w:rsidRPr="00335B67">
              <w:t>industrial relations</w:t>
            </w:r>
          </w:p>
          <w:p w:rsidR="00000000" w:rsidRPr="00335B67" w:rsidP="00335B67">
            <w:pPr>
              <w:pStyle w:val="ListBullet"/>
            </w:pPr>
            <w:r w:rsidRPr="00335B67">
              <w:t>Australian Standards</w:t>
            </w:r>
          </w:p>
          <w:p w:rsidR="00000000" w:rsidRPr="00335B67" w:rsidP="00335B67">
            <w:pPr>
              <w:pStyle w:val="ListBullet"/>
            </w:pPr>
            <w:r w:rsidRPr="00335B67">
              <w:t>confidentiality and pr</w:t>
            </w:r>
            <w:r w:rsidRPr="00335B67">
              <w:t>ivacy</w:t>
            </w:r>
          </w:p>
          <w:p w:rsidR="00000000" w:rsidRPr="00335B67" w:rsidP="00335B67">
            <w:pPr>
              <w:pStyle w:val="ListBullet"/>
            </w:pPr>
            <w:r w:rsidRPr="00335B67">
              <w:t>OHS</w:t>
            </w:r>
          </w:p>
          <w:p w:rsidR="00000000" w:rsidRPr="00335B67" w:rsidP="00335B67">
            <w:pPr>
              <w:pStyle w:val="ListBullet"/>
            </w:pPr>
            <w:r w:rsidRPr="00335B67">
              <w:t>the environment</w:t>
            </w:r>
          </w:p>
          <w:p w:rsidR="00000000" w:rsidRPr="00335B67" w:rsidP="00335B67">
            <w:pPr>
              <w:pStyle w:val="ListBullet"/>
            </w:pPr>
            <w:r w:rsidRPr="00335B67">
              <w:t>equal opportunity</w:t>
            </w:r>
          </w:p>
          <w:p w:rsidR="00000000" w:rsidRPr="00335B67" w:rsidP="00335B67">
            <w:pPr>
              <w:pStyle w:val="ListBullet"/>
            </w:pPr>
            <w:r w:rsidRPr="00335B67">
              <w:t>anti-discrimination</w:t>
            </w:r>
          </w:p>
          <w:p w:rsidR="00000000" w:rsidRPr="00335B67" w:rsidP="00335B67">
            <w:pPr>
              <w:pStyle w:val="ListBullet"/>
            </w:pPr>
            <w:r w:rsidRPr="00335B67">
              <w:t>relevant industry codes of practice</w:t>
            </w:r>
          </w:p>
          <w:p w:rsidR="00000000" w:rsidP="00335B67">
            <w:pPr>
              <w:pStyle w:val="ListBullet"/>
              <w:rPr>
                <w:lang w:val="en-NZ"/>
              </w:rPr>
            </w:pPr>
            <w:r w:rsidRPr="00335B67">
              <w:t>duty of care</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Organisational requirements</w:t>
            </w:r>
            <w:r w:rsidRPr="00335B6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 xml:space="preserve">legal </w:t>
            </w:r>
          </w:p>
          <w:p w:rsidR="00000000" w:rsidRPr="00335B67" w:rsidP="00335B67">
            <w:pPr>
              <w:pStyle w:val="ListBullet"/>
            </w:pPr>
            <w:r w:rsidRPr="00335B67">
              <w:t>organisational and site guidelines</w:t>
            </w:r>
          </w:p>
          <w:p w:rsidR="00000000" w:rsidRPr="00335B67" w:rsidP="00335B67">
            <w:pPr>
              <w:pStyle w:val="ListBullet"/>
            </w:pPr>
            <w:r w:rsidRPr="00335B67">
              <w:t>policies and procedures relating to own role and responsibility</w:t>
            </w:r>
          </w:p>
          <w:p w:rsidR="00000000" w:rsidRPr="00335B67" w:rsidP="00335B67">
            <w:pPr>
              <w:pStyle w:val="ListBullet"/>
            </w:pPr>
            <w:r w:rsidRPr="00335B67">
              <w:t>quality assurance</w:t>
            </w:r>
          </w:p>
          <w:p w:rsidR="00000000" w:rsidRPr="00335B67" w:rsidP="00335B67">
            <w:pPr>
              <w:pStyle w:val="ListBullet"/>
            </w:pPr>
            <w:r w:rsidRPr="00335B67">
              <w:t>procedural manuals</w:t>
            </w:r>
          </w:p>
          <w:p w:rsidR="00000000" w:rsidRPr="00335B67" w:rsidP="00335B67">
            <w:pPr>
              <w:pStyle w:val="ListBullet"/>
            </w:pPr>
            <w:r w:rsidRPr="00335B67">
              <w:t>quality and continuous improvement processes and standards</w:t>
            </w:r>
          </w:p>
          <w:p w:rsidR="00000000" w:rsidRPr="00335B67" w:rsidP="00335B67">
            <w:pPr>
              <w:pStyle w:val="ListBullet"/>
            </w:pPr>
            <w:r w:rsidRPr="00335B67">
              <w:t>OHS, emergency and evacuation procedures</w:t>
            </w:r>
          </w:p>
          <w:p w:rsidR="00000000" w:rsidRPr="00335B67" w:rsidP="00335B67">
            <w:pPr>
              <w:pStyle w:val="ListBullet"/>
            </w:pPr>
            <w:r w:rsidRPr="00335B67">
              <w:t>ethical standards</w:t>
            </w:r>
          </w:p>
          <w:p w:rsidR="00000000" w:rsidRPr="00335B67" w:rsidP="00335B67">
            <w:pPr>
              <w:pStyle w:val="ListBullet"/>
            </w:pPr>
            <w:r w:rsidRPr="00335B67">
              <w:t>recording and reporting requirements</w:t>
            </w:r>
          </w:p>
          <w:p w:rsidR="00000000" w:rsidRPr="00335B67" w:rsidP="00335B67">
            <w:pPr>
              <w:pStyle w:val="ListBullet"/>
            </w:pPr>
            <w:r w:rsidRPr="00335B67">
              <w:t>equipment use and maintenance and storage requirements</w:t>
            </w:r>
          </w:p>
          <w:p w:rsidR="00000000" w:rsidP="00335B67">
            <w:pPr>
              <w:pStyle w:val="ListBullet"/>
              <w:rPr>
                <w:lang w:val="en-NZ"/>
              </w:rPr>
            </w:pPr>
            <w:r w:rsidRPr="00335B67">
              <w:t>environmental management requirements (waste minimisation and disposal, recycling and re-use guidelines)</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Reconditioning</w:t>
            </w:r>
            <w:r w:rsidRPr="00335B67">
              <w:t xml:space="preserve"> </w:t>
            </w:r>
          </w:p>
        </w:tc>
        <w:tc>
          <w:tcPr>
            <w:tcW w:w="4985"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is the process of re-grinding the faces of the band mill wheels with grinding e</w:t>
            </w:r>
            <w:r w:rsidRPr="00335B67">
              <w:t>quipment to regain the specified profile for continued accuracy during operation</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Band and wide band mill wheels</w:t>
            </w:r>
            <w:r w:rsidRPr="00335B67">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335B67">
            <w:pPr>
              <w:pStyle w:val="ListBullet"/>
              <w:rPr>
                <w:lang w:val="en-NZ"/>
              </w:rPr>
            </w:pPr>
            <w:r w:rsidRPr="00335B67">
              <w:t xml:space="preserve">the drive and driven wheels of any bandmill that support, turn, and maintain the </w:t>
            </w:r>
            <w:r w:rsidRPr="00335B67">
              <w:t>alignment of the band saw blade for accurate cutting</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Work order</w:t>
            </w:r>
            <w:r w:rsidRPr="00335B67">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instructions for the reconditioning of band mill wheels in designated equipment</w:t>
            </w:r>
          </w:p>
          <w:p w:rsidR="00000000" w:rsidRPr="00335B67" w:rsidP="00335B67">
            <w:pPr>
              <w:pStyle w:val="BodyText"/>
            </w:pPr>
            <w:r w:rsidRPr="00335B67">
              <w:t>and may also include:</w:t>
            </w:r>
          </w:p>
          <w:p w:rsidR="00000000" w:rsidRPr="00335B67" w:rsidP="00335B67">
            <w:pPr>
              <w:pStyle w:val="ListBullet"/>
            </w:pPr>
            <w:r w:rsidRPr="00335B67">
              <w:t>instructions for the environmental monitoring of work and procedures</w:t>
            </w:r>
          </w:p>
          <w:p w:rsidR="00000000" w:rsidP="00335B67">
            <w:pPr>
              <w:pStyle w:val="ListBullet"/>
              <w:rPr>
                <w:lang w:val="en-NZ"/>
              </w:rPr>
            </w:pPr>
            <w:r w:rsidRPr="00335B67">
              <w:t>env</w:t>
            </w:r>
            <w:r w:rsidRPr="00335B67">
              <w:t>ironmental care requirements relevant to the work</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Appropriate personnel</w:t>
            </w:r>
            <w:r w:rsidRPr="00335B6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supervisors</w:t>
            </w:r>
          </w:p>
          <w:p w:rsidR="00000000" w:rsidRPr="00335B67" w:rsidP="00335B67">
            <w:pPr>
              <w:pStyle w:val="ListBullet"/>
            </w:pPr>
            <w:r w:rsidRPr="00335B67">
              <w:t>suppliers</w:t>
            </w:r>
          </w:p>
          <w:p w:rsidR="00000000" w:rsidRPr="00335B67" w:rsidP="00335B67">
            <w:pPr>
              <w:pStyle w:val="ListBullet"/>
            </w:pPr>
            <w:r w:rsidRPr="00335B67">
              <w:t>clients</w:t>
            </w:r>
          </w:p>
          <w:p w:rsidR="00000000" w:rsidRPr="00335B67" w:rsidP="00335B67">
            <w:pPr>
              <w:pStyle w:val="ListBullet"/>
            </w:pPr>
            <w:r w:rsidRPr="00335B67">
              <w:t>colleagues</w:t>
            </w:r>
          </w:p>
          <w:p w:rsidR="00000000" w:rsidP="00335B67">
            <w:pPr>
              <w:pStyle w:val="ListBullet"/>
              <w:rPr>
                <w:lang w:val="en-NZ"/>
              </w:rPr>
            </w:pPr>
            <w:r w:rsidRPr="00335B67">
              <w:t>managers</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Equipment</w:t>
            </w:r>
            <w:r w:rsidRPr="00335B6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 xml:space="preserve">specialised grinding equipment </w:t>
            </w:r>
          </w:p>
          <w:p w:rsidR="00000000" w:rsidP="00335B67">
            <w:pPr>
              <w:pStyle w:val="ListBullet"/>
              <w:rPr>
                <w:lang w:val="en-NZ"/>
              </w:rPr>
            </w:pPr>
            <w:r w:rsidRPr="00335B67">
              <w:t>measuring equipment</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Communication</w:t>
            </w:r>
            <w:r w:rsidRPr="00335B67">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verbal and non-verbal language</w:t>
            </w:r>
          </w:p>
          <w:p w:rsidR="00000000" w:rsidRPr="00335B67" w:rsidP="00335B67">
            <w:pPr>
              <w:pStyle w:val="ListBullet"/>
            </w:pPr>
            <w:r w:rsidRPr="00335B67">
              <w:t>constructive feedback</w:t>
            </w:r>
          </w:p>
          <w:p w:rsidR="00000000" w:rsidRPr="00335B67" w:rsidP="00335B67">
            <w:pPr>
              <w:pStyle w:val="ListBullet"/>
            </w:pPr>
            <w:r w:rsidRPr="00335B67">
              <w:t>active listening</w:t>
            </w:r>
          </w:p>
          <w:p w:rsidR="00000000" w:rsidRPr="00335B67" w:rsidP="00335B67">
            <w:pPr>
              <w:pStyle w:val="ListBullet"/>
            </w:pPr>
            <w:r w:rsidRPr="00335B67">
              <w:t>questioning to clarify and confirm understanding</w:t>
            </w:r>
          </w:p>
          <w:p w:rsidR="00000000" w:rsidRPr="00335B67" w:rsidP="00335B67">
            <w:pPr>
              <w:pStyle w:val="ListBullet"/>
            </w:pPr>
            <w:r w:rsidRPr="00335B67">
              <w:t>use of positive, confident and cooperative language</w:t>
            </w:r>
          </w:p>
          <w:p w:rsidR="00000000" w:rsidRPr="00335B67" w:rsidP="00335B67">
            <w:pPr>
              <w:pStyle w:val="ListBullet"/>
            </w:pPr>
            <w:r w:rsidRPr="00335B67">
              <w:t>use of language and concepts appropriate to individual social and cultural difference</w:t>
            </w:r>
            <w:r w:rsidRPr="00335B67">
              <w:t>s</w:t>
            </w:r>
          </w:p>
          <w:p w:rsidR="00000000" w:rsidRPr="00335B67" w:rsidP="00335B67">
            <w:pPr>
              <w:pStyle w:val="ListBullet"/>
            </w:pPr>
            <w:r w:rsidRPr="00335B67">
              <w:t>control of tone of voice</w:t>
            </w:r>
          </w:p>
          <w:p w:rsidR="00000000" w:rsidP="00335B67">
            <w:pPr>
              <w:pStyle w:val="ListBullet"/>
              <w:rPr>
                <w:lang w:val="en-NZ"/>
              </w:rPr>
            </w:pPr>
            <w:r w:rsidRPr="00335B67">
              <w:t>body language</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Grinding</w:t>
            </w:r>
          </w:p>
        </w:tc>
        <w:tc>
          <w:tcPr>
            <w:tcW w:w="4985"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is the process of removing wear and defects from band mill wheels</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Band mill</w:t>
            </w:r>
          </w:p>
        </w:tc>
        <w:tc>
          <w:tcPr>
            <w:tcW w:w="4985"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is the same as 'mill' and is to include the entire mechanical structure and componentry that make up the machine</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Tolerance</w:t>
            </w:r>
            <w:r w:rsidRPr="00335B6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wheel alignment</w:t>
            </w:r>
          </w:p>
          <w:p w:rsidR="00000000" w:rsidRPr="00335B67" w:rsidP="00335B67">
            <w:pPr>
              <w:pStyle w:val="ListBullet"/>
            </w:pPr>
            <w:r w:rsidRPr="00335B67">
              <w:t>alignment of saw guides to wheel faces</w:t>
            </w:r>
          </w:p>
          <w:p w:rsidR="00000000" w:rsidP="00335B67">
            <w:pPr>
              <w:pStyle w:val="ListBullet"/>
              <w:rPr>
                <w:lang w:val="en-NZ"/>
              </w:rPr>
            </w:pPr>
            <w:r w:rsidRPr="00335B67">
              <w:t>wheel thickness to manufacturer's specifications</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Alignment</w:t>
            </w:r>
            <w:r w:rsidRPr="00335B67">
              <w:t xml:space="preserve"> </w:t>
            </w:r>
          </w:p>
        </w:tc>
        <w:tc>
          <w:tcPr>
            <w:tcW w:w="4985"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is the process of measuring and testing the band mill wheels to ensure they run in a manner which makes the band saw blade ro</w:t>
            </w:r>
            <w:r w:rsidRPr="00335B67">
              <w:t>tate consistently without movement across the wheels</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Profile</w:t>
            </w:r>
            <w:r w:rsidRPr="00335B67">
              <w:t xml:space="preserve"> </w:t>
            </w:r>
          </w:p>
        </w:tc>
        <w:tc>
          <w:tcPr>
            <w:tcW w:w="4985"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is the even shape and width of the wheel</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Feeds</w:t>
            </w:r>
          </w:p>
        </w:tc>
        <w:tc>
          <w:tcPr>
            <w:tcW w:w="4985"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t xml:space="preserve">is the process of matching the speed of band mill wheel rotation with the speed and depth of cut taken by the abrasive grinding wheel or cutting </w:t>
            </w:r>
            <w:r w:rsidRPr="00335B67">
              <w:t>tool being used to re-surface the wheel face</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Mill</w:t>
            </w:r>
            <w:r w:rsidRPr="00335B6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335B67">
            <w:pPr>
              <w:pStyle w:val="ListBullet"/>
              <w:rPr>
                <w:lang w:val="en-NZ"/>
              </w:rPr>
            </w:pPr>
            <w:r w:rsidRPr="00335B67">
              <w:t>all of the processing plant and timber feed systems which are linked to the band mill</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Isolation padlocks and tags</w:t>
            </w:r>
            <w:r w:rsidRPr="00335B6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devices that isolate the piece of machinery</w:t>
            </w:r>
          </w:p>
          <w:p w:rsidR="00000000" w:rsidP="00335B67">
            <w:pPr>
              <w:pStyle w:val="ListBullet"/>
              <w:rPr>
                <w:lang w:val="en-NZ"/>
              </w:rPr>
            </w:pPr>
            <w:r w:rsidRPr="00335B67">
              <w:t>devices that alert personnel to its isolation from service</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Disposing of</w:t>
            </w:r>
            <w:r w:rsidRPr="00335B6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recycling band saw mills damaged during the process that cannot be repaired</w:t>
            </w:r>
          </w:p>
          <w:p w:rsidR="00000000" w:rsidP="00335B67">
            <w:pPr>
              <w:pStyle w:val="ListBullet"/>
              <w:rPr>
                <w:lang w:val="en-NZ"/>
              </w:rPr>
            </w:pPr>
            <w:r w:rsidRPr="00335B67">
              <w:t>re-using band saw mills damaged during the process that cannot be repaired</w:t>
            </w:r>
          </w:p>
        </w:tc>
      </w:tr>
      <w:tr w:rsidTr="00D50B1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Records and reports</w:t>
            </w:r>
            <w:r w:rsidRPr="00335B6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35B67" w:rsidP="00335B67">
            <w:pPr>
              <w:pStyle w:val="ListBullet"/>
            </w:pPr>
            <w:r w:rsidRPr="00335B67">
              <w:t>reconditioning of band mill wheels</w:t>
            </w:r>
          </w:p>
          <w:p w:rsidR="00000000" w:rsidRPr="00335B67" w:rsidP="00335B67">
            <w:pPr>
              <w:pStyle w:val="ListBullet"/>
            </w:pPr>
            <w:r w:rsidRPr="00335B67">
              <w:t>inspection</w:t>
            </w:r>
          </w:p>
          <w:p w:rsidR="00000000" w:rsidRPr="00335B67" w:rsidP="00335B67">
            <w:pPr>
              <w:pStyle w:val="ListBullet"/>
            </w:pPr>
            <w:r w:rsidRPr="00335B67">
              <w:t>storage locations</w:t>
            </w:r>
          </w:p>
          <w:p w:rsidR="00000000" w:rsidRPr="00335B67" w:rsidP="00335B67">
            <w:pPr>
              <w:pStyle w:val="ListBullet"/>
            </w:pPr>
            <w:r w:rsidRPr="00335B67">
              <w:t>quality outcomes</w:t>
            </w:r>
          </w:p>
          <w:p w:rsidR="00000000" w:rsidRPr="00335B67" w:rsidP="00335B67">
            <w:pPr>
              <w:pStyle w:val="ListBullet"/>
            </w:pPr>
            <w:r w:rsidRPr="00335B67">
              <w:t>hazards</w:t>
            </w:r>
          </w:p>
          <w:p w:rsidR="00000000" w:rsidRPr="00335B67" w:rsidP="00335B67">
            <w:pPr>
              <w:pStyle w:val="ListBullet"/>
            </w:pPr>
            <w:r w:rsidRPr="00335B67">
              <w:t>incidents</w:t>
            </w:r>
          </w:p>
          <w:p w:rsidR="00000000" w:rsidRPr="00335B67" w:rsidP="00335B67">
            <w:pPr>
              <w:pStyle w:val="ListBullet"/>
            </w:pPr>
            <w:r w:rsidRPr="00335B67">
              <w:t>equipment malfunctions</w:t>
            </w:r>
          </w:p>
          <w:p w:rsidR="00000000" w:rsidRPr="00335B67" w:rsidP="00335B67">
            <w:pPr>
              <w:pStyle w:val="BodyText"/>
            </w:pPr>
            <w:r w:rsidRPr="00335B67">
              <w:t>and may be:</w:t>
            </w:r>
          </w:p>
          <w:p w:rsidR="00000000" w:rsidRPr="00335B67" w:rsidP="00335B67">
            <w:pPr>
              <w:pStyle w:val="ListBullet"/>
            </w:pPr>
            <w:r w:rsidRPr="00335B67">
              <w:t>manual</w:t>
            </w:r>
          </w:p>
          <w:p w:rsidR="00000000" w:rsidRPr="00335B67" w:rsidP="00335B67">
            <w:pPr>
              <w:pStyle w:val="ListBullet"/>
            </w:pPr>
            <w:r w:rsidRPr="00335B67">
              <w:t xml:space="preserve">using a computer-based system or other appropriate organisational communication </w:t>
            </w:r>
            <w:r w:rsidRPr="00335B67">
              <w:t>system</w:t>
            </w:r>
          </w:p>
        </w:tc>
      </w:tr>
    </w:tbl>
    <w:p w:rsidR="00D50B19" w:rsidP="00335B67">
      <w:pPr>
        <w:pStyle w:val="BodyText"/>
      </w:pPr>
    </w:p>
    <w:p w:rsidR="00D50B19" w:rsidP="00335B67">
      <w:pPr>
        <w:pStyle w:val="BodyText"/>
      </w:pPr>
    </w:p>
    <w:p w:rsidR="00000000" w:rsidRPr="00335B67" w:rsidP="00335B67">
      <w:pPr>
        <w:pStyle w:val="Heading1"/>
      </w:pPr>
      <w:bookmarkStart w:id="12" w:name="O_204122"/>
      <w:bookmarkEnd w:id="12"/>
      <w:r w:rsidRPr="00335B67">
        <w:t>Unit Sector(s)</w:t>
      </w:r>
    </w:p>
    <w:tbl>
      <w:tblPr>
        <w:tblW w:w="0" w:type="auto"/>
        <w:tblLayout w:type="fixed"/>
        <w:tblCellMar>
          <w:left w:w="62" w:type="dxa"/>
          <w:right w:w="62" w:type="dxa"/>
        </w:tblCellMar>
        <w:tblLook w:val="0000"/>
      </w:tblPr>
      <w:tblGrid>
        <w:gridCol w:w="2632"/>
        <w:gridCol w:w="5890"/>
      </w:tblGrid>
      <w:tr w:rsidTr="00D50B1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Unit sectors</w:t>
            </w:r>
          </w:p>
        </w:tc>
        <w:tc>
          <w:tcPr>
            <w:tcW w:w="5890" w:type="dxa"/>
            <w:tcBorders>
              <w:top w:val="nil"/>
              <w:left w:val="nil"/>
              <w:bottom w:val="nil"/>
              <w:right w:val="nil"/>
            </w:tcBorders>
            <w:tcMar>
              <w:top w:w="0" w:type="dxa"/>
              <w:left w:w="62" w:type="dxa"/>
              <w:bottom w:w="0" w:type="dxa"/>
              <w:right w:w="62" w:type="dxa"/>
            </w:tcMar>
          </w:tcPr>
          <w:p w:rsidR="00000000" w:rsidRPr="00335B67" w:rsidP="00335B67">
            <w:pPr>
              <w:pStyle w:val="BodyText"/>
            </w:pPr>
            <w:r w:rsidRPr="00335B67">
              <w:t>No sector assigned</w:t>
            </w:r>
          </w:p>
        </w:tc>
      </w:tr>
    </w:tbl>
    <w:p w:rsidR="00D50B19" w:rsidP="00335B67">
      <w:pPr>
        <w:pStyle w:val="BodyText"/>
      </w:pPr>
    </w:p>
    <w:p w:rsidR="00D50B19" w:rsidP="00335B67">
      <w:pPr>
        <w:pStyle w:val="BodyText"/>
      </w:pPr>
    </w:p>
    <w:p w:rsidR="00000000" w:rsidRPr="00335B67" w:rsidP="00335B67">
      <w:pPr>
        <w:pStyle w:val="Heading1"/>
      </w:pPr>
      <w:bookmarkStart w:id="13" w:name="O_204119"/>
      <w:bookmarkEnd w:id="13"/>
      <w:r w:rsidRPr="00335B67">
        <w:t>Co-requisite units</w:t>
      </w:r>
    </w:p>
    <w:tbl>
      <w:tblPr>
        <w:tblW w:w="0" w:type="auto"/>
        <w:tblLayout w:type="fixed"/>
        <w:tblCellMar>
          <w:left w:w="62" w:type="dxa"/>
          <w:right w:w="62" w:type="dxa"/>
        </w:tblCellMar>
        <w:tblLook w:val="0000"/>
      </w:tblPr>
      <w:tblGrid>
        <w:gridCol w:w="2642"/>
        <w:gridCol w:w="2940"/>
        <w:gridCol w:w="2940"/>
      </w:tblGrid>
      <w:tr w:rsidTr="00D50B19">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335B67">
            <w:pPr>
              <w:pStyle w:val="BodyText"/>
              <w:rPr>
                <w:lang w:val="en-NZ"/>
              </w:rPr>
            </w:pPr>
          </w:p>
        </w:tc>
      </w:tr>
      <w:tr w:rsidTr="00D50B1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p>
        </w:tc>
      </w:tr>
      <w:tr w:rsidTr="00D50B1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35B67" w:rsidP="00335B67">
            <w:pPr>
              <w:pStyle w:val="BodyText"/>
            </w:pPr>
          </w:p>
        </w:tc>
      </w:tr>
    </w:tbl>
    <w:p w:rsidR="00D50B19" w:rsidP="00335B67">
      <w:pPr>
        <w:pStyle w:val="BodyText"/>
      </w:pPr>
    </w:p>
    <w:p w:rsidR="00D50B19" w:rsidP="00335B67">
      <w:pPr>
        <w:pStyle w:val="BodyText"/>
      </w:pPr>
    </w:p>
    <w:p w:rsidR="00000000" w:rsidRPr="00335B67" w:rsidP="00335B67">
      <w:pPr>
        <w:pStyle w:val="Heading1"/>
      </w:pPr>
      <w:bookmarkStart w:id="14" w:name="O_204121"/>
      <w:bookmarkEnd w:id="14"/>
      <w:r w:rsidRPr="00335B67">
        <w:t>Competency field</w:t>
      </w:r>
    </w:p>
    <w:tbl>
      <w:tblPr>
        <w:tblW w:w="0" w:type="auto"/>
        <w:tblLayout w:type="fixed"/>
        <w:tblCellMar>
          <w:left w:w="62" w:type="dxa"/>
          <w:right w:w="62" w:type="dxa"/>
        </w:tblCellMar>
        <w:tblLook w:val="0000"/>
      </w:tblPr>
      <w:tblGrid>
        <w:gridCol w:w="2776"/>
        <w:gridCol w:w="5746"/>
      </w:tblGrid>
      <w:tr w:rsidTr="00D50B1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35B67">
            <w:pPr>
              <w:pStyle w:val="BodyText"/>
              <w:rPr>
                <w:lang w:val="en-NZ"/>
              </w:rPr>
            </w:pPr>
            <w:r w:rsidRPr="00335B67">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335B67" w:rsidP="00335B67">
            <w:pPr>
              <w:pStyle w:val="BodyText"/>
            </w:pPr>
            <w:r w:rsidRPr="00335B67">
              <w:t>Sawmilling and Processing</w:t>
            </w:r>
          </w:p>
        </w:tc>
      </w:tr>
    </w:tbl>
    <w:p w:rsidR="00D50B19" w:rsidP="00335B67">
      <w:pPr>
        <w:pStyle w:val="BodyText"/>
      </w:pPr>
    </w:p>
    <w:p w:rsidR="00D50B19" w:rsidP="00335B67">
      <w:pPr>
        <w:pStyle w:val="BodyText"/>
      </w:pPr>
    </w:p>
    <w:p w:rsidR="00000000" w:rsidRPr="00335B67" w:rsidP="00335B67"/>
    <w:sectPr w:rsidSect="00335B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B19" w:rsidP="00D50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B19" w:rsidP="00335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50B19" w:rsidP="00335B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50B19" w:rsidP="00335B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B19" w:rsidP="00D50B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B19" w:rsidP="00335B67">
    <w:pPr>
      <w:pStyle w:val="Header"/>
      <w:framePr w:wrap="around"/>
    </w:pPr>
    <w:r>
      <w:fldChar w:fldCharType="begin"/>
    </w:r>
    <w:r>
      <w:instrText xml:space="preserve"> TITLE   \* MERGEFORMAT </w:instrText>
    </w:r>
    <w:r>
      <w:fldChar w:fldCharType="separate"/>
    </w:r>
    <w:r>
      <w:t>FPISAW3222B Recondition band mill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0B19" w:rsidP="00335B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26B4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76CD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B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B67"/>
    <w:pPr>
      <w:spacing w:before="360" w:after="60"/>
      <w:outlineLvl w:val="0"/>
    </w:pPr>
    <w:rPr>
      <w:sz w:val="32"/>
    </w:rPr>
  </w:style>
  <w:style w:type="paragraph" w:styleId="Heading2">
    <w:name w:val="heading 2"/>
    <w:basedOn w:val="HeadingBase"/>
    <w:next w:val="BodyText"/>
    <w:link w:val="Heading2Char"/>
    <w:qFormat/>
    <w:rsid w:val="00335B67"/>
    <w:pPr>
      <w:keepLines/>
      <w:spacing w:before="240" w:after="120"/>
      <w:outlineLvl w:val="1"/>
    </w:pPr>
    <w:rPr>
      <w:sz w:val="28"/>
      <w:szCs w:val="40"/>
    </w:rPr>
  </w:style>
  <w:style w:type="paragraph" w:styleId="Heading3">
    <w:name w:val="heading 3"/>
    <w:basedOn w:val="HeadingBase"/>
    <w:next w:val="BodyText"/>
    <w:link w:val="Heading3Char"/>
    <w:qFormat/>
    <w:rsid w:val="00335B67"/>
    <w:pPr>
      <w:spacing w:before="180" w:after="120"/>
      <w:outlineLvl w:val="2"/>
    </w:pPr>
    <w:rPr>
      <w:spacing w:val="-10"/>
      <w:kern w:val="32"/>
    </w:rPr>
  </w:style>
  <w:style w:type="paragraph" w:styleId="Heading4">
    <w:name w:val="heading 4"/>
    <w:basedOn w:val="HeadingBase"/>
    <w:next w:val="BodyText"/>
    <w:link w:val="Heading4Char"/>
    <w:qFormat/>
    <w:rsid w:val="00335B67"/>
    <w:pPr>
      <w:spacing w:before="160" w:after="120"/>
      <w:outlineLvl w:val="3"/>
    </w:pPr>
    <w:rPr>
      <w:sz w:val="22"/>
    </w:rPr>
  </w:style>
  <w:style w:type="paragraph" w:styleId="Heading5">
    <w:name w:val="heading 5"/>
    <w:basedOn w:val="HeadingBase"/>
    <w:next w:val="Normal"/>
    <w:link w:val="Heading5Char"/>
    <w:qFormat/>
    <w:rsid w:val="00335B67"/>
    <w:pPr>
      <w:spacing w:before="80"/>
      <w:outlineLvl w:val="4"/>
    </w:pPr>
    <w:rPr>
      <w:color w:val="918585"/>
      <w:sz w:val="20"/>
    </w:rPr>
  </w:style>
  <w:style w:type="paragraph" w:styleId="Heading6">
    <w:name w:val="heading 6"/>
    <w:basedOn w:val="HeadingBase"/>
    <w:next w:val="Normal"/>
    <w:link w:val="Heading6Char"/>
    <w:qFormat/>
    <w:rsid w:val="00335B67"/>
    <w:pPr>
      <w:spacing w:before="60"/>
      <w:outlineLvl w:val="5"/>
    </w:pPr>
    <w:rPr>
      <w:color w:val="918585"/>
      <w:sz w:val="20"/>
    </w:rPr>
  </w:style>
  <w:style w:type="paragraph" w:styleId="Heading7">
    <w:name w:val="heading 7"/>
    <w:basedOn w:val="Normal"/>
    <w:next w:val="Normal"/>
    <w:link w:val="Heading7Char"/>
    <w:qFormat/>
    <w:rsid w:val="00335B67"/>
    <w:pPr>
      <w:ind w:left="720"/>
      <w:outlineLvl w:val="6"/>
    </w:pPr>
    <w:rPr>
      <w:i/>
    </w:rPr>
  </w:style>
  <w:style w:type="paragraph" w:styleId="Heading8">
    <w:name w:val="heading 8"/>
    <w:basedOn w:val="Normal"/>
    <w:next w:val="Normal"/>
    <w:link w:val="Heading8Char"/>
    <w:qFormat/>
    <w:rsid w:val="00335B67"/>
    <w:pPr>
      <w:ind w:left="720"/>
      <w:outlineLvl w:val="7"/>
    </w:pPr>
    <w:rPr>
      <w:i/>
    </w:rPr>
  </w:style>
  <w:style w:type="paragraph" w:styleId="Heading9">
    <w:name w:val="heading 9"/>
    <w:basedOn w:val="Normal"/>
    <w:next w:val="Normal"/>
    <w:link w:val="Heading9Char"/>
    <w:qFormat/>
    <w:rsid w:val="00335B67"/>
    <w:pPr>
      <w:ind w:left="720"/>
      <w:outlineLvl w:val="8"/>
    </w:pPr>
    <w:rPr>
      <w:i/>
    </w:rPr>
  </w:style>
  <w:style w:type="character" w:default="1" w:styleId="DefaultParagraphFont">
    <w:name w:val="Default Paragraph Font"/>
    <w:uiPriority w:val="1"/>
    <w:unhideWhenUsed/>
    <w:rsid w:val="00335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B67"/>
  </w:style>
  <w:style w:type="character" w:customStyle="1" w:styleId="Heading1Char">
    <w:name w:val="Heading 1 Char"/>
    <w:basedOn w:val="DefaultParagraphFont"/>
    <w:link w:val="Heading1"/>
    <w:rsid w:val="00335B67"/>
    <w:rPr>
      <w:rFonts w:ascii="Times New Roman" w:eastAsia="Times New Roman" w:hAnsi="Times New Roman" w:cs="Times New Roman"/>
      <w:b/>
      <w:sz w:val="32"/>
      <w:szCs w:val="20"/>
      <w:lang w:eastAsia="en-US"/>
    </w:rPr>
  </w:style>
  <w:style w:type="paragraph" w:styleId="BodyText">
    <w:name w:val="Body Text"/>
    <w:basedOn w:val="Normal"/>
    <w:link w:val="BodyTextChar"/>
    <w:rsid w:val="00335B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B67"/>
    <w:rPr>
      <w:rFonts w:ascii="Times New Roman" w:eastAsia="Times New Roman" w:hAnsi="Times New Roman" w:cs="Times New Roman"/>
      <w:sz w:val="24"/>
      <w:lang w:val="en-US" w:eastAsia="en-US"/>
    </w:rPr>
  </w:style>
  <w:style w:type="paragraph" w:styleId="Footer">
    <w:name w:val="footer"/>
    <w:basedOn w:val="Normal"/>
    <w:link w:val="FooterChar"/>
    <w:rsid w:val="00335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B67"/>
    <w:rPr>
      <w:rFonts w:ascii="Times New Roman" w:eastAsia="Times New Roman" w:hAnsi="Times New Roman" w:cs="Times New Roman"/>
      <w:sz w:val="16"/>
      <w:lang w:val="en-US" w:eastAsia="en-US"/>
    </w:rPr>
  </w:style>
  <w:style w:type="paragraph" w:styleId="List">
    <w:name w:val="List"/>
    <w:basedOn w:val="BodyText"/>
    <w:next w:val="BodyText"/>
    <w:rsid w:val="00335B67"/>
    <w:pPr>
      <w:tabs>
        <w:tab w:val="left" w:pos="340"/>
      </w:tabs>
      <w:spacing w:before="60" w:after="60"/>
      <w:ind w:left="340" w:hanging="340"/>
    </w:pPr>
  </w:style>
  <w:style w:type="paragraph" w:styleId="ListBullet">
    <w:name w:val="List Bullet"/>
    <w:basedOn w:val="List"/>
    <w:rsid w:val="00335B67"/>
    <w:pPr>
      <w:numPr>
        <w:numId w:val="13"/>
      </w:numPr>
      <w:tabs>
        <w:tab w:val="clear" w:pos="340"/>
      </w:tabs>
      <w:spacing w:before="40" w:after="40"/>
    </w:pPr>
  </w:style>
  <w:style w:type="character" w:customStyle="1" w:styleId="SpecialBold">
    <w:name w:val="Special Bold"/>
    <w:basedOn w:val="DefaultParagraphFont"/>
    <w:rsid w:val="00335B67"/>
    <w:rPr>
      <w:b/>
      <w:spacing w:val="0"/>
    </w:rPr>
  </w:style>
  <w:style w:type="paragraph" w:styleId="Header">
    <w:name w:val="header"/>
    <w:basedOn w:val="Normal"/>
    <w:link w:val="HeaderChar"/>
    <w:rsid w:val="00335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B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5B67"/>
    <w:pPr>
      <w:spacing w:before="240" w:after="120"/>
      <w:outlineLvl w:val="0"/>
    </w:pPr>
    <w:rPr>
      <w:rFonts w:ascii="Times New Roman" w:hAnsi="Times New Roman"/>
      <w:b/>
      <w:sz w:val="28"/>
    </w:rPr>
  </w:style>
  <w:style w:type="paragraph" w:customStyle="1" w:styleId="AllowPageBreak">
    <w:name w:val="AllowPageBreak"/>
    <w:rsid w:val="00335B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5B67"/>
    <w:pPr>
      <w:tabs>
        <w:tab w:val="left" w:pos="680"/>
      </w:tabs>
      <w:spacing w:before="60" w:after="60"/>
      <w:ind w:left="680" w:hanging="340"/>
    </w:pPr>
  </w:style>
  <w:style w:type="paragraph" w:styleId="ListBullet3">
    <w:name w:val="List Bullet 3"/>
    <w:basedOn w:val="List3"/>
    <w:rsid w:val="00335B67"/>
    <w:pPr>
      <w:numPr>
        <w:numId w:val="2"/>
      </w:numPr>
      <w:tabs>
        <w:tab w:val="clear" w:pos="1021"/>
      </w:tabs>
      <w:ind w:left="1037" w:hanging="357"/>
    </w:pPr>
  </w:style>
  <w:style w:type="character" w:customStyle="1" w:styleId="BoldandItalics">
    <w:name w:val="Bold and Italics"/>
    <w:qFormat/>
    <w:rsid w:val="00335B67"/>
    <w:rPr>
      <w:b/>
      <w:i/>
      <w:u w:val="none"/>
    </w:rPr>
  </w:style>
  <w:style w:type="character" w:customStyle="1" w:styleId="Heading2Char">
    <w:name w:val="Heading 2 Char"/>
    <w:basedOn w:val="DefaultParagraphFont"/>
    <w:link w:val="Heading2"/>
    <w:rsid w:val="00335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B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B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B67"/>
    <w:rPr>
      <w:rFonts w:ascii="Courier New" w:eastAsia="Times New Roman" w:hAnsi="Courier New" w:cs="Times New Roman"/>
      <w:i/>
      <w:szCs w:val="20"/>
      <w:lang w:val="en-US" w:eastAsia="en-US"/>
    </w:rPr>
  </w:style>
  <w:style w:type="paragraph" w:customStyle="1" w:styleId="HeadingBase">
    <w:name w:val="Heading Base"/>
    <w:rsid w:val="00335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B67"/>
    <w:pPr>
      <w:tabs>
        <w:tab w:val="right" w:leader="dot" w:pos="9072"/>
      </w:tabs>
      <w:ind w:left="567"/>
    </w:pPr>
    <w:rPr>
      <w:szCs w:val="22"/>
    </w:rPr>
  </w:style>
  <w:style w:type="paragraph" w:customStyle="1" w:styleId="TOCBase">
    <w:name w:val="TOC Base"/>
    <w:rsid w:val="00335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B67"/>
    <w:pPr>
      <w:tabs>
        <w:tab w:val="right" w:leader="dot" w:pos="9072"/>
      </w:tabs>
      <w:spacing w:before="40" w:after="40"/>
      <w:ind w:left="284"/>
    </w:pPr>
    <w:rPr>
      <w:rFonts w:ascii="Times New Roman" w:hAnsi="Times New Roman"/>
    </w:rPr>
  </w:style>
  <w:style w:type="paragraph" w:styleId="TOC1">
    <w:name w:val="toc 1"/>
    <w:basedOn w:val="TOCBase"/>
    <w:next w:val="Normal"/>
    <w:rsid w:val="00335B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B67"/>
    <w:pPr>
      <w:spacing w:before="5040"/>
      <w:jc w:val="center"/>
    </w:pPr>
    <w:rPr>
      <w:sz w:val="48"/>
      <w:szCs w:val="72"/>
      <w:lang w:val="en-US"/>
    </w:rPr>
  </w:style>
  <w:style w:type="character" w:customStyle="1" w:styleId="TitleChar">
    <w:name w:val="Title Char"/>
    <w:basedOn w:val="DefaultParagraphFont"/>
    <w:link w:val="Title"/>
    <w:rsid w:val="00335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B67"/>
    <w:pPr>
      <w:tabs>
        <w:tab w:val="left" w:pos="3600"/>
        <w:tab w:val="left" w:pos="3958"/>
      </w:tabs>
    </w:pPr>
  </w:style>
  <w:style w:type="paragraph" w:customStyle="1" w:styleId="Note">
    <w:name w:val="Note"/>
    <w:basedOn w:val="BodyText"/>
    <w:rsid w:val="00335B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B67"/>
    <w:pPr>
      <w:framePr w:wrap="auto" w:hAnchor="text" w:y="6049"/>
    </w:pPr>
    <w:rPr>
      <w:color w:val="000000"/>
      <w:sz w:val="40"/>
    </w:rPr>
  </w:style>
  <w:style w:type="paragraph" w:customStyle="1" w:styleId="TOCTitle">
    <w:name w:val="TOCTitle"/>
    <w:basedOn w:val="Heading1"/>
    <w:rsid w:val="00335B67"/>
    <w:pPr>
      <w:spacing w:after="240"/>
      <w:jc w:val="center"/>
      <w:outlineLvl w:val="9"/>
    </w:pPr>
    <w:rPr>
      <w:caps/>
    </w:rPr>
  </w:style>
  <w:style w:type="paragraph" w:customStyle="1" w:styleId="Version">
    <w:name w:val="Version"/>
    <w:rsid w:val="00335B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B67"/>
    <w:pPr>
      <w:numPr>
        <w:numId w:val="14"/>
      </w:numPr>
      <w:tabs>
        <w:tab w:val="clear" w:pos="680"/>
      </w:tabs>
    </w:pPr>
  </w:style>
  <w:style w:type="paragraph" w:styleId="Index1">
    <w:name w:val="index 1"/>
    <w:basedOn w:val="Normal"/>
    <w:next w:val="Normal"/>
    <w:semiHidden/>
    <w:rsid w:val="00335B67"/>
    <w:pPr>
      <w:keepNext w:val="0"/>
      <w:tabs>
        <w:tab w:val="right" w:pos="4176"/>
      </w:tabs>
      <w:ind w:left="198" w:hanging="198"/>
    </w:pPr>
    <w:rPr>
      <w:rFonts w:ascii="Garamond" w:hAnsi="Garamond"/>
    </w:rPr>
  </w:style>
  <w:style w:type="paragraph" w:styleId="IndexHeading">
    <w:name w:val="index heading"/>
    <w:basedOn w:val="Normal"/>
    <w:next w:val="Index1"/>
    <w:semiHidden/>
    <w:rsid w:val="00335B67"/>
    <w:pPr>
      <w:spacing w:before="120" w:after="120"/>
    </w:pPr>
    <w:rPr>
      <w:rFonts w:ascii="Arial" w:hAnsi="Arial"/>
      <w:b/>
      <w:color w:val="918585"/>
      <w:sz w:val="24"/>
    </w:rPr>
  </w:style>
  <w:style w:type="paragraph" w:customStyle="1" w:styleId="Chapter">
    <w:name w:val="Chapter"/>
    <w:basedOn w:val="Normal"/>
    <w:rsid w:val="00335B67"/>
    <w:pPr>
      <w:spacing w:before="240"/>
    </w:pPr>
    <w:rPr>
      <w:rFonts w:ascii="Times New Roman" w:hAnsi="Times New Roman"/>
      <w:smallCaps/>
      <w:spacing w:val="80"/>
      <w:sz w:val="28"/>
    </w:rPr>
  </w:style>
  <w:style w:type="paragraph" w:customStyle="1" w:styleId="InChapter">
    <w:name w:val="InChapter"/>
    <w:basedOn w:val="Heading3"/>
    <w:rsid w:val="00335B67"/>
    <w:pPr>
      <w:spacing w:after="240"/>
      <w:outlineLvl w:val="9"/>
    </w:pPr>
    <w:rPr>
      <w:noProof/>
    </w:rPr>
  </w:style>
  <w:style w:type="paragraph" w:styleId="Index2">
    <w:name w:val="index 2"/>
    <w:basedOn w:val="Normal"/>
    <w:next w:val="Normal"/>
    <w:semiHidden/>
    <w:rsid w:val="00335B67"/>
    <w:pPr>
      <w:tabs>
        <w:tab w:val="right" w:pos="4176"/>
      </w:tabs>
      <w:ind w:left="568" w:hanging="284"/>
    </w:pPr>
    <w:rPr>
      <w:rFonts w:ascii="Garamond" w:hAnsi="Garamond"/>
    </w:rPr>
  </w:style>
  <w:style w:type="paragraph" w:customStyle="1" w:styleId="Byline">
    <w:name w:val="Byline"/>
    <w:rsid w:val="00335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B67"/>
    <w:pPr>
      <w:tabs>
        <w:tab w:val="clear" w:pos="3600"/>
        <w:tab w:val="clear" w:pos="3958"/>
      </w:tabs>
      <w:jc w:val="right"/>
    </w:pPr>
  </w:style>
  <w:style w:type="character" w:styleId="Emphasis">
    <w:name w:val="Emphasis"/>
    <w:basedOn w:val="DefaultParagraphFont"/>
    <w:qFormat/>
    <w:rsid w:val="00335B67"/>
    <w:rPr>
      <w:i/>
    </w:rPr>
  </w:style>
  <w:style w:type="paragraph" w:styleId="Caption">
    <w:name w:val="caption"/>
    <w:basedOn w:val="BodyText"/>
    <w:next w:val="Normal"/>
    <w:qFormat/>
    <w:rsid w:val="00335B67"/>
    <w:pPr>
      <w:framePr w:w="2268" w:hSpace="181" w:vSpace="181" w:wrap="around" w:vAnchor="text" w:hAnchor="page" w:x="1135" w:y="285" w:anchorLock="1"/>
    </w:pPr>
    <w:rPr>
      <w:i/>
    </w:rPr>
  </w:style>
  <w:style w:type="paragraph" w:customStyle="1" w:styleId="MiniTOCTitle">
    <w:name w:val="MiniTOCTitle"/>
    <w:basedOn w:val="Heading4"/>
    <w:rsid w:val="00335B67"/>
    <w:pPr>
      <w:spacing w:before="240"/>
      <w:outlineLvl w:val="9"/>
    </w:pPr>
    <w:rPr>
      <w:noProof/>
      <w:sz w:val="24"/>
    </w:rPr>
  </w:style>
  <w:style w:type="paragraph" w:customStyle="1" w:styleId="MiniTOCItem">
    <w:name w:val="MiniTOCItem"/>
    <w:basedOn w:val="ListBullet"/>
    <w:rsid w:val="00335B67"/>
    <w:pPr>
      <w:numPr>
        <w:numId w:val="0"/>
      </w:numPr>
      <w:tabs>
        <w:tab w:val="right" w:leader="dot" w:pos="6521"/>
      </w:tabs>
      <w:spacing w:before="0" w:after="0"/>
    </w:pPr>
  </w:style>
  <w:style w:type="paragraph" w:customStyle="1" w:styleId="TOFTitle">
    <w:name w:val="TOFTitle"/>
    <w:basedOn w:val="TOCTitle"/>
    <w:rsid w:val="00335B67"/>
  </w:style>
  <w:style w:type="paragraph" w:styleId="TableofFigures">
    <w:name w:val="table of figures"/>
    <w:basedOn w:val="Normal"/>
    <w:next w:val="Normal"/>
    <w:semiHidden/>
    <w:rsid w:val="00335B67"/>
    <w:pPr>
      <w:tabs>
        <w:tab w:val="right" w:leader="dot" w:pos="9072"/>
      </w:tabs>
      <w:ind w:left="970" w:hanging="403"/>
    </w:pPr>
    <w:rPr>
      <w:rFonts w:ascii="Times New Roman" w:hAnsi="Times New Roman"/>
      <w:b/>
    </w:rPr>
  </w:style>
  <w:style w:type="paragraph" w:styleId="ListNumber">
    <w:name w:val="List Number"/>
    <w:basedOn w:val="List"/>
    <w:rsid w:val="00335B67"/>
    <w:pPr>
      <w:numPr>
        <w:numId w:val="11"/>
      </w:numPr>
    </w:pPr>
  </w:style>
  <w:style w:type="character" w:customStyle="1" w:styleId="WingdingSymbols">
    <w:name w:val="Wingding Symbols"/>
    <w:rsid w:val="00335B67"/>
    <w:rPr>
      <w:rFonts w:ascii="Wingdings" w:hAnsi="Wingdings"/>
    </w:rPr>
  </w:style>
  <w:style w:type="paragraph" w:customStyle="1" w:styleId="TableHeading">
    <w:name w:val="Table Heading"/>
    <w:basedOn w:val="HeadingBase"/>
    <w:rsid w:val="00335B67"/>
    <w:pPr>
      <w:keepLines/>
      <w:pBdr>
        <w:bottom w:val="single" w:sz="6" w:space="1" w:color="918585"/>
      </w:pBdr>
      <w:spacing w:before="240"/>
    </w:pPr>
  </w:style>
  <w:style w:type="character" w:customStyle="1" w:styleId="HotSpot">
    <w:name w:val="HotSpot"/>
    <w:rsid w:val="00335B67"/>
    <w:rPr>
      <w:color w:val="0033CC"/>
      <w:u w:val="none"/>
    </w:rPr>
  </w:style>
  <w:style w:type="paragraph" w:customStyle="1" w:styleId="BodyTextRight">
    <w:name w:val="Body Text Right"/>
    <w:basedOn w:val="BodyText"/>
    <w:rsid w:val="00335B67"/>
    <w:pPr>
      <w:spacing w:before="0" w:after="0"/>
      <w:jc w:val="right"/>
    </w:pPr>
  </w:style>
  <w:style w:type="paragraph" w:styleId="Index3">
    <w:name w:val="index 3"/>
    <w:basedOn w:val="ListNumber2"/>
    <w:next w:val="Normal"/>
    <w:semiHidden/>
    <w:rsid w:val="00335B67"/>
    <w:pPr>
      <w:numPr>
        <w:numId w:val="0"/>
      </w:numPr>
      <w:tabs>
        <w:tab w:val="right" w:leader="dot" w:pos="4176"/>
      </w:tabs>
    </w:pPr>
  </w:style>
  <w:style w:type="paragraph" w:styleId="ListNumber2">
    <w:name w:val="List Number 2"/>
    <w:basedOn w:val="List2"/>
    <w:rsid w:val="00335B67"/>
    <w:pPr>
      <w:numPr>
        <w:numId w:val="10"/>
      </w:numPr>
      <w:tabs>
        <w:tab w:val="clear" w:pos="1060"/>
      </w:tabs>
    </w:pPr>
  </w:style>
  <w:style w:type="paragraph" w:customStyle="1" w:styleId="MarginNote">
    <w:name w:val="Margin Note"/>
    <w:basedOn w:val="BodyText"/>
    <w:rsid w:val="00335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B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B67"/>
    <w:rPr>
      <w:sz w:val="32"/>
    </w:rPr>
  </w:style>
  <w:style w:type="paragraph" w:customStyle="1" w:styleId="HeadingProcedure">
    <w:name w:val="Heading Procedure"/>
    <w:basedOn w:val="HeadingBase"/>
    <w:next w:val="Normal"/>
    <w:rsid w:val="00335B67"/>
    <w:pPr>
      <w:tabs>
        <w:tab w:val="left" w:pos="0"/>
      </w:tabs>
      <w:spacing w:before="120" w:after="60"/>
    </w:pPr>
    <w:rPr>
      <w:i/>
      <w:color w:val="918585"/>
      <w:sz w:val="22"/>
    </w:rPr>
  </w:style>
  <w:style w:type="paragraph" w:customStyle="1" w:styleId="TableBodyText">
    <w:name w:val="Table Body Text"/>
    <w:basedOn w:val="BodyText"/>
    <w:rsid w:val="00335B67"/>
    <w:pPr>
      <w:spacing w:before="60" w:after="60"/>
    </w:pPr>
  </w:style>
  <w:style w:type="paragraph" w:styleId="ListContinue">
    <w:name w:val="List Continue"/>
    <w:basedOn w:val="List"/>
    <w:rsid w:val="00335B67"/>
    <w:pPr>
      <w:ind w:firstLine="0"/>
    </w:pPr>
  </w:style>
  <w:style w:type="paragraph" w:customStyle="1" w:styleId="ListNote">
    <w:name w:val="List Note"/>
    <w:basedOn w:val="List"/>
    <w:rsid w:val="00335B67"/>
    <w:pPr>
      <w:pBdr>
        <w:top w:val="single" w:sz="6" w:space="2" w:color="918585"/>
        <w:bottom w:val="single" w:sz="6" w:space="2" w:color="918585"/>
      </w:pBdr>
      <w:tabs>
        <w:tab w:val="left" w:pos="1021"/>
      </w:tabs>
      <w:ind w:firstLine="0"/>
    </w:pPr>
  </w:style>
  <w:style w:type="paragraph" w:customStyle="1" w:styleId="Warning">
    <w:name w:val="Warning"/>
    <w:basedOn w:val="BodyText"/>
    <w:rsid w:val="00335B67"/>
    <w:pPr>
      <w:shd w:val="clear" w:color="auto" w:fill="D9D9D9"/>
      <w:tabs>
        <w:tab w:val="left" w:pos="992"/>
      </w:tabs>
      <w:ind w:left="119" w:right="119"/>
    </w:pPr>
    <w:rPr>
      <w:sz w:val="20"/>
    </w:rPr>
  </w:style>
  <w:style w:type="paragraph" w:customStyle="1" w:styleId="MarginIcons">
    <w:name w:val="Margin Icons"/>
    <w:basedOn w:val="BodyText"/>
    <w:rsid w:val="00335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B67"/>
    <w:rPr>
      <w:rFonts w:ascii="Courier New" w:hAnsi="Courier New"/>
    </w:rPr>
  </w:style>
  <w:style w:type="paragraph" w:customStyle="1" w:styleId="NoteBullet">
    <w:name w:val="Note Bullet"/>
    <w:basedOn w:val="Note"/>
    <w:rsid w:val="00335B67"/>
    <w:pPr>
      <w:tabs>
        <w:tab w:val="clear" w:pos="680"/>
      </w:tabs>
      <w:spacing w:before="60" w:after="60"/>
    </w:pPr>
  </w:style>
  <w:style w:type="paragraph" w:customStyle="1" w:styleId="SubHeading2">
    <w:name w:val="SubHeading2"/>
    <w:basedOn w:val="HeadingBase"/>
    <w:rsid w:val="00335B67"/>
    <w:pPr>
      <w:spacing w:before="240" w:after="60"/>
    </w:pPr>
    <w:rPr>
      <w:sz w:val="20"/>
    </w:rPr>
  </w:style>
  <w:style w:type="paragraph" w:customStyle="1" w:styleId="SubHeading1">
    <w:name w:val="SubHeading1"/>
    <w:basedOn w:val="HeadingBase"/>
    <w:rsid w:val="00335B67"/>
    <w:pPr>
      <w:spacing w:before="240" w:after="60"/>
    </w:pPr>
    <w:rPr>
      <w:color w:val="918585"/>
      <w:sz w:val="22"/>
    </w:rPr>
  </w:style>
  <w:style w:type="paragraph" w:customStyle="1" w:styleId="SideHeading">
    <w:name w:val="Side Heading"/>
    <w:basedOn w:val="HeadingBase"/>
    <w:rsid w:val="00335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B67"/>
    <w:pPr>
      <w:numPr>
        <w:numId w:val="12"/>
      </w:numPr>
    </w:pPr>
  </w:style>
  <w:style w:type="paragraph" w:styleId="PlainText">
    <w:name w:val="Plain Text"/>
    <w:basedOn w:val="Normal"/>
    <w:link w:val="PlainTextChar"/>
    <w:rsid w:val="00335B67"/>
    <w:rPr>
      <w:sz w:val="20"/>
    </w:rPr>
  </w:style>
  <w:style w:type="character" w:customStyle="1" w:styleId="PlainTextChar">
    <w:name w:val="Plain Text Char"/>
    <w:basedOn w:val="DefaultParagraphFont"/>
    <w:link w:val="PlainText"/>
    <w:rsid w:val="00335B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5B67"/>
    <w:rPr>
      <w:b/>
      <w:smallCaps/>
    </w:rPr>
  </w:style>
  <w:style w:type="paragraph" w:customStyle="1" w:styleId="TableListNumber">
    <w:name w:val="Table List Number"/>
    <w:basedOn w:val="ListNumber"/>
    <w:rsid w:val="00335B67"/>
    <w:pPr>
      <w:numPr>
        <w:numId w:val="0"/>
      </w:numPr>
    </w:pPr>
  </w:style>
  <w:style w:type="paragraph" w:styleId="TOC4">
    <w:name w:val="toc 4"/>
    <w:basedOn w:val="TOCBase"/>
    <w:next w:val="Normal"/>
    <w:semiHidden/>
    <w:rsid w:val="00335B67"/>
    <w:pPr>
      <w:tabs>
        <w:tab w:val="right" w:leader="dot" w:pos="9071"/>
      </w:tabs>
      <w:ind w:left="1701"/>
    </w:pPr>
  </w:style>
  <w:style w:type="paragraph" w:customStyle="1" w:styleId="ListAlpha">
    <w:name w:val="List Alpha"/>
    <w:basedOn w:val="List"/>
    <w:rsid w:val="00335B67"/>
    <w:pPr>
      <w:numPr>
        <w:numId w:val="9"/>
      </w:numPr>
    </w:pPr>
  </w:style>
  <w:style w:type="paragraph" w:customStyle="1" w:styleId="ListAlpha2">
    <w:name w:val="List Alpha 2"/>
    <w:basedOn w:val="List2"/>
    <w:rsid w:val="00335B67"/>
    <w:pPr>
      <w:numPr>
        <w:numId w:val="8"/>
      </w:numPr>
    </w:pPr>
  </w:style>
  <w:style w:type="paragraph" w:styleId="List3">
    <w:name w:val="List 3"/>
    <w:basedOn w:val="BodyText"/>
    <w:rsid w:val="00335B67"/>
    <w:pPr>
      <w:tabs>
        <w:tab w:val="left" w:pos="1021"/>
      </w:tabs>
      <w:spacing w:before="60" w:after="60"/>
      <w:ind w:left="1020" w:hanging="340"/>
    </w:pPr>
  </w:style>
  <w:style w:type="paragraph" w:styleId="List4">
    <w:name w:val="List 4"/>
    <w:basedOn w:val="BodyText"/>
    <w:rsid w:val="00335B67"/>
    <w:pPr>
      <w:tabs>
        <w:tab w:val="left" w:pos="1361"/>
      </w:tabs>
      <w:spacing w:before="60" w:after="60"/>
      <w:ind w:left="1361" w:hanging="340"/>
    </w:pPr>
  </w:style>
  <w:style w:type="paragraph" w:styleId="List5">
    <w:name w:val="List 5"/>
    <w:basedOn w:val="BodyText"/>
    <w:rsid w:val="00335B67"/>
    <w:pPr>
      <w:tabs>
        <w:tab w:val="left" w:pos="1701"/>
      </w:tabs>
      <w:spacing w:before="60" w:after="60"/>
      <w:ind w:left="1701" w:hanging="340"/>
    </w:pPr>
  </w:style>
  <w:style w:type="paragraph" w:styleId="ListBullet4">
    <w:name w:val="List Bullet 4"/>
    <w:basedOn w:val="List4"/>
    <w:rsid w:val="00335B67"/>
    <w:pPr>
      <w:numPr>
        <w:numId w:val="3"/>
      </w:numPr>
    </w:pPr>
  </w:style>
  <w:style w:type="paragraph" w:styleId="ListBullet5">
    <w:name w:val="List Bullet 5"/>
    <w:basedOn w:val="List5"/>
    <w:rsid w:val="00335B67"/>
    <w:pPr>
      <w:numPr>
        <w:numId w:val="4"/>
      </w:numPr>
    </w:pPr>
  </w:style>
  <w:style w:type="paragraph" w:styleId="ListContinue2">
    <w:name w:val="List Continue 2"/>
    <w:basedOn w:val="List2"/>
    <w:rsid w:val="00335B67"/>
    <w:pPr>
      <w:ind w:firstLine="0"/>
    </w:pPr>
  </w:style>
  <w:style w:type="paragraph" w:styleId="ListContinue3">
    <w:name w:val="List Continue 3"/>
    <w:basedOn w:val="List3"/>
    <w:rsid w:val="00335B67"/>
    <w:pPr>
      <w:ind w:left="1021" w:firstLine="0"/>
    </w:pPr>
  </w:style>
  <w:style w:type="paragraph" w:styleId="ListContinue4">
    <w:name w:val="List Continue 4"/>
    <w:basedOn w:val="List4"/>
    <w:rsid w:val="00335B67"/>
    <w:pPr>
      <w:ind w:firstLine="0"/>
    </w:pPr>
  </w:style>
  <w:style w:type="paragraph" w:styleId="ListContinue5">
    <w:name w:val="List Continue 5"/>
    <w:basedOn w:val="List5"/>
    <w:rsid w:val="00335B67"/>
    <w:pPr>
      <w:ind w:firstLine="0"/>
    </w:pPr>
  </w:style>
  <w:style w:type="paragraph" w:styleId="ListNumber3">
    <w:name w:val="List Number 3"/>
    <w:basedOn w:val="List3"/>
    <w:rsid w:val="00335B67"/>
    <w:pPr>
      <w:numPr>
        <w:numId w:val="5"/>
      </w:numPr>
    </w:pPr>
  </w:style>
  <w:style w:type="paragraph" w:styleId="ListNumber4">
    <w:name w:val="List Number 4"/>
    <w:basedOn w:val="List4"/>
    <w:rsid w:val="00335B67"/>
    <w:pPr>
      <w:numPr>
        <w:numId w:val="6"/>
      </w:numPr>
    </w:pPr>
  </w:style>
  <w:style w:type="paragraph" w:styleId="ListNumber5">
    <w:name w:val="List Number 5"/>
    <w:basedOn w:val="List5"/>
    <w:rsid w:val="00335B67"/>
    <w:pPr>
      <w:numPr>
        <w:numId w:val="7"/>
      </w:numPr>
    </w:pPr>
  </w:style>
  <w:style w:type="paragraph" w:styleId="BlockText">
    <w:name w:val="Block Text"/>
    <w:basedOn w:val="Normal"/>
    <w:rsid w:val="00335B67"/>
    <w:pPr>
      <w:spacing w:after="120"/>
      <w:ind w:left="1440" w:right="1440"/>
    </w:pPr>
  </w:style>
  <w:style w:type="character" w:customStyle="1" w:styleId="Subscript">
    <w:name w:val="Subscript"/>
    <w:basedOn w:val="DefaultParagraphFont"/>
    <w:rsid w:val="00335B67"/>
    <w:rPr>
      <w:sz w:val="16"/>
      <w:vertAlign w:val="subscript"/>
    </w:rPr>
  </w:style>
  <w:style w:type="character" w:customStyle="1" w:styleId="Superscript">
    <w:name w:val="Superscript"/>
    <w:basedOn w:val="DefaultParagraphFont"/>
    <w:rsid w:val="00335B67"/>
    <w:rPr>
      <w:sz w:val="16"/>
      <w:vertAlign w:val="superscript"/>
    </w:rPr>
  </w:style>
  <w:style w:type="character" w:customStyle="1" w:styleId="Symbols">
    <w:name w:val="Symbols"/>
    <w:basedOn w:val="DefaultParagraphFont"/>
    <w:rsid w:val="00335B67"/>
    <w:rPr>
      <w:rFonts w:ascii="Symbol" w:hAnsi="Symbol"/>
    </w:rPr>
  </w:style>
  <w:style w:type="character" w:customStyle="1" w:styleId="MenuOptions">
    <w:name w:val="Menu Options"/>
    <w:basedOn w:val="DefaultParagraphFont"/>
    <w:rsid w:val="00335B67"/>
    <w:rPr>
      <w:rFonts w:ascii="Arial Narrow" w:hAnsi="Arial Narrow"/>
      <w:smallCaps/>
    </w:rPr>
  </w:style>
  <w:style w:type="character" w:customStyle="1" w:styleId="Buttons">
    <w:name w:val="Buttons"/>
    <w:basedOn w:val="DefaultParagraphFont"/>
    <w:rsid w:val="00335B67"/>
    <w:rPr>
      <w:b/>
    </w:rPr>
  </w:style>
  <w:style w:type="character" w:customStyle="1" w:styleId="Underlined">
    <w:name w:val="Underlined"/>
    <w:basedOn w:val="DefaultParagraphFont"/>
    <w:rsid w:val="00335B67"/>
    <w:rPr>
      <w:u w:val="single"/>
    </w:rPr>
  </w:style>
  <w:style w:type="paragraph" w:customStyle="1" w:styleId="TableBodyTextRight">
    <w:name w:val="Table Body Text Right"/>
    <w:basedOn w:val="TableBodyText"/>
    <w:rsid w:val="00335B67"/>
    <w:pPr>
      <w:widowControl w:val="0"/>
      <w:autoSpaceDE w:val="0"/>
      <w:autoSpaceDN w:val="0"/>
      <w:adjustRightInd w:val="0"/>
      <w:jc w:val="right"/>
    </w:pPr>
    <w:rPr>
      <w:rFonts w:cs="Arial"/>
      <w:szCs w:val="18"/>
    </w:rPr>
  </w:style>
  <w:style w:type="paragraph" w:customStyle="1" w:styleId="CopyrightText">
    <w:name w:val="Copyright Text"/>
    <w:basedOn w:val="BodyText"/>
    <w:rsid w:val="00335B67"/>
    <w:rPr>
      <w:sz w:val="18"/>
    </w:rPr>
  </w:style>
  <w:style w:type="paragraph" w:customStyle="1" w:styleId="BodySmallRight">
    <w:name w:val="Body Small Right"/>
    <w:basedOn w:val="BodyTextRight"/>
    <w:rsid w:val="00335B67"/>
    <w:rPr>
      <w:sz w:val="18"/>
      <w:szCs w:val="18"/>
    </w:rPr>
  </w:style>
  <w:style w:type="paragraph" w:customStyle="1" w:styleId="MarginEdition">
    <w:name w:val="Margin Edition"/>
    <w:basedOn w:val="MarginNote"/>
    <w:rsid w:val="00335B67"/>
    <w:pPr>
      <w:spacing w:before="0" w:after="0"/>
    </w:pPr>
    <w:rPr>
      <w:rFonts w:ascii="Times New Roman" w:hAnsi="Times New Roman"/>
      <w:color w:val="999999"/>
    </w:rPr>
  </w:style>
  <w:style w:type="paragraph" w:customStyle="1" w:styleId="Spacer">
    <w:name w:val="Spacer"/>
    <w:basedOn w:val="Normal"/>
    <w:rsid w:val="00335B67"/>
    <w:rPr>
      <w:sz w:val="2"/>
      <w:szCs w:val="2"/>
    </w:rPr>
  </w:style>
  <w:style w:type="character" w:customStyle="1" w:styleId="Small">
    <w:name w:val="Small"/>
    <w:basedOn w:val="DefaultParagraphFont"/>
    <w:rsid w:val="00335B67"/>
    <w:rPr>
      <w:sz w:val="16"/>
    </w:rPr>
  </w:style>
  <w:style w:type="paragraph" w:customStyle="1" w:styleId="WideTable">
    <w:name w:val="Wide Table"/>
    <w:basedOn w:val="Normal"/>
    <w:rsid w:val="00335B67"/>
    <w:pPr>
      <w:ind w:left="-1418"/>
    </w:pPr>
    <w:rPr>
      <w:sz w:val="2"/>
      <w:szCs w:val="2"/>
    </w:rPr>
  </w:style>
  <w:style w:type="character" w:styleId="PageNumber">
    <w:name w:val="page number"/>
    <w:basedOn w:val="DefaultParagraphFont"/>
    <w:rsid w:val="00335B67"/>
  </w:style>
  <w:style w:type="paragraph" w:styleId="Quote">
    <w:name w:val="Quote"/>
    <w:basedOn w:val="Heading1"/>
    <w:link w:val="QuoteChar"/>
    <w:qFormat/>
    <w:rsid w:val="00335B67"/>
    <w:rPr>
      <w:b w:val="0"/>
      <w:sz w:val="72"/>
      <w:szCs w:val="72"/>
      <w:lang w:val="en-NZ"/>
    </w:rPr>
  </w:style>
  <w:style w:type="character" w:customStyle="1" w:styleId="QuoteChar">
    <w:name w:val="Quote Char"/>
    <w:basedOn w:val="DefaultParagraphFont"/>
    <w:link w:val="Quote"/>
    <w:rsid w:val="00335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B67"/>
    <w:pPr>
      <w:pageBreakBefore/>
    </w:pPr>
  </w:style>
  <w:style w:type="paragraph" w:customStyle="1" w:styleId="Border">
    <w:name w:val="Border"/>
    <w:basedOn w:val="Normal"/>
    <w:qFormat/>
    <w:rsid w:val="00335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B67"/>
    <w:rPr>
      <w:b/>
      <w:bCs/>
      <w:i/>
      <w:iCs/>
      <w:color w:val="auto"/>
    </w:rPr>
  </w:style>
  <w:style w:type="paragraph" w:styleId="IntenseQuote">
    <w:name w:val="Intense Quote"/>
    <w:basedOn w:val="Normal"/>
    <w:next w:val="Normal"/>
    <w:link w:val="IntenseQuoteChar"/>
    <w:uiPriority w:val="30"/>
    <w:qFormat/>
    <w:rsid w:val="00335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B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5B67"/>
    <w:rPr>
      <w:smallCaps/>
      <w:color w:val="auto"/>
      <w:u w:val="single"/>
    </w:rPr>
  </w:style>
  <w:style w:type="character" w:styleId="IntenseReference">
    <w:name w:val="Intense Reference"/>
    <w:basedOn w:val="DefaultParagraphFont"/>
    <w:uiPriority w:val="32"/>
    <w:qFormat/>
    <w:rsid w:val="00335B67"/>
    <w:rPr>
      <w:b/>
      <w:bCs/>
      <w:smallCaps/>
      <w:color w:val="auto"/>
      <w:spacing w:val="5"/>
      <w:u w:val="single"/>
    </w:rPr>
  </w:style>
  <w:style w:type="paragraph" w:customStyle="1" w:styleId="2ColumnHeading">
    <w:name w:val="2Column Heading"/>
    <w:basedOn w:val="BodyText"/>
    <w:qFormat/>
    <w:rsid w:val="00335B67"/>
    <w:pPr>
      <w:spacing w:after="60"/>
      <w:ind w:left="-2268"/>
    </w:pPr>
    <w:rPr>
      <w:b/>
    </w:rPr>
  </w:style>
  <w:style w:type="paragraph" w:customStyle="1" w:styleId="Heading1TOC">
    <w:name w:val="Heading1 TOC"/>
    <w:basedOn w:val="Normal"/>
    <w:qFormat/>
    <w:rsid w:val="00335B67"/>
    <w:pPr>
      <w:spacing w:before="240" w:after="120"/>
    </w:pPr>
    <w:rPr>
      <w:rFonts w:ascii="Times New Roman" w:hAnsi="Times New Roman"/>
      <w:b/>
      <w:sz w:val="32"/>
    </w:rPr>
  </w:style>
  <w:style w:type="paragraph" w:customStyle="1" w:styleId="Heading2TOC">
    <w:name w:val="Heading2 TOC"/>
    <w:basedOn w:val="Normal"/>
    <w:qFormat/>
    <w:rsid w:val="00335B67"/>
    <w:pPr>
      <w:spacing w:before="240" w:after="60"/>
    </w:pPr>
    <w:rPr>
      <w:rFonts w:ascii="Times New Roman" w:hAnsi="Times New Roman"/>
      <w:b/>
      <w:sz w:val="28"/>
    </w:rPr>
  </w:style>
  <w:style w:type="character" w:customStyle="1" w:styleId="Underline">
    <w:name w:val="Underline"/>
    <w:basedOn w:val="DefaultParagraphFont"/>
    <w:qFormat/>
    <w:rsid w:val="00335B67"/>
    <w:rPr>
      <w:u w:val="single"/>
    </w:rPr>
  </w:style>
  <w:style w:type="paragraph" w:styleId="BalloonText">
    <w:name w:val="Balloon Text"/>
    <w:basedOn w:val="Normal"/>
    <w:link w:val="BalloonTextChar"/>
    <w:rsid w:val="00335B67"/>
    <w:rPr>
      <w:rFonts w:ascii="Tahoma" w:hAnsi="Tahoma" w:cs="Tahoma"/>
      <w:sz w:val="16"/>
      <w:szCs w:val="16"/>
    </w:rPr>
  </w:style>
  <w:style w:type="character" w:customStyle="1" w:styleId="BalloonTextChar">
    <w:name w:val="Balloon Text Char"/>
    <w:basedOn w:val="DefaultParagraphFont"/>
    <w:link w:val="BalloonText"/>
    <w:rsid w:val="00335B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B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B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1899</Words>
  <Characters>11672</Characters>
  <Application>Microsoft Office Word</Application>
  <DocSecurity>0</DocSecurity>
  <Lines>417</Lines>
  <Paragraphs>217</Paragraphs>
  <ScaleCrop>false</ScaleCrop>
  <Company>Author-it Software Corporation Ltd.</Company>
  <LinksUpToDate>false</LinksUpToDate>
  <CharactersWithSpaces>13475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FPISAW3222B Recondition band mill wheels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2012-05-26T07:17:00Z</dcterms:created>
  <dcterms:modified xsi:type="dcterms:W3CDTF">2012-05-26T07:17:00Z</dcterms:modified>
</cp:coreProperties>
</file>