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2AF1" w:rsidP="005C2AF1">
      <w:pPr>
        <w:pStyle w:val="Title"/>
      </w:pPr>
      <w:r>
        <w:fldChar w:fldCharType="begin"/>
      </w:r>
      <w:r>
        <w:instrText xml:space="preserve"> TITLE   \* MERGEFORMAT </w:instrText>
      </w:r>
      <w:r>
        <w:fldChar w:fldCharType="separate"/>
      </w:r>
      <w:r>
        <w:t>FPICOT6205A Prepare an enterprise carbon management report</w:t>
      </w:r>
      <w:r>
        <w:fldChar w:fldCharType="end"/>
      </w:r>
    </w:p>
    <w:p w:rsidR="005C2AF1" w:rsidP="005C2AF1">
      <w:pPr>
        <w:pStyle w:val="Version"/>
        <w:sectPr w:rsidSect="00BF62B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F62B0" w:rsidP="00BF62B0">
      <w:pPr>
        <w:pStyle w:val="SuperHeading"/>
      </w:pPr>
      <w:r w:rsidRPr="00BF62B0">
        <w:t>FPICOT6205A Prepare an enterprise carbon management report</w:t>
      </w:r>
    </w:p>
    <w:p w:rsidR="00000000" w:rsidRPr="00BF62B0" w:rsidP="00BF62B0">
      <w:pPr>
        <w:pStyle w:val="Heading1"/>
      </w:pPr>
      <w:bookmarkStart w:id="1" w:name="O_270608"/>
      <w:bookmarkEnd w:id="1"/>
      <w:r w:rsidRPr="00BF62B0">
        <w:t>Modification History</w:t>
      </w:r>
    </w:p>
    <w:p w:rsidR="00000000" w:rsidRPr="00BF62B0" w:rsidP="00BF62B0">
      <w:pPr>
        <w:pStyle w:val="BodyText"/>
      </w:pPr>
      <w:r w:rsidRPr="00BF62B0">
        <w:t>Not Applicable</w:t>
      </w:r>
    </w:p>
    <w:p w:rsidR="00000000" w:rsidRPr="00BF62B0" w:rsidP="00BF62B0">
      <w:pPr>
        <w:pStyle w:val="AllowPageBreak"/>
      </w:pPr>
    </w:p>
    <w:p w:rsidR="00000000" w:rsidRPr="00BF62B0" w:rsidP="00BF62B0">
      <w:pPr>
        <w:pStyle w:val="Heading1"/>
      </w:pPr>
      <w:bookmarkStart w:id="2" w:name="O_203543"/>
      <w:bookmarkEnd w:id="2"/>
      <w:r w:rsidRPr="00BF62B0">
        <w:t>Unit Descriptor</w:t>
      </w:r>
    </w:p>
    <w:tbl>
      <w:tblPr>
        <w:tblW w:w="0" w:type="auto"/>
        <w:tblLayout w:type="fixed"/>
        <w:tblCellMar>
          <w:left w:w="62" w:type="dxa"/>
          <w:right w:w="62" w:type="dxa"/>
        </w:tblCellMar>
        <w:tblLook w:val="0000"/>
      </w:tblPr>
      <w:tblGrid>
        <w:gridCol w:w="2664"/>
        <w:gridCol w:w="5858"/>
      </w:tblGrid>
      <w:tr w:rsidTr="005C2AF1">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BF62B0">
            <w:pPr>
              <w:pStyle w:val="BodyText"/>
              <w:rPr>
                <w:lang w:val="en-NZ"/>
              </w:rPr>
            </w:pPr>
            <w:r w:rsidRPr="00BF62B0">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BF62B0" w:rsidP="00BF62B0">
            <w:pPr>
              <w:pStyle w:val="BodyText"/>
            </w:pPr>
            <w:r w:rsidRPr="00BF62B0">
              <w:t>This unit describes the outcomes required to write a carbon management report for an organis</w:t>
            </w:r>
            <w:r w:rsidRPr="00BF62B0">
              <w:t>ation in a suitable format for dissemination to internal personnel and/or external authorities</w:t>
            </w:r>
          </w:p>
          <w:p w:rsidR="00000000" w:rsidRPr="00BF62B0" w:rsidP="00BF62B0">
            <w:pPr>
              <w:pStyle w:val="BodyText"/>
            </w:pPr>
            <w:r w:rsidRPr="00BF62B0">
              <w:t>General workplace legislative and regulatory requirements apply to this unit; however there are no specific licensing or certification requirements at the time o</w:t>
            </w:r>
            <w:r w:rsidRPr="00BF62B0">
              <w:t>f publication</w:t>
            </w:r>
          </w:p>
        </w:tc>
      </w:tr>
    </w:tbl>
    <w:p w:rsidR="005C2AF1" w:rsidP="00BF62B0">
      <w:pPr>
        <w:pStyle w:val="BodyText"/>
      </w:pPr>
    </w:p>
    <w:p w:rsidR="005C2AF1" w:rsidP="00BF62B0">
      <w:pPr>
        <w:pStyle w:val="BodyText"/>
      </w:pPr>
    </w:p>
    <w:p w:rsidR="00000000" w:rsidRPr="00BF62B0" w:rsidP="00BF62B0">
      <w:pPr>
        <w:pStyle w:val="Heading1"/>
      </w:pPr>
      <w:bookmarkStart w:id="3" w:name="O_203545"/>
      <w:bookmarkEnd w:id="3"/>
      <w:r w:rsidRPr="00BF62B0">
        <w:t>Application of the Unit</w:t>
      </w:r>
    </w:p>
    <w:tbl>
      <w:tblPr>
        <w:tblW w:w="0" w:type="auto"/>
        <w:tblLayout w:type="fixed"/>
        <w:tblCellMar>
          <w:left w:w="62" w:type="dxa"/>
          <w:right w:w="62" w:type="dxa"/>
        </w:tblCellMar>
        <w:tblLook w:val="0000"/>
      </w:tblPr>
      <w:tblGrid>
        <w:gridCol w:w="2743"/>
        <w:gridCol w:w="5779"/>
      </w:tblGrid>
      <w:tr w:rsidTr="005C2AF1">
        <w:tblPrEx>
          <w:tblW w:w="0" w:type="auto"/>
          <w:tblLayout w:type="fixed"/>
          <w:tblCellMar>
            <w:left w:w="62" w:type="dxa"/>
            <w:right w:w="62" w:type="dxa"/>
          </w:tblCellMar>
          <w:tblLook w:val="0000"/>
        </w:tblPrEx>
        <w:tc>
          <w:tcPr>
            <w:tcW w:w="2743" w:type="dxa"/>
            <w:tcBorders>
              <w:top w:val="nil"/>
              <w:left w:val="nil"/>
              <w:bottom w:val="nil"/>
              <w:right w:val="nil"/>
            </w:tcBorders>
            <w:tcMar>
              <w:top w:w="0" w:type="dxa"/>
              <w:left w:w="62" w:type="dxa"/>
              <w:bottom w:w="0" w:type="dxa"/>
              <w:right w:w="62" w:type="dxa"/>
            </w:tcMar>
          </w:tcPr>
          <w:p w:rsidR="00000000" w:rsidP="00BF62B0">
            <w:pPr>
              <w:pStyle w:val="BodyText"/>
              <w:rPr>
                <w:lang w:val="en-NZ"/>
              </w:rPr>
            </w:pPr>
            <w:r w:rsidRPr="00BF62B0">
              <w:rPr>
                <w:rStyle w:val="SpecialBold"/>
              </w:rPr>
              <w:t>Application of the unit</w:t>
            </w:r>
          </w:p>
        </w:tc>
        <w:tc>
          <w:tcPr>
            <w:tcW w:w="5779" w:type="dxa"/>
            <w:tcBorders>
              <w:top w:val="nil"/>
              <w:left w:val="nil"/>
              <w:bottom w:val="nil"/>
              <w:right w:val="nil"/>
            </w:tcBorders>
            <w:tcMar>
              <w:top w:w="0" w:type="dxa"/>
              <w:left w:w="62" w:type="dxa"/>
              <w:bottom w:w="0" w:type="dxa"/>
              <w:right w:w="62" w:type="dxa"/>
            </w:tcMar>
          </w:tcPr>
          <w:p w:rsidR="00000000" w:rsidRPr="00BF62B0" w:rsidP="00BF62B0">
            <w:pPr>
              <w:pStyle w:val="BodyText"/>
            </w:pPr>
            <w:r w:rsidRPr="00BF62B0">
              <w:t>The unit involves reviewing an enterprise carbon inventory, developing a carbon report and reviewing carbon reporting procedures in a variety of work settings including:</w:t>
            </w:r>
          </w:p>
          <w:p w:rsidR="00000000" w:rsidRPr="00BF62B0" w:rsidP="00BF62B0">
            <w:pPr>
              <w:pStyle w:val="ListBullet"/>
            </w:pPr>
            <w:r w:rsidRPr="00BF62B0">
              <w:t>forest environment</w:t>
            </w:r>
          </w:p>
          <w:p w:rsidR="00000000" w:rsidRPr="00BF62B0" w:rsidP="00BF62B0">
            <w:pPr>
              <w:pStyle w:val="ListBullet"/>
            </w:pPr>
            <w:r w:rsidRPr="00BF62B0">
              <w:t>saw mill</w:t>
            </w:r>
          </w:p>
          <w:p w:rsidR="00000000" w:rsidRPr="00BF62B0" w:rsidP="00BF62B0">
            <w:pPr>
              <w:pStyle w:val="ListBullet"/>
            </w:pPr>
            <w:r w:rsidRPr="00BF62B0">
              <w:t>wood chip mill</w:t>
            </w:r>
          </w:p>
          <w:p w:rsidR="00000000" w:rsidRPr="00BF62B0" w:rsidP="00BF62B0">
            <w:pPr>
              <w:pStyle w:val="ListBullet"/>
            </w:pPr>
            <w:r w:rsidRPr="00BF62B0">
              <w:t>veneer mill</w:t>
            </w:r>
          </w:p>
          <w:p w:rsidR="00000000" w:rsidRPr="00BF62B0" w:rsidP="00BF62B0">
            <w:pPr>
              <w:pStyle w:val="ListBullet"/>
            </w:pPr>
            <w:r w:rsidRPr="00BF62B0">
              <w:t>board/plywood mill</w:t>
            </w:r>
          </w:p>
          <w:p w:rsidR="00000000" w:rsidRPr="00BF62B0" w:rsidP="00BF62B0">
            <w:pPr>
              <w:pStyle w:val="ListBullet"/>
            </w:pPr>
            <w:r w:rsidRPr="00BF62B0">
              <w:t>timber treatment plants</w:t>
            </w:r>
          </w:p>
          <w:p w:rsidR="00000000" w:rsidRPr="00BF62B0" w:rsidP="00BF62B0">
            <w:pPr>
              <w:pStyle w:val="ListBullet"/>
            </w:pPr>
            <w:r w:rsidRPr="00BF62B0">
              <w:t>downstream processing of timber</w:t>
            </w:r>
          </w:p>
          <w:p w:rsidR="00000000" w:rsidRPr="00BF62B0" w:rsidP="00BF62B0">
            <w:pPr>
              <w:pStyle w:val="ListBullet"/>
            </w:pPr>
            <w:r w:rsidRPr="00BF62B0">
              <w:t>forest products factory</w:t>
            </w:r>
          </w:p>
          <w:p w:rsidR="00000000" w:rsidRPr="00BF62B0" w:rsidP="00BF62B0">
            <w:pPr>
              <w:pStyle w:val="ListBullet"/>
            </w:pPr>
            <w:r w:rsidRPr="00BF62B0">
              <w:t>forest products sales and service</w:t>
            </w:r>
          </w:p>
          <w:p w:rsidR="00000000" w:rsidRPr="00BF62B0" w:rsidP="00BF62B0">
            <w:pPr>
              <w:pStyle w:val="ListBullet"/>
            </w:pPr>
            <w:r w:rsidRPr="00BF62B0">
              <w:t xml:space="preserve">horticultural, local council, emergency services environment </w:t>
            </w:r>
          </w:p>
          <w:p w:rsidR="00000000" w:rsidRPr="00BF62B0" w:rsidP="00BF62B0">
            <w:pPr>
              <w:pStyle w:val="BodyText"/>
            </w:pPr>
            <w:r w:rsidRPr="00BF62B0">
              <w:t>The skills and knowledge required for competent workplace performance are to be used within the scope of the person's job and authority</w:t>
            </w:r>
          </w:p>
        </w:tc>
      </w:tr>
    </w:tbl>
    <w:p w:rsidR="005C2AF1" w:rsidP="00BF62B0">
      <w:pPr>
        <w:pStyle w:val="BodyText"/>
      </w:pPr>
    </w:p>
    <w:p w:rsidR="005C2AF1" w:rsidP="00BF62B0">
      <w:pPr>
        <w:pStyle w:val="BodyText"/>
      </w:pPr>
    </w:p>
    <w:p w:rsidR="00000000" w:rsidRPr="00BF62B0" w:rsidP="00BF62B0">
      <w:pPr>
        <w:pStyle w:val="Heading1"/>
      </w:pPr>
      <w:bookmarkStart w:id="4" w:name="O_278868"/>
      <w:bookmarkEnd w:id="4"/>
      <w:r w:rsidRPr="00BF62B0">
        <w:t>Licensing/Regulatory Information</w:t>
      </w:r>
    </w:p>
    <w:p w:rsidR="00000000" w:rsidRPr="00BF62B0" w:rsidP="00BF62B0">
      <w:pPr>
        <w:pStyle w:val="BodyText"/>
      </w:pPr>
      <w:r w:rsidRPr="00BF62B0">
        <w:t>Refer to Unit Descriptor</w:t>
      </w:r>
    </w:p>
    <w:p w:rsidR="00000000" w:rsidRPr="00BF62B0" w:rsidP="00BF62B0">
      <w:pPr>
        <w:pStyle w:val="AllowPageBreak"/>
      </w:pPr>
    </w:p>
    <w:p w:rsidR="00000000" w:rsidRPr="00BF62B0" w:rsidP="00BF62B0">
      <w:pPr>
        <w:pStyle w:val="Heading1"/>
      </w:pPr>
      <w:bookmarkStart w:id="5" w:name="O_283781"/>
      <w:bookmarkEnd w:id="5"/>
      <w:r w:rsidRPr="00BF62B0">
        <w:t>Pre-Requisites</w:t>
      </w:r>
    </w:p>
    <w:p w:rsidR="00000000" w:rsidRPr="00BF62B0" w:rsidP="00BF62B0">
      <w:pPr>
        <w:pStyle w:val="BodyText"/>
      </w:pPr>
      <w:r w:rsidRPr="00BF62B0">
        <w:t>Not Applicable</w:t>
      </w:r>
    </w:p>
    <w:p w:rsidR="00000000" w:rsidRPr="00BF62B0" w:rsidP="00BF62B0">
      <w:pPr>
        <w:pStyle w:val="AllowPageBreak"/>
      </w:pPr>
    </w:p>
    <w:p w:rsidR="00000000" w:rsidRPr="00BF62B0" w:rsidP="00BF62B0">
      <w:pPr>
        <w:pStyle w:val="Heading1"/>
      </w:pPr>
      <w:bookmarkStart w:id="6" w:name="O_203544"/>
      <w:bookmarkEnd w:id="6"/>
      <w:r w:rsidRPr="00BF62B0">
        <w:t>Employability Skills Information</w:t>
      </w:r>
    </w:p>
    <w:tbl>
      <w:tblPr>
        <w:tblW w:w="0" w:type="auto"/>
        <w:tblLayout w:type="fixed"/>
        <w:tblCellMar>
          <w:left w:w="62" w:type="dxa"/>
          <w:right w:w="62" w:type="dxa"/>
        </w:tblCellMar>
        <w:tblLook w:val="0000"/>
      </w:tblPr>
      <w:tblGrid>
        <w:gridCol w:w="2802"/>
        <w:gridCol w:w="5720"/>
      </w:tblGrid>
      <w:tr w:rsidTr="005C2AF1">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BF62B0">
            <w:pPr>
              <w:pStyle w:val="BodyText"/>
              <w:rPr>
                <w:lang w:val="en-NZ"/>
              </w:rPr>
            </w:pPr>
            <w:r w:rsidRPr="00BF62B0">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BF62B0" w:rsidP="00BF62B0">
            <w:pPr>
              <w:pStyle w:val="BodyText"/>
            </w:pPr>
            <w:r w:rsidRPr="00BF62B0">
              <w:t>This unit contains employability skills</w:t>
            </w:r>
          </w:p>
        </w:tc>
      </w:tr>
    </w:tbl>
    <w:p w:rsidR="005C2AF1" w:rsidP="00BF62B0">
      <w:pPr>
        <w:pStyle w:val="BodyText"/>
      </w:pPr>
    </w:p>
    <w:p w:rsidR="005C2AF1" w:rsidP="00BF62B0">
      <w:pPr>
        <w:pStyle w:val="BodyText"/>
      </w:pPr>
    </w:p>
    <w:p w:rsidR="00000000" w:rsidRPr="00BF62B0" w:rsidP="00BF62B0">
      <w:pPr>
        <w:pStyle w:val="Heading1"/>
      </w:pPr>
      <w:bookmarkStart w:id="7" w:name="O_288654"/>
      <w:bookmarkEnd w:id="7"/>
      <w:r w:rsidRPr="00BF62B0">
        <w:t>Elements and Performance Criteria Pre-Content</w:t>
      </w:r>
    </w:p>
    <w:tbl>
      <w:tblPr>
        <w:tblW w:w="0" w:type="auto"/>
        <w:tblLayout w:type="fixed"/>
        <w:tblCellMar>
          <w:left w:w="62" w:type="dxa"/>
          <w:right w:w="62" w:type="dxa"/>
        </w:tblCellMar>
        <w:tblLook w:val="0000"/>
      </w:tblPr>
      <w:tblGrid>
        <w:gridCol w:w="2579"/>
        <w:gridCol w:w="5943"/>
      </w:tblGrid>
      <w:tr w:rsidTr="005C2AF1">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BF62B0">
            <w:pPr>
              <w:pStyle w:val="BodyText"/>
              <w:rPr>
                <w:lang w:val="en-NZ"/>
              </w:rPr>
            </w:pPr>
            <w:r w:rsidRPr="00BF62B0">
              <w:t>Elements describe the essential outcomes of a unit of competency.</w:t>
            </w:r>
          </w:p>
        </w:tc>
        <w:tc>
          <w:tcPr>
            <w:tcW w:w="5943" w:type="dxa"/>
            <w:tcBorders>
              <w:top w:val="nil"/>
              <w:left w:val="nil"/>
              <w:bottom w:val="nil"/>
              <w:right w:val="nil"/>
            </w:tcBorders>
            <w:tcMar>
              <w:top w:w="0" w:type="dxa"/>
              <w:left w:w="62" w:type="dxa"/>
              <w:bottom w:w="0" w:type="dxa"/>
              <w:right w:w="62" w:type="dxa"/>
            </w:tcMar>
          </w:tcPr>
          <w:p w:rsidR="00000000" w:rsidRPr="00BF62B0" w:rsidP="00BF62B0">
            <w:pPr>
              <w:pStyle w:val="BodyText"/>
            </w:pPr>
            <w:r w:rsidRPr="00BF62B0">
              <w:t>Performance criteria describe the performance needed to demonstrate achievement of the element. Where bold italicised text is used, further information is detailed in the required skills and</w:t>
            </w:r>
            <w:r w:rsidRPr="00BF62B0">
              <w:t xml:space="preserve"> knowledge section and the range statement. Assessment of performance is to be consistent with the evidence guide.</w:t>
            </w:r>
          </w:p>
        </w:tc>
      </w:tr>
    </w:tbl>
    <w:p w:rsidR="00000000" w:rsidRPr="00BF62B0" w:rsidP="00BF62B0">
      <w:pPr>
        <w:pStyle w:val="BodyText"/>
      </w:pPr>
    </w:p>
    <w:p w:rsidR="00000000" w:rsidRPr="00BF62B0" w:rsidP="00BF62B0">
      <w:pPr>
        <w:pStyle w:val="AllowPageBreak"/>
      </w:pPr>
    </w:p>
    <w:p w:rsidR="00000000" w:rsidRPr="00BF62B0" w:rsidP="00BF62B0">
      <w:pPr>
        <w:pStyle w:val="Heading1"/>
      </w:pPr>
      <w:bookmarkStart w:id="8" w:name="O_235321"/>
      <w:bookmarkEnd w:id="8"/>
      <w:r w:rsidRPr="00BF62B0">
        <w:t>Elements and Performance Criteria</w:t>
      </w:r>
    </w:p>
    <w:tbl>
      <w:tblPr>
        <w:tblW w:w="0" w:type="auto"/>
        <w:tblLayout w:type="fixed"/>
        <w:tblCellMar>
          <w:left w:w="62" w:type="dxa"/>
          <w:right w:w="62" w:type="dxa"/>
        </w:tblCellMar>
        <w:tblLook w:val="0000"/>
      </w:tblPr>
      <w:tblGrid>
        <w:gridCol w:w="2579"/>
        <w:gridCol w:w="5943"/>
      </w:tblGrid>
      <w:tr w:rsidTr="005C2AF1">
        <w:tblPrEx>
          <w:tblW w:w="0" w:type="auto"/>
          <w:tblLayout w:type="fixed"/>
          <w:tblCellMar>
            <w:left w:w="62" w:type="dxa"/>
            <w:right w:w="62" w:type="dxa"/>
          </w:tblCellMar>
          <w:tblLook w:val="0000"/>
        </w:tblPrEx>
        <w:trPr>
          <w:tblHeader/>
        </w:trPr>
        <w:tc>
          <w:tcPr>
            <w:tcW w:w="2579" w:type="dxa"/>
            <w:tcBorders>
              <w:top w:val="nil"/>
              <w:left w:val="nil"/>
              <w:bottom w:val="nil"/>
              <w:right w:val="nil"/>
            </w:tcBorders>
            <w:tcMar>
              <w:top w:w="0" w:type="dxa"/>
              <w:left w:w="62" w:type="dxa"/>
              <w:bottom w:w="0" w:type="dxa"/>
              <w:right w:w="62" w:type="dxa"/>
            </w:tcMar>
          </w:tcPr>
          <w:p w:rsidR="00000000" w:rsidRPr="00BF62B0" w:rsidP="00BF62B0">
            <w:pPr>
              <w:pStyle w:val="BodyText"/>
            </w:pPr>
            <w:r w:rsidRPr="00BF62B0">
              <w:rPr>
                <w:rStyle w:val="SpecialBold"/>
              </w:rPr>
              <w:t>ELEMENT</w:t>
            </w:r>
          </w:p>
        </w:tc>
        <w:tc>
          <w:tcPr>
            <w:tcW w:w="5943" w:type="dxa"/>
            <w:tcBorders>
              <w:top w:val="nil"/>
              <w:left w:val="nil"/>
              <w:bottom w:val="nil"/>
              <w:right w:val="nil"/>
            </w:tcBorders>
            <w:tcMar>
              <w:top w:w="0" w:type="dxa"/>
              <w:left w:w="62" w:type="dxa"/>
              <w:bottom w:w="0" w:type="dxa"/>
              <w:right w:w="62" w:type="dxa"/>
            </w:tcMar>
          </w:tcPr>
          <w:p w:rsidR="00000000" w:rsidP="00BF62B0">
            <w:pPr>
              <w:pStyle w:val="BodyText"/>
              <w:rPr>
                <w:lang w:val="en-NZ"/>
              </w:rPr>
            </w:pPr>
            <w:r w:rsidRPr="00BF62B0">
              <w:rPr>
                <w:rStyle w:val="SpecialBold"/>
              </w:rPr>
              <w:t>PERFORMANCE CRITERIA</w:t>
            </w:r>
          </w:p>
        </w:tc>
      </w:tr>
      <w:tr w:rsidTr="005C2AF1">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BF62B0">
            <w:pPr>
              <w:pStyle w:val="List"/>
              <w:rPr>
                <w:lang w:val="en-NZ"/>
              </w:rPr>
            </w:pPr>
            <w:r w:rsidRPr="00BF62B0">
              <w:t>1.</w:t>
            </w:r>
            <w:r w:rsidRPr="00BF62B0">
              <w:tab/>
              <w:t xml:space="preserve">Prepare to write report </w:t>
            </w:r>
          </w:p>
        </w:tc>
        <w:tc>
          <w:tcPr>
            <w:tcW w:w="5943" w:type="dxa"/>
            <w:tcBorders>
              <w:top w:val="nil"/>
              <w:left w:val="nil"/>
              <w:bottom w:val="nil"/>
              <w:right w:val="nil"/>
            </w:tcBorders>
            <w:tcMar>
              <w:top w:w="0" w:type="dxa"/>
              <w:left w:w="62" w:type="dxa"/>
              <w:bottom w:w="0" w:type="dxa"/>
              <w:right w:w="62" w:type="dxa"/>
            </w:tcMar>
          </w:tcPr>
          <w:p w:rsidR="00000000" w:rsidRPr="00BF62B0" w:rsidP="00BF62B0">
            <w:pPr>
              <w:pStyle w:val="List2"/>
            </w:pPr>
            <w:r w:rsidRPr="00BF62B0">
              <w:t>1.1.</w:t>
            </w:r>
            <w:r w:rsidRPr="00BF62B0">
              <w:tab/>
              <w:t xml:space="preserve">Applicable </w:t>
            </w:r>
            <w:r w:rsidRPr="00BF62B0">
              <w:rPr>
                <w:rStyle w:val="BoldandItalics"/>
              </w:rPr>
              <w:t>Occupational Health and Safety</w:t>
            </w:r>
            <w:r w:rsidRPr="00BF62B0">
              <w:t xml:space="preserve"> (OHS), </w:t>
            </w:r>
            <w:r w:rsidRPr="00BF62B0">
              <w:rPr>
                <w:rStyle w:val="BoldandItalics"/>
              </w:rPr>
              <w:t>environmental</w:t>
            </w:r>
            <w:r w:rsidRPr="00BF62B0">
              <w:t xml:space="preserve">, </w:t>
            </w:r>
            <w:r w:rsidRPr="00BF62B0">
              <w:rPr>
                <w:rStyle w:val="BoldandItalics"/>
              </w:rPr>
              <w:t>legislative</w:t>
            </w:r>
            <w:r w:rsidRPr="00BF62B0">
              <w:t xml:space="preserve"> and </w:t>
            </w:r>
            <w:r w:rsidRPr="00BF62B0">
              <w:rPr>
                <w:rStyle w:val="BoldandItalics"/>
              </w:rPr>
              <w:t>organisational requirements</w:t>
            </w:r>
            <w:r w:rsidRPr="00BF62B0">
              <w:t xml:space="preserve"> relevant to developing a carbon management report are identified and followed</w:t>
            </w:r>
          </w:p>
          <w:p w:rsidR="00000000" w:rsidRPr="00BF62B0" w:rsidP="00BF62B0">
            <w:pPr>
              <w:pStyle w:val="List2"/>
            </w:pPr>
            <w:r w:rsidRPr="00BF62B0">
              <w:t>1.2.</w:t>
            </w:r>
            <w:r w:rsidRPr="00BF62B0">
              <w:tab/>
              <w:t>Carbon reporting procedures as outlined in the Greenhouse Gas (GHG) Protocol</w:t>
            </w:r>
            <w:r w:rsidRPr="00BF62B0">
              <w:t xml:space="preserve"> Corporate Standard are reviewed</w:t>
            </w:r>
          </w:p>
          <w:p w:rsidR="00000000" w:rsidRPr="00BF62B0" w:rsidP="00BF62B0">
            <w:pPr>
              <w:pStyle w:val="List2"/>
            </w:pPr>
            <w:r w:rsidRPr="00BF62B0">
              <w:t>1.3.</w:t>
            </w:r>
            <w:r w:rsidRPr="00BF62B0">
              <w:tab/>
              <w:t>Scope of carbon reporting and relevant audience are determined</w:t>
            </w:r>
          </w:p>
          <w:p w:rsidR="00000000" w:rsidRPr="00BF62B0" w:rsidP="00BF62B0">
            <w:pPr>
              <w:pStyle w:val="List2"/>
            </w:pPr>
            <w:r w:rsidRPr="00BF62B0">
              <w:t>1.4.</w:t>
            </w:r>
            <w:r w:rsidRPr="00BF62B0">
              <w:tab/>
              <w:t xml:space="preserve">Structure and specific objectives for each heading in the report are established in line with the carbon reporting procedures and </w:t>
            </w:r>
            <w:r w:rsidRPr="00BF62B0">
              <w:rPr>
                <w:rStyle w:val="BoldandItalics"/>
              </w:rPr>
              <w:t>regulatory bodies</w:t>
            </w:r>
            <w:r w:rsidRPr="00BF62B0">
              <w:t xml:space="preserve"> re</w:t>
            </w:r>
            <w:r w:rsidRPr="00BF62B0">
              <w:t>quirements</w:t>
            </w:r>
          </w:p>
          <w:p w:rsidR="00000000" w:rsidRPr="00BF62B0" w:rsidP="00BF62B0">
            <w:pPr>
              <w:pStyle w:val="List2"/>
            </w:pPr>
            <w:r w:rsidRPr="00BF62B0">
              <w:t>1.5.</w:t>
            </w:r>
            <w:r w:rsidRPr="00BF62B0">
              <w:tab/>
              <w:t>Report format and style are developed in line with industry standards and organisational requirements</w:t>
            </w:r>
          </w:p>
          <w:p w:rsidR="00000000" w:rsidRPr="00BF62B0" w:rsidP="00BF62B0">
            <w:pPr>
              <w:pStyle w:val="List2"/>
            </w:pPr>
            <w:r w:rsidRPr="00BF62B0">
              <w:t>1.6.</w:t>
            </w:r>
            <w:r w:rsidRPr="00BF62B0">
              <w:tab/>
              <w:t>Carbon inventory data is reviewed and assessed for completeness, relevance and accuracy</w:t>
            </w:r>
          </w:p>
          <w:p w:rsidR="00000000" w:rsidP="00BF62B0">
            <w:pPr>
              <w:pStyle w:val="List2"/>
              <w:rPr>
                <w:lang w:val="en-NZ"/>
              </w:rPr>
            </w:pPr>
            <w:r w:rsidRPr="00BF62B0">
              <w:t>1.7.</w:t>
            </w:r>
            <w:r w:rsidRPr="00BF62B0">
              <w:tab/>
              <w:t>Information management system is establi</w:t>
            </w:r>
            <w:r w:rsidRPr="00BF62B0">
              <w:t xml:space="preserve">shed and maintained to manage </w:t>
            </w:r>
            <w:r w:rsidRPr="00BF62B0">
              <w:rPr>
                <w:rStyle w:val="SpecialBold"/>
              </w:rPr>
              <w:t>information and data</w:t>
            </w:r>
            <w:r w:rsidRPr="00BF62B0">
              <w:t xml:space="preserve"> effectively and efficiently over the reporting period</w:t>
            </w:r>
          </w:p>
        </w:tc>
      </w:tr>
      <w:tr w:rsidTr="005C2AF1">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BF62B0">
            <w:pPr>
              <w:pStyle w:val="List"/>
              <w:rPr>
                <w:lang w:val="en-NZ"/>
              </w:rPr>
            </w:pPr>
            <w:r w:rsidRPr="00BF62B0">
              <w:t>2.</w:t>
            </w:r>
            <w:r w:rsidRPr="00BF62B0">
              <w:tab/>
              <w:t>Compile draft report</w:t>
            </w:r>
          </w:p>
        </w:tc>
        <w:tc>
          <w:tcPr>
            <w:tcW w:w="5943" w:type="dxa"/>
            <w:tcBorders>
              <w:top w:val="nil"/>
              <w:left w:val="nil"/>
              <w:bottom w:val="nil"/>
              <w:right w:val="nil"/>
            </w:tcBorders>
            <w:tcMar>
              <w:top w:w="0" w:type="dxa"/>
              <w:left w:w="62" w:type="dxa"/>
              <w:bottom w:w="0" w:type="dxa"/>
              <w:right w:w="62" w:type="dxa"/>
            </w:tcMar>
          </w:tcPr>
          <w:p w:rsidR="00000000" w:rsidRPr="00BF62B0" w:rsidP="00BF62B0">
            <w:pPr>
              <w:pStyle w:val="List2"/>
            </w:pPr>
            <w:r w:rsidRPr="00BF62B0">
              <w:t>2.1.</w:t>
            </w:r>
            <w:r w:rsidRPr="00BF62B0">
              <w:tab/>
              <w:t>Report content is developed in line with the structure and objectives</w:t>
            </w:r>
          </w:p>
          <w:p w:rsidR="00000000" w:rsidRPr="00BF62B0" w:rsidP="00BF62B0">
            <w:pPr>
              <w:pStyle w:val="List2"/>
            </w:pPr>
            <w:r w:rsidRPr="00BF62B0">
              <w:t>2.2.</w:t>
            </w:r>
            <w:r w:rsidRPr="00BF62B0">
              <w:tab/>
              <w:t xml:space="preserve">Evidence is gathered to generate </w:t>
            </w:r>
            <w:r w:rsidRPr="00BF62B0">
              <w:rPr>
                <w:rStyle w:val="BoldandItalics"/>
              </w:rPr>
              <w:t>specific findings and recommendations</w:t>
            </w:r>
            <w:r w:rsidRPr="00BF62B0">
              <w:t xml:space="preserve"> that are relevant to carbon management principles</w:t>
            </w:r>
          </w:p>
          <w:p w:rsidR="00000000" w:rsidP="00BF62B0">
            <w:pPr>
              <w:pStyle w:val="List2"/>
              <w:rPr>
                <w:lang w:val="en-NZ"/>
              </w:rPr>
            </w:pPr>
            <w:r w:rsidRPr="00BF62B0">
              <w:t>2.3.</w:t>
            </w:r>
            <w:r w:rsidRPr="00BF62B0">
              <w:tab/>
              <w:t>Report is written using appropriate language and contains information required to meet report objectives</w:t>
            </w:r>
          </w:p>
        </w:tc>
      </w:tr>
      <w:tr w:rsidTr="005C2AF1">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BF62B0">
            <w:pPr>
              <w:pStyle w:val="List"/>
              <w:rPr>
                <w:lang w:val="en-NZ"/>
              </w:rPr>
            </w:pPr>
            <w:r w:rsidRPr="00BF62B0">
              <w:t>3.</w:t>
            </w:r>
            <w:r w:rsidRPr="00BF62B0">
              <w:tab/>
              <w:t>Complete report</w:t>
            </w:r>
          </w:p>
        </w:tc>
        <w:tc>
          <w:tcPr>
            <w:tcW w:w="5943" w:type="dxa"/>
            <w:tcBorders>
              <w:top w:val="nil"/>
              <w:left w:val="nil"/>
              <w:bottom w:val="nil"/>
              <w:right w:val="nil"/>
            </w:tcBorders>
            <w:tcMar>
              <w:top w:w="0" w:type="dxa"/>
              <w:left w:w="62" w:type="dxa"/>
              <w:bottom w:w="0" w:type="dxa"/>
              <w:right w:w="62" w:type="dxa"/>
            </w:tcMar>
          </w:tcPr>
          <w:p w:rsidR="00000000" w:rsidRPr="00BF62B0" w:rsidP="00BF62B0">
            <w:pPr>
              <w:pStyle w:val="List2"/>
            </w:pPr>
            <w:r w:rsidRPr="00BF62B0">
              <w:t>3.1.</w:t>
            </w:r>
            <w:r w:rsidRPr="00BF62B0">
              <w:tab/>
              <w:t>Draft report is presented to rele</w:t>
            </w:r>
            <w:r w:rsidRPr="00BF62B0">
              <w:t>vant personnel for review</w:t>
            </w:r>
          </w:p>
          <w:p w:rsidR="00000000" w:rsidRPr="00BF62B0" w:rsidP="00BF62B0">
            <w:pPr>
              <w:pStyle w:val="List2"/>
            </w:pPr>
            <w:r w:rsidRPr="00BF62B0">
              <w:t>3.2.</w:t>
            </w:r>
            <w:r w:rsidRPr="00BF62B0">
              <w:tab/>
              <w:t>Report is amended based on feedback</w:t>
            </w:r>
          </w:p>
          <w:p w:rsidR="00000000" w:rsidRPr="00BF62B0" w:rsidP="00BF62B0">
            <w:pPr>
              <w:pStyle w:val="List2"/>
            </w:pPr>
            <w:r w:rsidRPr="00BF62B0">
              <w:t>3.3.</w:t>
            </w:r>
            <w:r w:rsidRPr="00BF62B0">
              <w:tab/>
              <w:t>Final draft is presented to relevant personnel for executive sign-off and distribution</w:t>
            </w:r>
          </w:p>
          <w:p w:rsidR="00000000" w:rsidRPr="00BF62B0" w:rsidP="00BF62B0">
            <w:pPr>
              <w:pStyle w:val="List2"/>
            </w:pPr>
            <w:r w:rsidRPr="00BF62B0">
              <w:t>3.4.</w:t>
            </w:r>
            <w:r w:rsidRPr="00BF62B0">
              <w:tab/>
              <w:t xml:space="preserve">Documents are named and stored in line with organisational requirements and the application </w:t>
            </w:r>
            <w:r w:rsidRPr="00BF62B0">
              <w:t>exited without information loss/damage</w:t>
            </w:r>
          </w:p>
        </w:tc>
      </w:tr>
    </w:tbl>
    <w:p w:rsidR="005C2AF1" w:rsidP="00BF62B0">
      <w:pPr>
        <w:pStyle w:val="BodyText"/>
      </w:pPr>
    </w:p>
    <w:p w:rsidR="005C2AF1" w:rsidP="00BF62B0">
      <w:pPr>
        <w:pStyle w:val="BodyText"/>
      </w:pPr>
    </w:p>
    <w:p w:rsidR="00000000" w:rsidRPr="00BF62B0" w:rsidP="00BF62B0">
      <w:pPr>
        <w:pStyle w:val="Heading1"/>
      </w:pPr>
      <w:bookmarkStart w:id="9" w:name="O_259271"/>
      <w:bookmarkEnd w:id="9"/>
      <w:r w:rsidRPr="00BF62B0">
        <w:t>Required Skills and Knowledge</w:t>
      </w:r>
    </w:p>
    <w:tbl>
      <w:tblPr>
        <w:tblW w:w="0" w:type="auto"/>
        <w:tblLayout w:type="fixed"/>
        <w:tblCellMar>
          <w:left w:w="62" w:type="dxa"/>
          <w:right w:w="62" w:type="dxa"/>
        </w:tblCellMar>
        <w:tblLook w:val="0000"/>
      </w:tblPr>
      <w:tblGrid>
        <w:gridCol w:w="8522"/>
      </w:tblGrid>
      <w:tr w:rsidTr="005C2AF1">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BF62B0">
            <w:pPr>
              <w:pStyle w:val="BodyText"/>
              <w:rPr>
                <w:lang w:val="en-NZ"/>
              </w:rPr>
            </w:pPr>
            <w:r w:rsidRPr="00BF62B0">
              <w:rPr>
                <w:rStyle w:val="SpecialBold"/>
              </w:rPr>
              <w:t>REQUIRED SKILLS AND KNOWLEDGE</w:t>
            </w:r>
          </w:p>
        </w:tc>
      </w:tr>
      <w:tr w:rsidTr="005C2AF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F62B0">
            <w:pPr>
              <w:pStyle w:val="BodyText"/>
              <w:rPr>
                <w:lang w:val="en-NZ"/>
              </w:rPr>
            </w:pPr>
            <w:r w:rsidRPr="00BF62B0">
              <w:t>This describes the essential skills and knowledge and their level required for this unit.</w:t>
            </w:r>
          </w:p>
        </w:tc>
      </w:tr>
      <w:tr w:rsidTr="005C2AF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F62B0">
            <w:pPr>
              <w:pStyle w:val="BodyText"/>
              <w:rPr>
                <w:lang w:val="en-NZ"/>
              </w:rPr>
            </w:pPr>
            <w:r w:rsidRPr="00BF62B0">
              <w:rPr>
                <w:rStyle w:val="SpecialBold"/>
              </w:rPr>
              <w:t>Required skills</w:t>
            </w:r>
          </w:p>
        </w:tc>
      </w:tr>
      <w:tr w:rsidTr="005C2AF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F62B0" w:rsidP="00BF62B0">
            <w:pPr>
              <w:pStyle w:val="ListBullet"/>
            </w:pPr>
            <w:r w:rsidRPr="00BF62B0">
              <w:t>Research, technical, planning and organisational skills sufficient to prepare, compile and review a carbon management report</w:t>
            </w:r>
          </w:p>
          <w:p w:rsidR="00000000" w:rsidRPr="00BF62B0" w:rsidP="00BF62B0">
            <w:pPr>
              <w:pStyle w:val="ListBullet"/>
            </w:pPr>
            <w:r w:rsidRPr="00BF62B0">
              <w:t>Technical skills sufficient to review an enterprise carbon inventory; develop a carbon report; establish and review carbon reportin</w:t>
            </w:r>
            <w:r w:rsidRPr="00BF62B0">
              <w:t>g procedures as outlined in the GHG Protocol Corporate Standard</w:t>
            </w:r>
          </w:p>
          <w:p w:rsidR="00000000" w:rsidRPr="00BF62B0" w:rsidP="00BF62B0">
            <w:pPr>
              <w:pStyle w:val="ListBullet"/>
            </w:pPr>
            <w:r w:rsidRPr="00BF62B0">
              <w:t xml:space="preserve">Communication skills sufficient to use appropriate communication and interpersonal techniques with stakeholders, colleagues and others </w:t>
            </w:r>
          </w:p>
          <w:p w:rsidR="00000000" w:rsidRPr="00BF62B0" w:rsidP="00BF62B0">
            <w:pPr>
              <w:pStyle w:val="ListBullet"/>
            </w:pPr>
            <w:r w:rsidRPr="00BF62B0">
              <w:t xml:space="preserve">Literacy skills sufficient to write a carbon management </w:t>
            </w:r>
            <w:r w:rsidRPr="00BF62B0">
              <w:t>report for an organisation in a suitable format</w:t>
            </w:r>
          </w:p>
          <w:p w:rsidR="00000000" w:rsidRPr="00BF62B0" w:rsidP="00BF62B0">
            <w:pPr>
              <w:pStyle w:val="ListBullet"/>
            </w:pPr>
            <w:r w:rsidRPr="00BF62B0">
              <w:t xml:space="preserve">Numeracy and analytical skills sufficient to collect and analyse data; estimate and measure, including calculate time to complete tasks </w:t>
            </w:r>
          </w:p>
          <w:p w:rsidR="00000000" w:rsidP="00BF62B0">
            <w:pPr>
              <w:pStyle w:val="ListBullet"/>
              <w:rPr>
                <w:lang w:val="en-NZ"/>
              </w:rPr>
            </w:pPr>
            <w:r w:rsidRPr="00BF62B0">
              <w:t>Problem solving skills sufficient to identify problems; implement appro</w:t>
            </w:r>
            <w:r w:rsidRPr="00BF62B0">
              <w:t>priate response procedures</w:t>
            </w:r>
          </w:p>
        </w:tc>
      </w:tr>
      <w:tr w:rsidTr="005C2AF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F62B0">
            <w:pPr>
              <w:pStyle w:val="BodyText"/>
              <w:rPr>
                <w:lang w:val="en-NZ"/>
              </w:rPr>
            </w:pPr>
            <w:r w:rsidRPr="00BF62B0">
              <w:rPr>
                <w:rStyle w:val="SpecialBold"/>
              </w:rPr>
              <w:t>Required knowledge</w:t>
            </w:r>
          </w:p>
        </w:tc>
      </w:tr>
      <w:tr w:rsidTr="005C2AF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F62B0" w:rsidP="00BF62B0">
            <w:pPr>
              <w:pStyle w:val="ListBullet"/>
            </w:pPr>
            <w:r w:rsidRPr="00BF62B0">
              <w:t>Applicable Commonwealth, State or Territory legislation, regulations, standards and codes of practice relevant to the full range of processes for carbon reporting</w:t>
            </w:r>
          </w:p>
          <w:p w:rsidR="00000000" w:rsidRPr="00BF62B0" w:rsidP="00BF62B0">
            <w:pPr>
              <w:pStyle w:val="ListBullet"/>
            </w:pPr>
            <w:r w:rsidRPr="00BF62B0">
              <w:t>Environmental protection requirements, inclu</w:t>
            </w:r>
            <w:r w:rsidRPr="00BF62B0">
              <w:t>ding the safe disposal of waste material</w:t>
            </w:r>
          </w:p>
          <w:p w:rsidR="00000000" w:rsidRPr="00BF62B0" w:rsidP="00BF62B0">
            <w:pPr>
              <w:pStyle w:val="ListBullet"/>
            </w:pPr>
            <w:r w:rsidRPr="00BF62B0">
              <w:t>Organisational and site standards, requirements, policies and procedures for carbon reporting</w:t>
            </w:r>
          </w:p>
          <w:p w:rsidR="00000000" w:rsidRPr="00BF62B0" w:rsidP="00BF62B0">
            <w:pPr>
              <w:pStyle w:val="ListBullet"/>
            </w:pPr>
            <w:r w:rsidRPr="00BF62B0">
              <w:t>Environmental risks and hazards</w:t>
            </w:r>
          </w:p>
          <w:p w:rsidR="00000000" w:rsidRPr="00BF62B0" w:rsidP="00BF62B0">
            <w:pPr>
              <w:pStyle w:val="ListBullet"/>
            </w:pPr>
            <w:r w:rsidRPr="00BF62B0">
              <w:t>Using energy effectively and efficiently</w:t>
            </w:r>
          </w:p>
          <w:p w:rsidR="00000000" w:rsidRPr="00BF62B0" w:rsidP="00BF62B0">
            <w:pPr>
              <w:pStyle w:val="ListBullet"/>
            </w:pPr>
            <w:r w:rsidRPr="00BF62B0">
              <w:t>Using material effectively and efficiently</w:t>
            </w:r>
          </w:p>
          <w:p w:rsidR="00000000" w:rsidRPr="00BF62B0" w:rsidP="00BF62B0">
            <w:pPr>
              <w:pStyle w:val="ListBullet"/>
            </w:pPr>
            <w:r w:rsidRPr="00BF62B0">
              <w:t>Carbon cycle</w:t>
            </w:r>
          </w:p>
          <w:p w:rsidR="00000000" w:rsidRPr="00BF62B0" w:rsidP="00BF62B0">
            <w:pPr>
              <w:pStyle w:val="ListBullet"/>
            </w:pPr>
            <w:r w:rsidRPr="00BF62B0">
              <w:t>Influences on the carbon cycle</w:t>
            </w:r>
          </w:p>
          <w:p w:rsidR="00000000" w:rsidRPr="00BF62B0" w:rsidP="00BF62B0">
            <w:pPr>
              <w:pStyle w:val="ListBullet"/>
            </w:pPr>
            <w:r w:rsidRPr="00BF62B0">
              <w:t>Anthropogenic influences</w:t>
            </w:r>
          </w:p>
          <w:p w:rsidR="00000000" w:rsidRPr="00BF62B0" w:rsidP="00BF62B0">
            <w:pPr>
              <w:pStyle w:val="ListBullet"/>
            </w:pPr>
            <w:r w:rsidRPr="00BF62B0">
              <w:t>Greenhouse gas effect</w:t>
            </w:r>
          </w:p>
          <w:p w:rsidR="00000000" w:rsidRPr="00BF62B0" w:rsidP="00BF62B0">
            <w:pPr>
              <w:pStyle w:val="ListBullet"/>
            </w:pPr>
            <w:r w:rsidRPr="00BF62B0">
              <w:t>Trends in carbon emissions</w:t>
            </w:r>
          </w:p>
          <w:p w:rsidR="00000000" w:rsidRPr="00BF62B0" w:rsidP="00BF62B0">
            <w:pPr>
              <w:pStyle w:val="ListBullet"/>
            </w:pPr>
            <w:r w:rsidRPr="00BF62B0">
              <w:t>Impacts of climate change</w:t>
            </w:r>
          </w:p>
          <w:p w:rsidR="00000000" w:rsidRPr="00BF62B0" w:rsidP="00BF62B0">
            <w:pPr>
              <w:pStyle w:val="ListBullet"/>
            </w:pPr>
            <w:r w:rsidRPr="00BF62B0">
              <w:t>Drivers behind carbon accounting</w:t>
            </w:r>
          </w:p>
          <w:p w:rsidR="00000000" w:rsidRPr="00BF62B0" w:rsidP="00BF62B0">
            <w:pPr>
              <w:pStyle w:val="ListBullet"/>
            </w:pPr>
            <w:r w:rsidRPr="00BF62B0">
              <w:t>Carbon accounting terminology</w:t>
            </w:r>
          </w:p>
          <w:p w:rsidR="00000000" w:rsidRPr="00BF62B0" w:rsidP="00BF62B0">
            <w:pPr>
              <w:pStyle w:val="ListBullet"/>
            </w:pPr>
            <w:r w:rsidRPr="00BF62B0">
              <w:t>Carbon accounting frameworks and methods</w:t>
            </w:r>
          </w:p>
          <w:p w:rsidR="00000000" w:rsidRPr="00BF62B0" w:rsidP="00BF62B0">
            <w:pPr>
              <w:pStyle w:val="ListBullet"/>
            </w:pPr>
            <w:r w:rsidRPr="00BF62B0">
              <w:t>Organisa</w:t>
            </w:r>
            <w:r w:rsidRPr="00BF62B0">
              <w:t>tional and operational boundaries</w:t>
            </w:r>
          </w:p>
          <w:p w:rsidR="00000000" w:rsidRPr="00BF62B0" w:rsidP="00BF62B0">
            <w:pPr>
              <w:pStyle w:val="ListBullet"/>
            </w:pPr>
            <w:r w:rsidRPr="00BF62B0">
              <w:t>Categorising carbon reductions, removals offsets</w:t>
            </w:r>
          </w:p>
          <w:p w:rsidR="00000000" w:rsidRPr="00BF62B0" w:rsidP="00BF62B0">
            <w:pPr>
              <w:pStyle w:val="ListBullet"/>
            </w:pPr>
            <w:r w:rsidRPr="00BF62B0">
              <w:t>Emissions sources in the enterprise</w:t>
            </w:r>
          </w:p>
          <w:p w:rsidR="00000000" w:rsidRPr="00BF62B0" w:rsidP="00BF62B0">
            <w:pPr>
              <w:pStyle w:val="ListBullet"/>
            </w:pPr>
            <w:r w:rsidRPr="00BF62B0">
              <w:t>Collecting data</w:t>
            </w:r>
          </w:p>
          <w:p w:rsidR="00000000" w:rsidRPr="00BF62B0" w:rsidP="00BF62B0">
            <w:pPr>
              <w:pStyle w:val="ListBullet"/>
            </w:pPr>
            <w:r w:rsidRPr="00BF62B0">
              <w:t>Selecting emissions factors</w:t>
            </w:r>
          </w:p>
          <w:p w:rsidR="00000000" w:rsidRPr="00BF62B0" w:rsidP="00BF62B0">
            <w:pPr>
              <w:pStyle w:val="ListBullet"/>
            </w:pPr>
            <w:r w:rsidRPr="00BF62B0">
              <w:t>Mandatory reporting of emissions</w:t>
            </w:r>
          </w:p>
          <w:p w:rsidR="00000000" w:rsidRPr="00BF62B0" w:rsidP="00BF62B0">
            <w:pPr>
              <w:pStyle w:val="ListBullet"/>
            </w:pPr>
            <w:r w:rsidRPr="00BF62B0">
              <w:t>Voluntary reporting of emissions</w:t>
            </w:r>
          </w:p>
          <w:p w:rsidR="00000000" w:rsidRPr="00BF62B0" w:rsidP="00BF62B0">
            <w:pPr>
              <w:pStyle w:val="ListBullet"/>
            </w:pPr>
            <w:r w:rsidRPr="00BF62B0">
              <w:t>Carbon management principle</w:t>
            </w:r>
            <w:r w:rsidRPr="00BF62B0">
              <w:t>s and practices</w:t>
            </w:r>
          </w:p>
          <w:p w:rsidR="00000000" w:rsidRPr="00BF62B0" w:rsidP="00BF62B0">
            <w:pPr>
              <w:pStyle w:val="ListBullet"/>
            </w:pPr>
            <w:r w:rsidRPr="00BF62B0">
              <w:t>Carbon reporting standards</w:t>
            </w:r>
          </w:p>
          <w:p w:rsidR="00000000" w:rsidRPr="00BF62B0" w:rsidP="00BF62B0">
            <w:pPr>
              <w:pStyle w:val="ListBullet"/>
            </w:pPr>
            <w:r w:rsidRPr="00BF62B0">
              <w:t>Best practice in carbon reporting</w:t>
            </w:r>
          </w:p>
          <w:p w:rsidR="00000000" w:rsidRPr="00BF62B0" w:rsidP="00BF62B0">
            <w:pPr>
              <w:pStyle w:val="ListBullet"/>
            </w:pPr>
            <w:r w:rsidRPr="00BF62B0">
              <w:t>Indicators</w:t>
            </w:r>
          </w:p>
          <w:p w:rsidR="00000000" w:rsidRPr="00BF62B0" w:rsidP="00BF62B0">
            <w:pPr>
              <w:pStyle w:val="ListBullet"/>
            </w:pPr>
            <w:r w:rsidRPr="00BF62B0">
              <w:t>Established communication channels and protocols</w:t>
            </w:r>
          </w:p>
          <w:p w:rsidR="00000000" w:rsidRPr="00BF62B0" w:rsidP="00BF62B0">
            <w:pPr>
              <w:pStyle w:val="ListBullet"/>
            </w:pPr>
            <w:r w:rsidRPr="00BF62B0">
              <w:t>Problem identification and resolution strategies, and common fault finding techniques</w:t>
            </w:r>
          </w:p>
          <w:p w:rsidR="00000000" w:rsidRPr="00BF62B0" w:rsidP="00BF62B0">
            <w:pPr>
              <w:pStyle w:val="ListBullet"/>
            </w:pPr>
            <w:r w:rsidRPr="00BF62B0">
              <w:t>Types of tools and equipment, and procedures for their use and maintenance</w:t>
            </w:r>
          </w:p>
          <w:p w:rsidR="00000000" w:rsidRPr="00BF62B0" w:rsidP="00BF62B0">
            <w:pPr>
              <w:pStyle w:val="ListBullet"/>
            </w:pPr>
            <w:r w:rsidRPr="00BF62B0">
              <w:t>Appropriate mathematical procedures for estimating and measuring, including calculating time to complete tasks</w:t>
            </w:r>
          </w:p>
          <w:p w:rsidR="00000000" w:rsidRPr="00BF62B0" w:rsidP="00BF62B0">
            <w:pPr>
              <w:pStyle w:val="ListBullet"/>
            </w:pPr>
            <w:r w:rsidRPr="00BF62B0">
              <w:t>Procedures for recording and reporting enterprise records and informat</w:t>
            </w:r>
            <w:r w:rsidRPr="00BF62B0">
              <w:t>ion</w:t>
            </w:r>
          </w:p>
        </w:tc>
      </w:tr>
    </w:tbl>
    <w:p w:rsidR="005C2AF1" w:rsidP="00BF62B0">
      <w:pPr>
        <w:pStyle w:val="BodyText"/>
      </w:pPr>
    </w:p>
    <w:p w:rsidR="005C2AF1" w:rsidP="00BF62B0">
      <w:pPr>
        <w:pStyle w:val="BodyText"/>
      </w:pPr>
    </w:p>
    <w:p w:rsidR="00000000" w:rsidRPr="00BF62B0" w:rsidP="00BF62B0">
      <w:pPr>
        <w:pStyle w:val="AllowPageBreak"/>
      </w:pPr>
    </w:p>
    <w:p w:rsidR="00000000" w:rsidRPr="00BF62B0" w:rsidP="00BF62B0">
      <w:pPr>
        <w:pStyle w:val="Heading1"/>
      </w:pPr>
      <w:bookmarkStart w:id="10" w:name="O_243305"/>
      <w:bookmarkEnd w:id="10"/>
      <w:r w:rsidRPr="00BF62B0">
        <w:t>Evidence Guide</w:t>
      </w:r>
    </w:p>
    <w:tbl>
      <w:tblPr>
        <w:tblW w:w="9570" w:type="dxa"/>
        <w:tblLayout w:type="fixed"/>
        <w:tblCellMar>
          <w:left w:w="62" w:type="dxa"/>
          <w:right w:w="62" w:type="dxa"/>
        </w:tblCellMar>
        <w:tblLook w:val="0000"/>
      </w:tblPr>
      <w:tblGrid>
        <w:gridCol w:w="3908"/>
        <w:gridCol w:w="5662"/>
      </w:tblGrid>
      <w:tr w:rsidTr="005C2AF1">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BF62B0">
            <w:pPr>
              <w:pStyle w:val="BodyText"/>
              <w:rPr>
                <w:lang w:val="en-NZ"/>
              </w:rPr>
            </w:pPr>
            <w:r w:rsidRPr="00BF62B0">
              <w:rPr>
                <w:rStyle w:val="SpecialBold"/>
              </w:rPr>
              <w:t>EVIDENCE GUIDE</w:t>
            </w:r>
          </w:p>
        </w:tc>
      </w:tr>
      <w:tr w:rsidTr="005C2AF1">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BF62B0">
            <w:pPr>
              <w:pStyle w:val="BodyText"/>
              <w:rPr>
                <w:lang w:val="en-NZ"/>
              </w:rPr>
            </w:pPr>
            <w:r w:rsidRPr="00BF62B0">
              <w:t xml:space="preserve">The evidence guide provides advice on assessment and must be read in conjunction with the performance criteria, required skills and knowledge, </w:t>
            </w:r>
            <w:r w:rsidRPr="00BF62B0">
              <w:t>range statement and the Assessment Guidelines for the Training Package.</w:t>
            </w:r>
          </w:p>
        </w:tc>
      </w:tr>
      <w:tr w:rsidTr="005C2AF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F62B0">
            <w:pPr>
              <w:pStyle w:val="BodyText"/>
              <w:rPr>
                <w:lang w:val="en-NZ"/>
              </w:rPr>
            </w:pPr>
            <w:r w:rsidRPr="00BF62B0">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BF62B0">
            <w:pPr>
              <w:pStyle w:val="BodyText"/>
              <w:rPr>
                <w:lang w:val="en-NZ"/>
              </w:rPr>
            </w:pPr>
            <w:r w:rsidRPr="00BF62B0">
              <w:t>A person who demonstrates competency in this unit must be able to provide evidence that they can develop a carbon management report for the enterprise</w:t>
            </w:r>
          </w:p>
        </w:tc>
      </w:tr>
      <w:tr w:rsidTr="005C2AF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F62B0">
            <w:pPr>
              <w:pStyle w:val="BodyText"/>
              <w:rPr>
                <w:lang w:val="en-NZ"/>
              </w:rPr>
            </w:pPr>
            <w:r w:rsidRPr="00BF62B0">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BF62B0" w:rsidP="00BF62B0">
            <w:pPr>
              <w:pStyle w:val="BodyText"/>
            </w:pPr>
            <w:r w:rsidRPr="00BF62B0">
              <w:t>The evidence required to demonstrate competency in this unit must be relevant to, and satisfy, all of the requirements of the elements of this unit and include dem</w:t>
            </w:r>
            <w:r w:rsidRPr="00BF62B0">
              <w:t xml:space="preserve">onstration of: </w:t>
            </w:r>
          </w:p>
          <w:p w:rsidR="00000000" w:rsidRPr="00BF62B0" w:rsidP="00BF62B0">
            <w:pPr>
              <w:pStyle w:val="ListBullet"/>
            </w:pPr>
            <w:r w:rsidRPr="00BF62B0">
              <w:t>following applicable Commonwealth, State or Territory legislative and regulatory requirements and codes of practice relevant to carbon reporting</w:t>
            </w:r>
          </w:p>
          <w:p w:rsidR="00000000" w:rsidRPr="00BF62B0" w:rsidP="00BF62B0">
            <w:pPr>
              <w:pStyle w:val="ListBullet"/>
            </w:pPr>
            <w:r w:rsidRPr="00BF62B0">
              <w:t>following organisational policies and procedures relevant to carbon reporting</w:t>
            </w:r>
          </w:p>
          <w:p w:rsidR="00000000" w:rsidRPr="00BF62B0" w:rsidP="00BF62B0">
            <w:pPr>
              <w:pStyle w:val="ListBullet"/>
            </w:pPr>
            <w:r w:rsidRPr="00BF62B0">
              <w:t>selecting a suit</w:t>
            </w:r>
            <w:r w:rsidRPr="00BF62B0">
              <w:t>able format for use by internal personnel and/or external authorities</w:t>
            </w:r>
          </w:p>
          <w:p w:rsidR="00000000" w:rsidRPr="00BF62B0" w:rsidP="00BF62B0">
            <w:pPr>
              <w:pStyle w:val="ListBullet"/>
            </w:pPr>
            <w:r w:rsidRPr="00BF62B0">
              <w:t>preparing relevant information and data for inclusion in the report</w:t>
            </w:r>
          </w:p>
          <w:p w:rsidR="00000000" w:rsidP="00BF62B0">
            <w:pPr>
              <w:pStyle w:val="ListBullet"/>
              <w:rPr>
                <w:lang w:val="en-NZ"/>
              </w:rPr>
            </w:pPr>
            <w:r w:rsidRPr="00BF62B0">
              <w:t>preparing a carbon management report for sign-off and distribution</w:t>
            </w:r>
          </w:p>
        </w:tc>
      </w:tr>
      <w:tr w:rsidTr="005C2AF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F62B0">
            <w:pPr>
              <w:pStyle w:val="BodyText"/>
              <w:rPr>
                <w:lang w:val="en-NZ"/>
              </w:rPr>
            </w:pPr>
            <w:r w:rsidRPr="00BF62B0">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BF62B0" w:rsidP="00BF62B0">
            <w:pPr>
              <w:pStyle w:val="ListBullet"/>
            </w:pPr>
            <w:r w:rsidRPr="00BF62B0">
              <w:t>Competency is to be assessed in the workplace or realistically simulated workplace</w:t>
            </w:r>
          </w:p>
          <w:p w:rsidR="00000000" w:rsidRPr="00BF62B0" w:rsidP="00BF62B0">
            <w:pPr>
              <w:pStyle w:val="ListBullet"/>
            </w:pPr>
            <w:r w:rsidRPr="00BF62B0">
              <w:t>Assessment is to occur under standard and authorised work practices, safety requirements and environmental constraints</w:t>
            </w:r>
          </w:p>
          <w:p w:rsidR="00000000" w:rsidRPr="00BF62B0" w:rsidP="00BF62B0">
            <w:pPr>
              <w:pStyle w:val="ListBullet"/>
            </w:pPr>
            <w:r w:rsidRPr="00BF62B0">
              <w:t>Assessment of required knowledge, other than confirmat</w:t>
            </w:r>
            <w:r w:rsidRPr="00BF62B0">
              <w:t>ory questions, will usually be conducted in an off-site context</w:t>
            </w:r>
          </w:p>
          <w:p w:rsidR="00000000" w:rsidRPr="00BF62B0" w:rsidP="00BF62B0">
            <w:pPr>
              <w:pStyle w:val="ListBullet"/>
            </w:pPr>
            <w:r w:rsidRPr="00BF62B0">
              <w:t>Assessment is to comply with relevant regulatory or Australian Standards requirements</w:t>
            </w:r>
          </w:p>
          <w:p w:rsidR="00000000" w:rsidRPr="00BF62B0" w:rsidP="00BF62B0">
            <w:pPr>
              <w:pStyle w:val="ListBullet"/>
            </w:pPr>
            <w:r w:rsidRPr="00BF62B0">
              <w:t>The following resources should be made available:</w:t>
            </w:r>
          </w:p>
          <w:p w:rsidR="00000000" w:rsidRPr="00BF62B0" w:rsidP="00BF62B0">
            <w:pPr>
              <w:pStyle w:val="ListBullet3"/>
            </w:pPr>
            <w:r w:rsidRPr="00BF62B0">
              <w:t>workplace location or simulated workplace</w:t>
            </w:r>
          </w:p>
          <w:p w:rsidR="00000000" w:rsidRPr="00BF62B0" w:rsidP="00BF62B0">
            <w:pPr>
              <w:pStyle w:val="ListBullet3"/>
            </w:pPr>
            <w:r w:rsidRPr="00BF62B0">
              <w:t>materials and equipment relevant to undertaking work applicable to this unit</w:t>
            </w:r>
          </w:p>
          <w:p w:rsidR="00000000" w:rsidP="00BF62B0">
            <w:pPr>
              <w:pStyle w:val="ListBullet3"/>
              <w:rPr>
                <w:lang w:val="en-NZ"/>
              </w:rPr>
            </w:pPr>
            <w:r w:rsidRPr="00BF62B0">
              <w:t>specifications and work instructions</w:t>
            </w:r>
          </w:p>
        </w:tc>
      </w:tr>
      <w:tr w:rsidTr="005C2AF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F62B0">
            <w:pPr>
              <w:pStyle w:val="BodyText"/>
              <w:rPr>
                <w:lang w:val="en-NZ"/>
              </w:rPr>
            </w:pPr>
            <w:r w:rsidRPr="00BF62B0">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BF62B0" w:rsidP="00BF62B0">
            <w:pPr>
              <w:pStyle w:val="ListBullet"/>
            </w:pPr>
            <w:r w:rsidRPr="00BF62B0">
              <w:t>Assessment must satisfy the endorsed Assessment Guidelines of the FPI11 Training Package</w:t>
            </w:r>
          </w:p>
          <w:p w:rsidR="00000000" w:rsidRPr="00BF62B0" w:rsidP="00BF62B0">
            <w:pPr>
              <w:pStyle w:val="ListBullet"/>
            </w:pPr>
            <w:r w:rsidRPr="00BF62B0">
              <w:t>Assessment methods must confir</w:t>
            </w:r>
            <w:r w:rsidRPr="00BF62B0">
              <w:t>m consistency and accuracy of performance (over time and in a range of workplace relevant contexts) together with application of required knowledge</w:t>
            </w:r>
          </w:p>
          <w:p w:rsidR="00000000" w:rsidRPr="00BF62B0" w:rsidP="00BF62B0">
            <w:pPr>
              <w:pStyle w:val="ListBullet"/>
            </w:pPr>
            <w:r w:rsidRPr="00BF62B0">
              <w:t xml:space="preserve">Assessment must be by direct observation of tasks, with questioning on underpinning knowledge and it must </w:t>
            </w:r>
            <w:r w:rsidRPr="00BF62B0">
              <w:t>also reinforce the integration of employability skills</w:t>
            </w:r>
          </w:p>
          <w:p w:rsidR="00000000" w:rsidRPr="00BF62B0" w:rsidP="00BF62B0">
            <w:pPr>
              <w:pStyle w:val="ListBullet"/>
            </w:pPr>
            <w:r w:rsidRPr="00BF62B0">
              <w:t>Assessment methods must confirm the ability to access and correctly interpret and apply the required knowledge</w:t>
            </w:r>
          </w:p>
          <w:p w:rsidR="00000000" w:rsidRPr="00BF62B0" w:rsidP="00BF62B0">
            <w:pPr>
              <w:pStyle w:val="ListBullet"/>
            </w:pPr>
            <w:r w:rsidRPr="00BF62B0">
              <w:t>Assessment may be applied under project-related conditions (real or simulated) and require</w:t>
            </w:r>
            <w:r w:rsidRPr="00BF62B0">
              <w:t xml:space="preserve"> evidence of process</w:t>
            </w:r>
          </w:p>
          <w:p w:rsidR="00000000" w:rsidRPr="00BF62B0" w:rsidP="00BF62B0">
            <w:pPr>
              <w:pStyle w:val="ListBullet"/>
            </w:pPr>
            <w:r w:rsidRPr="00BF62B0">
              <w:t>Assessment must confirm a reasonable inference that competency is able not only to be satisfied under the particular circumstance, but is able to be transferred to other circumstances</w:t>
            </w:r>
          </w:p>
          <w:p w:rsidR="00000000" w:rsidRPr="00BF62B0" w:rsidP="00BF62B0">
            <w:pPr>
              <w:pStyle w:val="ListBullet"/>
            </w:pPr>
            <w:r w:rsidRPr="00BF62B0">
              <w:t>Assessment may be in conjunction with assessment of</w:t>
            </w:r>
            <w:r w:rsidRPr="00BF62B0">
              <w:t xml:space="preserve"> other units of competency</w:t>
            </w:r>
          </w:p>
          <w:p w:rsidR="00000000" w:rsidRPr="00BF62B0" w:rsidP="00BF62B0">
            <w:pPr>
              <w:pStyle w:val="ListBullet"/>
            </w:pPr>
            <w:r w:rsidRPr="00BF62B0">
              <w:t>The assessment environment should not disadvantage the candidate</w:t>
            </w:r>
          </w:p>
          <w:p w:rsidR="00000000" w:rsidRPr="00BF62B0" w:rsidP="00BF62B0">
            <w:pPr>
              <w:pStyle w:val="ListBullet"/>
            </w:pPr>
            <w:r w:rsidRPr="00BF62B0">
              <w:t>Assessment practices should take into account any relevant language or cultural issues related to Aboriginality, gender or language backgrounds other than English</w:t>
            </w:r>
          </w:p>
          <w:p w:rsidR="00000000" w:rsidRPr="00BF62B0" w:rsidP="00BF62B0">
            <w:pPr>
              <w:pStyle w:val="ListBullet"/>
            </w:pPr>
            <w:r w:rsidRPr="00BF62B0">
              <w:t>W</w:t>
            </w:r>
            <w:r w:rsidRPr="00BF62B0">
              <w:t>here the participant has a disability, reasonable adjustment may be applied during assessment</w:t>
            </w:r>
          </w:p>
          <w:p w:rsidR="00000000" w:rsidRPr="00BF62B0" w:rsidP="00BF62B0">
            <w:pPr>
              <w:pStyle w:val="ListBullet"/>
            </w:pPr>
            <w:r w:rsidRPr="00BF62B0">
              <w:t>Language and literacy demands of the assessment task should not be higher than those of the work role</w:t>
            </w:r>
          </w:p>
        </w:tc>
      </w:tr>
    </w:tbl>
    <w:p w:rsidR="005C2AF1" w:rsidP="00BF62B0">
      <w:pPr>
        <w:pStyle w:val="BodyText"/>
      </w:pPr>
    </w:p>
    <w:p w:rsidR="005C2AF1" w:rsidP="00BF62B0">
      <w:pPr>
        <w:pStyle w:val="BodyText"/>
      </w:pPr>
    </w:p>
    <w:p w:rsidR="00000000" w:rsidRPr="00BF62B0" w:rsidP="00BF62B0">
      <w:pPr>
        <w:pStyle w:val="Heading1"/>
      </w:pPr>
      <w:bookmarkStart w:id="11" w:name="O_251288"/>
      <w:bookmarkEnd w:id="11"/>
      <w:r w:rsidRPr="00BF62B0">
        <w:t>Range Statement</w:t>
      </w:r>
    </w:p>
    <w:tbl>
      <w:tblPr>
        <w:tblW w:w="0" w:type="auto"/>
        <w:tblLayout w:type="fixed"/>
        <w:tblCellMar>
          <w:left w:w="62" w:type="dxa"/>
          <w:right w:w="62" w:type="dxa"/>
        </w:tblCellMar>
        <w:tblLook w:val="0000"/>
      </w:tblPr>
      <w:tblGrid>
        <w:gridCol w:w="3519"/>
        <w:gridCol w:w="5003"/>
      </w:tblGrid>
      <w:tr w:rsidTr="005C2AF1">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BF62B0">
            <w:pPr>
              <w:pStyle w:val="BodyText"/>
              <w:rPr>
                <w:lang w:val="en-NZ"/>
              </w:rPr>
            </w:pPr>
            <w:r w:rsidRPr="00BF62B0">
              <w:rPr>
                <w:rStyle w:val="SpecialBold"/>
              </w:rPr>
              <w:t>RANGE STATEMENT</w:t>
            </w:r>
          </w:p>
        </w:tc>
      </w:tr>
      <w:tr w:rsidTr="005C2AF1">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BF62B0">
            <w:pPr>
              <w:pStyle w:val="BodyText"/>
              <w:rPr>
                <w:lang w:val="en-NZ"/>
              </w:rPr>
            </w:pPr>
            <w:r w:rsidRPr="00BF62B0">
              <w:t>The range statement relates to the unit of competency as a whole. It allows for different work environments and situations that may affect performance. Bold italicised wording, if used in the performance criteria, is detailed below. Essential operating con</w:t>
            </w:r>
            <w:r w:rsidRPr="00BF62B0">
              <w:t>ditions that may be present with training and assessment (depending on the work situation, needs of the candidate, accessibility of the item, and local industry and regional contexts) may also be included.</w:t>
            </w:r>
          </w:p>
        </w:tc>
      </w:tr>
      <w:tr w:rsidTr="005C2AF1">
        <w:tblPrEx>
          <w:tblW w:w="0" w:type="auto"/>
          <w:tblLayout w:type="fixed"/>
          <w:tblCellMar>
            <w:left w:w="62" w:type="dxa"/>
            <w:right w:w="62" w:type="dxa"/>
          </w:tblCellMar>
          <w:tblLook w:val="0000"/>
        </w:tblPrEx>
        <w:tc>
          <w:tcPr>
            <w:tcW w:w="3519" w:type="dxa"/>
            <w:tcBorders>
              <w:top w:val="nil"/>
              <w:left w:val="nil"/>
              <w:bottom w:val="nil"/>
              <w:right w:val="nil"/>
            </w:tcBorders>
            <w:tcMar>
              <w:top w:w="0" w:type="dxa"/>
              <w:left w:w="62" w:type="dxa"/>
              <w:bottom w:w="0" w:type="dxa"/>
              <w:right w:w="62" w:type="dxa"/>
            </w:tcMar>
          </w:tcPr>
          <w:p w:rsidR="00000000" w:rsidP="00BF62B0">
            <w:pPr>
              <w:pStyle w:val="BodyText"/>
              <w:rPr>
                <w:lang w:val="en-NZ"/>
              </w:rPr>
            </w:pPr>
            <w:r w:rsidRPr="00BF62B0">
              <w:rPr>
                <w:rStyle w:val="SpecialBold"/>
              </w:rPr>
              <w:t>OHS</w:t>
            </w:r>
            <w:r w:rsidRPr="00BF62B0">
              <w:t xml:space="preserve"> </w:t>
            </w:r>
            <w:r w:rsidRPr="00BF62B0">
              <w:rPr>
                <w:rStyle w:val="SpecialBold"/>
              </w:rPr>
              <w:t>requirements</w:t>
            </w:r>
            <w:r w:rsidRPr="00BF62B0">
              <w:t>:</w:t>
            </w:r>
          </w:p>
        </w:tc>
        <w:tc>
          <w:tcPr>
            <w:tcW w:w="5003" w:type="dxa"/>
            <w:tcBorders>
              <w:top w:val="nil"/>
              <w:left w:val="nil"/>
              <w:bottom w:val="nil"/>
              <w:right w:val="nil"/>
            </w:tcBorders>
            <w:tcMar>
              <w:top w:w="0" w:type="dxa"/>
              <w:left w:w="62" w:type="dxa"/>
              <w:bottom w:w="0" w:type="dxa"/>
              <w:right w:w="62" w:type="dxa"/>
            </w:tcMar>
          </w:tcPr>
          <w:p w:rsidR="00000000" w:rsidRPr="00BF62B0" w:rsidP="00BF62B0">
            <w:pPr>
              <w:pStyle w:val="BodyText"/>
            </w:pPr>
            <w:r w:rsidRPr="00BF62B0">
              <w:t>are to be in line with applica</w:t>
            </w:r>
            <w:r w:rsidRPr="00BF62B0">
              <w:t>ble Commonwealth, State or Territory legislation and regulations, and organisational safety policies and procedures, and may include:</w:t>
            </w:r>
          </w:p>
          <w:p w:rsidR="00000000" w:rsidRPr="00BF62B0" w:rsidP="00BF62B0">
            <w:pPr>
              <w:pStyle w:val="ListBullet"/>
            </w:pPr>
            <w:r w:rsidRPr="00BF62B0">
              <w:t>personal protective equipment and clothing</w:t>
            </w:r>
          </w:p>
          <w:p w:rsidR="00000000" w:rsidRPr="00BF62B0" w:rsidP="00BF62B0">
            <w:pPr>
              <w:pStyle w:val="ListBullet"/>
            </w:pPr>
            <w:r w:rsidRPr="00BF62B0">
              <w:t>safety equipment</w:t>
            </w:r>
          </w:p>
          <w:p w:rsidR="00000000" w:rsidRPr="00BF62B0" w:rsidP="00BF62B0">
            <w:pPr>
              <w:pStyle w:val="ListBullet"/>
            </w:pPr>
            <w:r w:rsidRPr="00BF62B0">
              <w:t>first aid equipment</w:t>
            </w:r>
          </w:p>
          <w:p w:rsidR="00000000" w:rsidRPr="00BF62B0" w:rsidP="00BF62B0">
            <w:pPr>
              <w:pStyle w:val="ListBullet"/>
            </w:pPr>
            <w:r w:rsidRPr="00BF62B0">
              <w:t>fire fighting equipment</w:t>
            </w:r>
          </w:p>
          <w:p w:rsidR="00000000" w:rsidRPr="00BF62B0" w:rsidP="00BF62B0">
            <w:pPr>
              <w:pStyle w:val="ListBullet"/>
            </w:pPr>
            <w:r w:rsidRPr="00BF62B0">
              <w:t>hazard and risk control</w:t>
            </w:r>
          </w:p>
          <w:p w:rsidR="00000000" w:rsidRPr="00BF62B0" w:rsidP="00BF62B0">
            <w:pPr>
              <w:pStyle w:val="ListBullet"/>
            </w:pPr>
            <w:r w:rsidRPr="00BF62B0">
              <w:t>fatigue management</w:t>
            </w:r>
          </w:p>
          <w:p w:rsidR="00000000" w:rsidRPr="00BF62B0" w:rsidP="00BF62B0">
            <w:pPr>
              <w:pStyle w:val="ListBullet"/>
            </w:pPr>
            <w:r w:rsidRPr="00BF62B0">
              <w:t>elimination of hazardous materials and substances</w:t>
            </w:r>
          </w:p>
          <w:p w:rsidR="00000000" w:rsidRPr="00BF62B0" w:rsidP="00BF62B0">
            <w:pPr>
              <w:pStyle w:val="ListBullet"/>
            </w:pPr>
            <w:r w:rsidRPr="00BF62B0">
              <w:t>safe forest practices including required actions relating to forest fire</w:t>
            </w:r>
          </w:p>
          <w:p w:rsidR="00000000" w:rsidP="00BF62B0">
            <w:pPr>
              <w:pStyle w:val="ListBullet"/>
              <w:rPr>
                <w:lang w:val="en-NZ"/>
              </w:rPr>
            </w:pPr>
            <w:r w:rsidRPr="00BF62B0">
              <w:t>manual handling including shifting, lifting and carrying</w:t>
            </w:r>
          </w:p>
        </w:tc>
      </w:tr>
      <w:tr w:rsidTr="005C2AF1">
        <w:tblPrEx>
          <w:tblW w:w="0" w:type="auto"/>
          <w:tblLayout w:type="fixed"/>
          <w:tblCellMar>
            <w:left w:w="62" w:type="dxa"/>
            <w:right w:w="62" w:type="dxa"/>
          </w:tblCellMar>
          <w:tblLook w:val="0000"/>
        </w:tblPrEx>
        <w:tc>
          <w:tcPr>
            <w:tcW w:w="3519" w:type="dxa"/>
            <w:tcBorders>
              <w:top w:val="nil"/>
              <w:left w:val="nil"/>
              <w:bottom w:val="nil"/>
              <w:right w:val="nil"/>
            </w:tcBorders>
            <w:tcMar>
              <w:top w:w="0" w:type="dxa"/>
              <w:left w:w="62" w:type="dxa"/>
              <w:bottom w:w="0" w:type="dxa"/>
              <w:right w:w="62" w:type="dxa"/>
            </w:tcMar>
          </w:tcPr>
          <w:p w:rsidR="00000000" w:rsidP="00BF62B0">
            <w:pPr>
              <w:pStyle w:val="BodyText"/>
              <w:rPr>
                <w:lang w:val="en-NZ"/>
              </w:rPr>
            </w:pPr>
            <w:r w:rsidRPr="00BF62B0">
              <w:rPr>
                <w:rStyle w:val="SpecialBold"/>
              </w:rPr>
              <w:t>Environmental requirements</w:t>
            </w:r>
            <w:r w:rsidRPr="00BF62B0">
              <w:t xml:space="preserve"> may i</w:t>
            </w:r>
            <w:r w:rsidRPr="00BF62B0">
              <w:t>nclude:</w:t>
            </w:r>
          </w:p>
        </w:tc>
        <w:tc>
          <w:tcPr>
            <w:tcW w:w="5003" w:type="dxa"/>
            <w:tcBorders>
              <w:top w:val="nil"/>
              <w:left w:val="nil"/>
              <w:bottom w:val="nil"/>
              <w:right w:val="nil"/>
            </w:tcBorders>
            <w:tcMar>
              <w:top w:w="0" w:type="dxa"/>
              <w:left w:w="62" w:type="dxa"/>
              <w:bottom w:w="0" w:type="dxa"/>
              <w:right w:w="62" w:type="dxa"/>
            </w:tcMar>
          </w:tcPr>
          <w:p w:rsidR="00000000" w:rsidRPr="00BF62B0" w:rsidP="00BF62B0">
            <w:pPr>
              <w:pStyle w:val="ListBullet"/>
            </w:pPr>
            <w:r w:rsidRPr="00BF62B0">
              <w:t>legislation</w:t>
            </w:r>
          </w:p>
          <w:p w:rsidR="00000000" w:rsidRPr="00BF62B0" w:rsidP="00BF62B0">
            <w:pPr>
              <w:pStyle w:val="ListBullet"/>
            </w:pPr>
            <w:r w:rsidRPr="00BF62B0">
              <w:t>organisational policies and procedures</w:t>
            </w:r>
          </w:p>
          <w:p w:rsidR="00000000" w:rsidP="00BF62B0">
            <w:pPr>
              <w:pStyle w:val="ListBullet"/>
              <w:rPr>
                <w:lang w:val="en-NZ"/>
              </w:rPr>
            </w:pPr>
            <w:r w:rsidRPr="00BF62B0">
              <w:t>workplace practices</w:t>
            </w:r>
          </w:p>
        </w:tc>
      </w:tr>
      <w:tr w:rsidTr="005C2AF1">
        <w:tblPrEx>
          <w:tblW w:w="0" w:type="auto"/>
          <w:tblLayout w:type="fixed"/>
          <w:tblCellMar>
            <w:left w:w="62" w:type="dxa"/>
            <w:right w:w="62" w:type="dxa"/>
          </w:tblCellMar>
          <w:tblLook w:val="0000"/>
        </w:tblPrEx>
        <w:tc>
          <w:tcPr>
            <w:tcW w:w="3519" w:type="dxa"/>
            <w:tcBorders>
              <w:top w:val="nil"/>
              <w:left w:val="nil"/>
              <w:bottom w:val="nil"/>
              <w:right w:val="nil"/>
            </w:tcBorders>
            <w:tcMar>
              <w:top w:w="0" w:type="dxa"/>
              <w:left w:w="62" w:type="dxa"/>
              <w:bottom w:w="0" w:type="dxa"/>
              <w:right w:w="62" w:type="dxa"/>
            </w:tcMar>
          </w:tcPr>
          <w:p w:rsidR="00000000" w:rsidP="00BF62B0">
            <w:pPr>
              <w:pStyle w:val="BodyText"/>
              <w:rPr>
                <w:lang w:val="en-NZ"/>
              </w:rPr>
            </w:pPr>
            <w:r w:rsidRPr="00BF62B0">
              <w:rPr>
                <w:rStyle w:val="SpecialBold"/>
              </w:rPr>
              <w:t>Legislative requirements</w:t>
            </w:r>
            <w:r w:rsidRPr="00BF62B0">
              <w:t>:</w:t>
            </w:r>
          </w:p>
        </w:tc>
        <w:tc>
          <w:tcPr>
            <w:tcW w:w="5003" w:type="dxa"/>
            <w:tcBorders>
              <w:top w:val="nil"/>
              <w:left w:val="nil"/>
              <w:bottom w:val="nil"/>
              <w:right w:val="nil"/>
            </w:tcBorders>
            <w:tcMar>
              <w:top w:w="0" w:type="dxa"/>
              <w:left w:w="62" w:type="dxa"/>
              <w:bottom w:w="0" w:type="dxa"/>
              <w:right w:w="62" w:type="dxa"/>
            </w:tcMar>
          </w:tcPr>
          <w:p w:rsidR="00000000" w:rsidRPr="00BF62B0" w:rsidP="00BF62B0">
            <w:pPr>
              <w:pStyle w:val="BodyText"/>
            </w:pPr>
            <w:r w:rsidRPr="00BF62B0">
              <w:t xml:space="preserve">are to be in line with applicable Commonwealth, State or Territory legislation, regulations, certification requirements and codes of practice </w:t>
            </w:r>
            <w:r w:rsidRPr="00BF62B0">
              <w:t>and may include:</w:t>
            </w:r>
          </w:p>
          <w:p w:rsidR="00000000" w:rsidRPr="00BF62B0" w:rsidP="00BF62B0">
            <w:pPr>
              <w:pStyle w:val="ListBullet"/>
            </w:pPr>
            <w:r w:rsidRPr="00BF62B0">
              <w:t>award and enterprise agreements</w:t>
            </w:r>
          </w:p>
          <w:p w:rsidR="00000000" w:rsidRPr="00BF62B0" w:rsidP="00BF62B0">
            <w:pPr>
              <w:pStyle w:val="ListBullet"/>
            </w:pPr>
            <w:r w:rsidRPr="00BF62B0">
              <w:t>industrial relations</w:t>
            </w:r>
          </w:p>
          <w:p w:rsidR="00000000" w:rsidRPr="00BF62B0" w:rsidP="00BF62B0">
            <w:pPr>
              <w:pStyle w:val="ListBullet"/>
            </w:pPr>
            <w:r w:rsidRPr="00BF62B0">
              <w:t>Australian Standards</w:t>
            </w:r>
          </w:p>
          <w:p w:rsidR="00000000" w:rsidRPr="00BF62B0" w:rsidP="00BF62B0">
            <w:pPr>
              <w:pStyle w:val="ListBullet"/>
            </w:pPr>
            <w:r w:rsidRPr="00BF62B0">
              <w:t>confidentiality and privacy</w:t>
            </w:r>
          </w:p>
          <w:p w:rsidR="00000000" w:rsidRPr="00BF62B0" w:rsidP="00BF62B0">
            <w:pPr>
              <w:pStyle w:val="ListBullet"/>
            </w:pPr>
            <w:r w:rsidRPr="00BF62B0">
              <w:t>OHS</w:t>
            </w:r>
          </w:p>
          <w:p w:rsidR="00000000" w:rsidRPr="00BF62B0" w:rsidP="00BF62B0">
            <w:pPr>
              <w:pStyle w:val="ListBullet"/>
            </w:pPr>
            <w:r w:rsidRPr="00BF62B0">
              <w:t>the environment</w:t>
            </w:r>
          </w:p>
          <w:p w:rsidR="00000000" w:rsidRPr="00BF62B0" w:rsidP="00BF62B0">
            <w:pPr>
              <w:pStyle w:val="ListBullet"/>
            </w:pPr>
            <w:r w:rsidRPr="00BF62B0">
              <w:t>equal opportunity</w:t>
            </w:r>
          </w:p>
          <w:p w:rsidR="00000000" w:rsidRPr="00BF62B0" w:rsidP="00BF62B0">
            <w:pPr>
              <w:pStyle w:val="ListBullet"/>
            </w:pPr>
            <w:r w:rsidRPr="00BF62B0">
              <w:t>anti-discrimination</w:t>
            </w:r>
          </w:p>
          <w:p w:rsidR="00000000" w:rsidRPr="00BF62B0" w:rsidP="00BF62B0">
            <w:pPr>
              <w:pStyle w:val="ListBullet"/>
            </w:pPr>
            <w:r w:rsidRPr="00BF62B0">
              <w:t>relevant industry codes of practice</w:t>
            </w:r>
          </w:p>
          <w:p w:rsidR="00000000" w:rsidP="00BF62B0">
            <w:pPr>
              <w:pStyle w:val="ListBullet"/>
              <w:rPr>
                <w:lang w:val="en-NZ"/>
              </w:rPr>
            </w:pPr>
            <w:r w:rsidRPr="00BF62B0">
              <w:t>duty of care</w:t>
            </w:r>
          </w:p>
        </w:tc>
      </w:tr>
      <w:tr w:rsidTr="005C2AF1">
        <w:tblPrEx>
          <w:tblW w:w="0" w:type="auto"/>
          <w:tblLayout w:type="fixed"/>
          <w:tblCellMar>
            <w:left w:w="62" w:type="dxa"/>
            <w:right w:w="62" w:type="dxa"/>
          </w:tblCellMar>
          <w:tblLook w:val="0000"/>
        </w:tblPrEx>
        <w:tc>
          <w:tcPr>
            <w:tcW w:w="3519" w:type="dxa"/>
            <w:tcBorders>
              <w:top w:val="nil"/>
              <w:left w:val="nil"/>
              <w:bottom w:val="nil"/>
              <w:right w:val="nil"/>
            </w:tcBorders>
            <w:tcMar>
              <w:top w:w="0" w:type="dxa"/>
              <w:left w:w="62" w:type="dxa"/>
              <w:bottom w:w="0" w:type="dxa"/>
              <w:right w:w="62" w:type="dxa"/>
            </w:tcMar>
          </w:tcPr>
          <w:p w:rsidR="00000000" w:rsidP="00BF62B0">
            <w:pPr>
              <w:pStyle w:val="BodyText"/>
              <w:rPr>
                <w:lang w:val="en-NZ"/>
              </w:rPr>
            </w:pPr>
            <w:r w:rsidRPr="00BF62B0">
              <w:rPr>
                <w:rStyle w:val="SpecialBold"/>
              </w:rPr>
              <w:t>Organisational requirements</w:t>
            </w:r>
            <w:r w:rsidRPr="00BF62B0">
              <w:t xml:space="preserve"> </w:t>
            </w:r>
            <w:r w:rsidRPr="00BF62B0">
              <w:t>may include:</w:t>
            </w:r>
          </w:p>
        </w:tc>
        <w:tc>
          <w:tcPr>
            <w:tcW w:w="5003" w:type="dxa"/>
            <w:tcBorders>
              <w:top w:val="nil"/>
              <w:left w:val="nil"/>
              <w:bottom w:val="nil"/>
              <w:right w:val="nil"/>
            </w:tcBorders>
            <w:tcMar>
              <w:top w:w="0" w:type="dxa"/>
              <w:left w:w="62" w:type="dxa"/>
              <w:bottom w:w="0" w:type="dxa"/>
              <w:right w:w="62" w:type="dxa"/>
            </w:tcMar>
          </w:tcPr>
          <w:p w:rsidR="00000000" w:rsidRPr="00BF62B0" w:rsidP="00BF62B0">
            <w:pPr>
              <w:pStyle w:val="ListBullet"/>
            </w:pPr>
            <w:r w:rsidRPr="00BF62B0">
              <w:t xml:space="preserve">legal </w:t>
            </w:r>
          </w:p>
          <w:p w:rsidR="00000000" w:rsidRPr="00BF62B0" w:rsidP="00BF62B0">
            <w:pPr>
              <w:pStyle w:val="ListBullet"/>
            </w:pPr>
            <w:r w:rsidRPr="00BF62B0">
              <w:t>organisational and site guidelines</w:t>
            </w:r>
          </w:p>
          <w:p w:rsidR="00000000" w:rsidRPr="00BF62B0" w:rsidP="00BF62B0">
            <w:pPr>
              <w:pStyle w:val="ListBullet"/>
            </w:pPr>
            <w:r w:rsidRPr="00BF62B0">
              <w:t>policies and procedures relating to own role and responsibility</w:t>
            </w:r>
          </w:p>
          <w:p w:rsidR="00000000" w:rsidRPr="00BF62B0" w:rsidP="00BF62B0">
            <w:pPr>
              <w:pStyle w:val="ListBullet"/>
            </w:pPr>
            <w:r w:rsidRPr="00BF62B0">
              <w:t>quality assurance</w:t>
            </w:r>
          </w:p>
          <w:p w:rsidR="00000000" w:rsidRPr="00BF62B0" w:rsidP="00BF62B0">
            <w:pPr>
              <w:pStyle w:val="ListBullet"/>
            </w:pPr>
            <w:r w:rsidRPr="00BF62B0">
              <w:t>procedural manuals</w:t>
            </w:r>
          </w:p>
          <w:p w:rsidR="00000000" w:rsidRPr="00BF62B0" w:rsidP="00BF62B0">
            <w:pPr>
              <w:pStyle w:val="ListBullet"/>
            </w:pPr>
            <w:r w:rsidRPr="00BF62B0">
              <w:t>quality and continuous improvement processes and standards</w:t>
            </w:r>
          </w:p>
          <w:p w:rsidR="00000000" w:rsidRPr="00BF62B0" w:rsidP="00BF62B0">
            <w:pPr>
              <w:pStyle w:val="ListBullet"/>
            </w:pPr>
            <w:r w:rsidRPr="00BF62B0">
              <w:t>OHS, emergency and evacuation procedures</w:t>
            </w:r>
          </w:p>
          <w:p w:rsidR="00000000" w:rsidRPr="00BF62B0" w:rsidP="00BF62B0">
            <w:pPr>
              <w:pStyle w:val="ListBullet"/>
            </w:pPr>
            <w:r w:rsidRPr="00BF62B0">
              <w:t>ethical standards</w:t>
            </w:r>
          </w:p>
          <w:p w:rsidR="00000000" w:rsidRPr="00BF62B0" w:rsidP="00BF62B0">
            <w:pPr>
              <w:pStyle w:val="ListBullet"/>
            </w:pPr>
            <w:r w:rsidRPr="00BF62B0">
              <w:t>recording and reporting requirements</w:t>
            </w:r>
          </w:p>
          <w:p w:rsidR="00000000" w:rsidRPr="00BF62B0" w:rsidP="00BF62B0">
            <w:pPr>
              <w:pStyle w:val="ListBullet"/>
            </w:pPr>
            <w:r w:rsidRPr="00BF62B0">
              <w:t>equipment use, maintenance and storage requirements</w:t>
            </w:r>
          </w:p>
          <w:p w:rsidR="00000000" w:rsidP="00BF62B0">
            <w:pPr>
              <w:pStyle w:val="ListBullet"/>
              <w:rPr>
                <w:lang w:val="en-NZ"/>
              </w:rPr>
            </w:pPr>
            <w:r w:rsidRPr="00BF62B0">
              <w:t>environmental management requirements (waste minimisation and disposal, recycling and re-use guidelines)</w:t>
            </w:r>
          </w:p>
        </w:tc>
      </w:tr>
      <w:tr w:rsidTr="005C2AF1">
        <w:tblPrEx>
          <w:tblW w:w="0" w:type="auto"/>
          <w:tblLayout w:type="fixed"/>
          <w:tblCellMar>
            <w:left w:w="62" w:type="dxa"/>
            <w:right w:w="62" w:type="dxa"/>
          </w:tblCellMar>
          <w:tblLook w:val="0000"/>
        </w:tblPrEx>
        <w:tc>
          <w:tcPr>
            <w:tcW w:w="3519" w:type="dxa"/>
            <w:tcBorders>
              <w:top w:val="nil"/>
              <w:left w:val="nil"/>
              <w:bottom w:val="nil"/>
              <w:right w:val="nil"/>
            </w:tcBorders>
            <w:tcMar>
              <w:top w:w="0" w:type="dxa"/>
              <w:left w:w="62" w:type="dxa"/>
              <w:bottom w:w="0" w:type="dxa"/>
              <w:right w:w="62" w:type="dxa"/>
            </w:tcMar>
          </w:tcPr>
          <w:p w:rsidR="00000000" w:rsidP="00BF62B0">
            <w:pPr>
              <w:pStyle w:val="BodyText"/>
              <w:rPr>
                <w:lang w:val="en-NZ"/>
              </w:rPr>
            </w:pPr>
            <w:r w:rsidRPr="00BF62B0">
              <w:rPr>
                <w:rStyle w:val="SpecialBold"/>
              </w:rPr>
              <w:t>Regulatory bodies</w:t>
            </w:r>
            <w:r w:rsidRPr="00BF62B0">
              <w:t xml:space="preserve"> may include:</w:t>
            </w:r>
          </w:p>
        </w:tc>
        <w:tc>
          <w:tcPr>
            <w:tcW w:w="5003" w:type="dxa"/>
            <w:tcBorders>
              <w:top w:val="nil"/>
              <w:left w:val="nil"/>
              <w:bottom w:val="nil"/>
              <w:right w:val="nil"/>
            </w:tcBorders>
            <w:tcMar>
              <w:top w:w="0" w:type="dxa"/>
              <w:left w:w="62" w:type="dxa"/>
              <w:bottom w:w="0" w:type="dxa"/>
              <w:right w:w="62" w:type="dxa"/>
            </w:tcMar>
          </w:tcPr>
          <w:p w:rsidR="00000000" w:rsidRPr="00BF62B0" w:rsidP="00BF62B0">
            <w:pPr>
              <w:pStyle w:val="ListBullet"/>
            </w:pPr>
            <w:r w:rsidRPr="00BF62B0">
              <w:t>Internatio</w:t>
            </w:r>
            <w:r w:rsidRPr="00BF62B0">
              <w:t>nal Organization for Standardization (ISO)</w:t>
            </w:r>
          </w:p>
          <w:p w:rsidR="00000000" w:rsidRPr="00BF62B0" w:rsidP="00BF62B0">
            <w:pPr>
              <w:pStyle w:val="ListBullet"/>
            </w:pPr>
            <w:r w:rsidRPr="00BF62B0">
              <w:t>federal government departments</w:t>
            </w:r>
          </w:p>
          <w:p w:rsidR="00000000" w:rsidRPr="00BF62B0" w:rsidP="00BF62B0">
            <w:pPr>
              <w:pStyle w:val="ListBullet"/>
            </w:pPr>
            <w:r w:rsidRPr="00BF62B0">
              <w:t>State/Territory government departments</w:t>
            </w:r>
          </w:p>
          <w:p w:rsidR="00000000" w:rsidP="00BF62B0">
            <w:pPr>
              <w:pStyle w:val="ListBullet"/>
              <w:rPr>
                <w:lang w:val="en-NZ"/>
              </w:rPr>
            </w:pPr>
            <w:r w:rsidRPr="00BF62B0">
              <w:t>local government departments and authorities</w:t>
            </w:r>
          </w:p>
        </w:tc>
      </w:tr>
      <w:tr w:rsidTr="005C2AF1">
        <w:tblPrEx>
          <w:tblW w:w="0" w:type="auto"/>
          <w:tblLayout w:type="fixed"/>
          <w:tblCellMar>
            <w:left w:w="62" w:type="dxa"/>
            <w:right w:w="62" w:type="dxa"/>
          </w:tblCellMar>
          <w:tblLook w:val="0000"/>
        </w:tblPrEx>
        <w:tc>
          <w:tcPr>
            <w:tcW w:w="3519" w:type="dxa"/>
            <w:tcBorders>
              <w:top w:val="nil"/>
              <w:left w:val="nil"/>
              <w:bottom w:val="nil"/>
              <w:right w:val="nil"/>
            </w:tcBorders>
            <w:tcMar>
              <w:top w:w="0" w:type="dxa"/>
              <w:left w:w="62" w:type="dxa"/>
              <w:bottom w:w="0" w:type="dxa"/>
              <w:right w:w="62" w:type="dxa"/>
            </w:tcMar>
          </w:tcPr>
          <w:p w:rsidR="00000000" w:rsidP="00BF62B0">
            <w:pPr>
              <w:pStyle w:val="BodyText"/>
              <w:rPr>
                <w:lang w:val="en-NZ"/>
              </w:rPr>
            </w:pPr>
            <w:r w:rsidRPr="00BF62B0">
              <w:rPr>
                <w:rStyle w:val="SpecialBold"/>
              </w:rPr>
              <w:t>Information and data</w:t>
            </w:r>
            <w:r w:rsidRPr="00BF62B0">
              <w:t xml:space="preserve"> may include:</w:t>
            </w:r>
          </w:p>
        </w:tc>
        <w:tc>
          <w:tcPr>
            <w:tcW w:w="5003" w:type="dxa"/>
            <w:tcBorders>
              <w:top w:val="nil"/>
              <w:left w:val="nil"/>
              <w:bottom w:val="nil"/>
              <w:right w:val="nil"/>
            </w:tcBorders>
            <w:tcMar>
              <w:top w:w="0" w:type="dxa"/>
              <w:left w:w="62" w:type="dxa"/>
              <w:bottom w:w="0" w:type="dxa"/>
              <w:right w:w="62" w:type="dxa"/>
            </w:tcMar>
          </w:tcPr>
          <w:p w:rsidR="00000000" w:rsidRPr="00BF62B0" w:rsidP="00BF62B0">
            <w:pPr>
              <w:pStyle w:val="ListBullet"/>
            </w:pPr>
            <w:r w:rsidRPr="00BF62B0">
              <w:t>diagram of organisational and operational boundaries</w:t>
            </w:r>
          </w:p>
          <w:p w:rsidR="00000000" w:rsidRPr="00BF62B0" w:rsidP="00BF62B0">
            <w:pPr>
              <w:pStyle w:val="ListBullet"/>
            </w:pPr>
            <w:r w:rsidRPr="00BF62B0">
              <w:t>emissions sources and their scopes</w:t>
            </w:r>
          </w:p>
          <w:p w:rsidR="00000000" w:rsidRPr="00BF62B0" w:rsidP="00BF62B0">
            <w:pPr>
              <w:pStyle w:val="ListBullet"/>
            </w:pPr>
            <w:r w:rsidRPr="00BF62B0">
              <w:t>reasons/justifications for decisions/selections</w:t>
            </w:r>
          </w:p>
          <w:p w:rsidR="00000000" w:rsidRPr="00BF62B0" w:rsidP="00BF62B0">
            <w:pPr>
              <w:pStyle w:val="ListBullet"/>
            </w:pPr>
            <w:r w:rsidRPr="00BF62B0">
              <w:t>summary carbon inventory table</w:t>
            </w:r>
          </w:p>
          <w:p w:rsidR="00000000" w:rsidRPr="00BF62B0" w:rsidP="00BF62B0">
            <w:pPr>
              <w:pStyle w:val="ListBullet"/>
            </w:pPr>
            <w:r w:rsidRPr="00BF62B0">
              <w:t>all carbon or energy reporting regulations applicable to the organisation</w:t>
            </w:r>
          </w:p>
          <w:p w:rsidR="00000000" w:rsidP="00BF62B0">
            <w:pPr>
              <w:pStyle w:val="ListBullet"/>
              <w:rPr>
                <w:lang w:val="en-NZ"/>
              </w:rPr>
            </w:pPr>
            <w:r w:rsidRPr="00BF62B0">
              <w:t>reporting thresholds</w:t>
            </w:r>
          </w:p>
        </w:tc>
      </w:tr>
      <w:tr w:rsidTr="005C2AF1">
        <w:tblPrEx>
          <w:tblW w:w="0" w:type="auto"/>
          <w:tblLayout w:type="fixed"/>
          <w:tblCellMar>
            <w:left w:w="62" w:type="dxa"/>
            <w:right w:w="62" w:type="dxa"/>
          </w:tblCellMar>
          <w:tblLook w:val="0000"/>
        </w:tblPrEx>
        <w:tc>
          <w:tcPr>
            <w:tcW w:w="3519" w:type="dxa"/>
            <w:tcBorders>
              <w:top w:val="nil"/>
              <w:left w:val="nil"/>
              <w:bottom w:val="nil"/>
              <w:right w:val="nil"/>
            </w:tcBorders>
            <w:tcMar>
              <w:top w:w="0" w:type="dxa"/>
              <w:left w:w="62" w:type="dxa"/>
              <w:bottom w:w="0" w:type="dxa"/>
              <w:right w:w="62" w:type="dxa"/>
            </w:tcMar>
          </w:tcPr>
          <w:p w:rsidR="00000000" w:rsidP="00BF62B0">
            <w:pPr>
              <w:pStyle w:val="BodyText"/>
              <w:rPr>
                <w:lang w:val="en-NZ"/>
              </w:rPr>
            </w:pPr>
            <w:r w:rsidRPr="00BF62B0">
              <w:rPr>
                <w:rStyle w:val="SpecialBold"/>
              </w:rPr>
              <w:t>Specific findings and recommendations</w:t>
            </w:r>
            <w:r w:rsidRPr="00BF62B0">
              <w:t xml:space="preserve"> may incl</w:t>
            </w:r>
            <w:r w:rsidRPr="00BF62B0">
              <w:t>ude:</w:t>
            </w:r>
          </w:p>
        </w:tc>
        <w:tc>
          <w:tcPr>
            <w:tcW w:w="5003" w:type="dxa"/>
            <w:tcBorders>
              <w:top w:val="nil"/>
              <w:left w:val="nil"/>
              <w:bottom w:val="nil"/>
              <w:right w:val="nil"/>
            </w:tcBorders>
            <w:tcMar>
              <w:top w:w="0" w:type="dxa"/>
              <w:left w:w="62" w:type="dxa"/>
              <w:bottom w:w="0" w:type="dxa"/>
              <w:right w:w="62" w:type="dxa"/>
            </w:tcMar>
          </w:tcPr>
          <w:p w:rsidR="00000000" w:rsidRPr="00BF62B0" w:rsidP="00BF62B0">
            <w:pPr>
              <w:pStyle w:val="ListBullet"/>
            </w:pPr>
            <w:r w:rsidRPr="00BF62B0">
              <w:t>comment on the inventory with regard to the organisation's original drivers</w:t>
            </w:r>
          </w:p>
          <w:p w:rsidR="00000000" w:rsidRPr="00BF62B0" w:rsidP="00BF62B0">
            <w:pPr>
              <w:pStyle w:val="ListBullet"/>
            </w:pPr>
            <w:r w:rsidRPr="00BF62B0">
              <w:t>financial implications and risks for the organisation of various carbon price signals</w:t>
            </w:r>
          </w:p>
          <w:p w:rsidR="00000000" w:rsidRPr="00BF62B0" w:rsidP="00BF62B0">
            <w:pPr>
              <w:pStyle w:val="ListBullet"/>
            </w:pPr>
            <w:r w:rsidRPr="00BF62B0">
              <w:t>whether or not the organisation's total carbon emissions breach any reporting thresholds</w:t>
            </w:r>
          </w:p>
          <w:p w:rsidR="00000000" w:rsidRPr="00BF62B0" w:rsidP="00BF62B0">
            <w:pPr>
              <w:pStyle w:val="ListBullet"/>
            </w:pPr>
            <w:r w:rsidRPr="00BF62B0">
              <w:t>requirements of the voluntary reporting scheme or format with regard to the organisation's inventory</w:t>
            </w:r>
          </w:p>
          <w:p w:rsidR="00000000" w:rsidRPr="00BF62B0" w:rsidP="00BF62B0">
            <w:pPr>
              <w:pStyle w:val="ListBullet"/>
            </w:pPr>
            <w:r w:rsidRPr="00BF62B0">
              <w:t>setting of carbon reduction targets and objectives for the organisation</w:t>
            </w:r>
          </w:p>
          <w:p w:rsidR="00000000" w:rsidRPr="00BF62B0" w:rsidP="00BF62B0">
            <w:pPr>
              <w:pStyle w:val="ListBullet"/>
            </w:pPr>
            <w:r w:rsidRPr="00BF62B0">
              <w:t>options for the introduction of carbon management principles</w:t>
            </w:r>
          </w:p>
          <w:p w:rsidR="00000000" w:rsidRPr="00BF62B0" w:rsidP="00BF62B0">
            <w:pPr>
              <w:pStyle w:val="ListBullet"/>
            </w:pPr>
            <w:r w:rsidRPr="00BF62B0">
              <w:t>identifying and recommending actions by which the organisation can reduce its GHG emissions</w:t>
            </w:r>
          </w:p>
          <w:p w:rsidR="00000000" w:rsidRPr="00BF62B0" w:rsidP="00BF62B0">
            <w:pPr>
              <w:pStyle w:val="ListBullet"/>
            </w:pPr>
            <w:r w:rsidRPr="00BF62B0">
              <w:t>barriers experienced when developing the inventory and report</w:t>
            </w:r>
          </w:p>
          <w:p w:rsidR="00000000" w:rsidRPr="00BF62B0" w:rsidP="00BF62B0">
            <w:pPr>
              <w:pStyle w:val="ListBullet"/>
            </w:pPr>
            <w:r w:rsidRPr="00BF62B0">
              <w:t>opportunities for improvement</w:t>
            </w:r>
          </w:p>
          <w:p w:rsidR="00000000" w:rsidRPr="00BF62B0" w:rsidP="00BF62B0">
            <w:pPr>
              <w:pStyle w:val="ListBullet"/>
            </w:pPr>
            <w:r w:rsidRPr="00BF62B0">
              <w:t>suggesting improvements to the organisation's carbon reporting procedure</w:t>
            </w:r>
            <w:r w:rsidRPr="00BF62B0">
              <w:t>s</w:t>
            </w:r>
          </w:p>
        </w:tc>
      </w:tr>
    </w:tbl>
    <w:p w:rsidR="005C2AF1" w:rsidP="00BF62B0">
      <w:pPr>
        <w:pStyle w:val="BodyText"/>
      </w:pPr>
    </w:p>
    <w:p w:rsidR="005C2AF1" w:rsidP="00BF62B0">
      <w:pPr>
        <w:pStyle w:val="BodyText"/>
      </w:pPr>
    </w:p>
    <w:p w:rsidR="00000000" w:rsidRPr="00BF62B0" w:rsidP="00BF62B0">
      <w:pPr>
        <w:pStyle w:val="Heading1"/>
      </w:pPr>
      <w:bookmarkStart w:id="12" w:name="O_294629"/>
      <w:bookmarkEnd w:id="12"/>
      <w:r w:rsidRPr="00BF62B0">
        <w:t>Unit Sector(s)</w:t>
      </w:r>
    </w:p>
    <w:p w:rsidR="00000000" w:rsidRPr="00BF62B0" w:rsidP="00BF62B0">
      <w:pPr>
        <w:pStyle w:val="BodyText"/>
      </w:pPr>
      <w:r w:rsidRPr="00BF62B0">
        <w:t>Not Applicable</w:t>
      </w:r>
    </w:p>
    <w:p w:rsidR="00000000" w:rsidRPr="00BF62B0" w:rsidP="00BF62B0">
      <w:pPr>
        <w:pStyle w:val="AllowPageBreak"/>
      </w:pPr>
    </w:p>
    <w:p w:rsidR="00000000" w:rsidRPr="00BF62B0" w:rsidP="00BF62B0">
      <w:pPr>
        <w:pStyle w:val="Heading1"/>
      </w:pPr>
      <w:bookmarkStart w:id="13" w:name="O_203546"/>
      <w:bookmarkEnd w:id="13"/>
      <w:r w:rsidRPr="00BF62B0">
        <w:t>Competency field</w:t>
      </w:r>
    </w:p>
    <w:tbl>
      <w:tblPr>
        <w:tblW w:w="0" w:type="auto"/>
        <w:tblLayout w:type="fixed"/>
        <w:tblCellMar>
          <w:left w:w="62" w:type="dxa"/>
          <w:right w:w="62" w:type="dxa"/>
        </w:tblCellMar>
        <w:tblLook w:val="0000"/>
      </w:tblPr>
      <w:tblGrid>
        <w:gridCol w:w="2777"/>
        <w:gridCol w:w="5745"/>
      </w:tblGrid>
      <w:tr w:rsidTr="005C2AF1">
        <w:tblPrEx>
          <w:tblW w:w="0" w:type="auto"/>
          <w:tblLayout w:type="fixed"/>
          <w:tblCellMar>
            <w:left w:w="62" w:type="dxa"/>
            <w:right w:w="62" w:type="dxa"/>
          </w:tblCellMar>
          <w:tblLook w:val="0000"/>
        </w:tblPrEx>
        <w:trPr>
          <w:tblHeader/>
        </w:trPr>
        <w:tc>
          <w:tcPr>
            <w:tcW w:w="2777" w:type="dxa"/>
            <w:tcBorders>
              <w:top w:val="nil"/>
              <w:left w:val="nil"/>
              <w:bottom w:val="nil"/>
              <w:right w:val="nil"/>
            </w:tcBorders>
            <w:tcMar>
              <w:top w:w="0" w:type="dxa"/>
              <w:left w:w="62" w:type="dxa"/>
              <w:bottom w:w="0" w:type="dxa"/>
              <w:right w:w="62" w:type="dxa"/>
            </w:tcMar>
          </w:tcPr>
          <w:p w:rsidR="00000000" w:rsidP="00BF62B0">
            <w:pPr>
              <w:pStyle w:val="BodyText"/>
              <w:rPr>
                <w:lang w:val="en-NZ"/>
              </w:rPr>
            </w:pPr>
            <w:r w:rsidRPr="00BF62B0">
              <w:rPr>
                <w:rStyle w:val="SpecialBold"/>
              </w:rPr>
              <w:t>Competency field</w:t>
            </w:r>
          </w:p>
        </w:tc>
        <w:tc>
          <w:tcPr>
            <w:tcW w:w="5745" w:type="dxa"/>
            <w:tcBorders>
              <w:top w:val="nil"/>
              <w:left w:val="nil"/>
              <w:bottom w:val="nil"/>
              <w:right w:val="nil"/>
            </w:tcBorders>
            <w:tcMar>
              <w:top w:w="0" w:type="dxa"/>
              <w:left w:w="62" w:type="dxa"/>
              <w:bottom w:w="0" w:type="dxa"/>
              <w:right w:w="62" w:type="dxa"/>
            </w:tcMar>
          </w:tcPr>
          <w:p w:rsidR="00000000" w:rsidRPr="00BF62B0" w:rsidP="00BF62B0">
            <w:pPr>
              <w:pStyle w:val="BodyText"/>
            </w:pPr>
            <w:r w:rsidRPr="00BF62B0">
              <w:t>Common Technical</w:t>
            </w:r>
          </w:p>
        </w:tc>
      </w:tr>
    </w:tbl>
    <w:p w:rsidR="005C2AF1" w:rsidP="00BF62B0">
      <w:pPr>
        <w:pStyle w:val="BodyText"/>
      </w:pPr>
    </w:p>
    <w:p w:rsidR="005C2AF1" w:rsidP="00BF62B0">
      <w:pPr>
        <w:pStyle w:val="BodyText"/>
      </w:pPr>
    </w:p>
    <w:p w:rsidR="00000000" w:rsidRPr="00BF62B0" w:rsidP="00BF62B0"/>
    <w:sectPr w:rsidSect="00BF62B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2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C2AF1" w:rsidP="005C2A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2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AF1" w:rsidP="00BF62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5C2AF1" w:rsidP="00BF62B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5C2AF1" w:rsidP="00BF62B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2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C2AF1" w:rsidP="005C2AF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2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AF1" w:rsidP="00BF62B0">
    <w:pPr>
      <w:pStyle w:val="Header"/>
      <w:framePr w:wrap="around"/>
    </w:pPr>
    <w:r>
      <w:fldChar w:fldCharType="begin"/>
    </w:r>
    <w:r>
      <w:instrText xml:space="preserve"> TITLE   \* MERGEFORMAT </w:instrText>
    </w:r>
    <w:r>
      <w:fldChar w:fldCharType="separate"/>
    </w:r>
    <w:r>
      <w:t>FPICOT6205A Prepare an enterprise carbon management report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C2AF1" w:rsidP="00BF62B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BA2EC9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552D75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62B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F62B0"/>
    <w:pPr>
      <w:spacing w:before="360" w:after="60"/>
      <w:outlineLvl w:val="0"/>
    </w:pPr>
    <w:rPr>
      <w:sz w:val="32"/>
    </w:rPr>
  </w:style>
  <w:style w:type="paragraph" w:styleId="Heading2">
    <w:name w:val="heading 2"/>
    <w:basedOn w:val="HeadingBase"/>
    <w:next w:val="BodyText"/>
    <w:link w:val="Heading2Char"/>
    <w:qFormat/>
    <w:rsid w:val="00BF62B0"/>
    <w:pPr>
      <w:keepLines/>
      <w:spacing w:before="240" w:after="120"/>
      <w:outlineLvl w:val="1"/>
    </w:pPr>
    <w:rPr>
      <w:sz w:val="28"/>
      <w:szCs w:val="40"/>
    </w:rPr>
  </w:style>
  <w:style w:type="paragraph" w:styleId="Heading3">
    <w:name w:val="heading 3"/>
    <w:basedOn w:val="HeadingBase"/>
    <w:next w:val="BodyText"/>
    <w:link w:val="Heading3Char"/>
    <w:qFormat/>
    <w:rsid w:val="00BF62B0"/>
    <w:pPr>
      <w:spacing w:before="180" w:after="120"/>
      <w:outlineLvl w:val="2"/>
    </w:pPr>
    <w:rPr>
      <w:spacing w:val="-10"/>
      <w:kern w:val="32"/>
    </w:rPr>
  </w:style>
  <w:style w:type="paragraph" w:styleId="Heading4">
    <w:name w:val="heading 4"/>
    <w:basedOn w:val="HeadingBase"/>
    <w:next w:val="BodyText"/>
    <w:link w:val="Heading4Char"/>
    <w:qFormat/>
    <w:rsid w:val="00BF62B0"/>
    <w:pPr>
      <w:spacing w:before="160" w:after="120"/>
      <w:outlineLvl w:val="3"/>
    </w:pPr>
    <w:rPr>
      <w:sz w:val="22"/>
    </w:rPr>
  </w:style>
  <w:style w:type="paragraph" w:styleId="Heading5">
    <w:name w:val="heading 5"/>
    <w:basedOn w:val="HeadingBase"/>
    <w:next w:val="Normal"/>
    <w:link w:val="Heading5Char"/>
    <w:qFormat/>
    <w:rsid w:val="00BF62B0"/>
    <w:pPr>
      <w:spacing w:before="80"/>
      <w:outlineLvl w:val="4"/>
    </w:pPr>
    <w:rPr>
      <w:color w:val="918585"/>
      <w:sz w:val="20"/>
    </w:rPr>
  </w:style>
  <w:style w:type="paragraph" w:styleId="Heading6">
    <w:name w:val="heading 6"/>
    <w:basedOn w:val="HeadingBase"/>
    <w:next w:val="Normal"/>
    <w:link w:val="Heading6Char"/>
    <w:qFormat/>
    <w:rsid w:val="00BF62B0"/>
    <w:pPr>
      <w:spacing w:before="60"/>
      <w:outlineLvl w:val="5"/>
    </w:pPr>
    <w:rPr>
      <w:color w:val="918585"/>
      <w:sz w:val="20"/>
    </w:rPr>
  </w:style>
  <w:style w:type="paragraph" w:styleId="Heading7">
    <w:name w:val="heading 7"/>
    <w:basedOn w:val="Normal"/>
    <w:next w:val="Normal"/>
    <w:link w:val="Heading7Char"/>
    <w:qFormat/>
    <w:rsid w:val="00BF62B0"/>
    <w:pPr>
      <w:ind w:left="720"/>
      <w:outlineLvl w:val="6"/>
    </w:pPr>
    <w:rPr>
      <w:i/>
    </w:rPr>
  </w:style>
  <w:style w:type="paragraph" w:styleId="Heading8">
    <w:name w:val="heading 8"/>
    <w:basedOn w:val="Normal"/>
    <w:next w:val="Normal"/>
    <w:link w:val="Heading8Char"/>
    <w:qFormat/>
    <w:rsid w:val="00BF62B0"/>
    <w:pPr>
      <w:ind w:left="720"/>
      <w:outlineLvl w:val="7"/>
    </w:pPr>
    <w:rPr>
      <w:i/>
    </w:rPr>
  </w:style>
  <w:style w:type="paragraph" w:styleId="Heading9">
    <w:name w:val="heading 9"/>
    <w:basedOn w:val="Normal"/>
    <w:next w:val="Normal"/>
    <w:link w:val="Heading9Char"/>
    <w:qFormat/>
    <w:rsid w:val="00BF62B0"/>
    <w:pPr>
      <w:ind w:left="720"/>
      <w:outlineLvl w:val="8"/>
    </w:pPr>
    <w:rPr>
      <w:i/>
    </w:rPr>
  </w:style>
  <w:style w:type="character" w:default="1" w:styleId="DefaultParagraphFont">
    <w:name w:val="Default Paragraph Font"/>
    <w:uiPriority w:val="1"/>
    <w:unhideWhenUsed/>
    <w:rsid w:val="00BF62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62B0"/>
  </w:style>
  <w:style w:type="character" w:customStyle="1" w:styleId="Heading1Char">
    <w:name w:val="Heading 1 Char"/>
    <w:basedOn w:val="DefaultParagraphFont"/>
    <w:link w:val="Heading1"/>
    <w:rsid w:val="00BF62B0"/>
    <w:rPr>
      <w:rFonts w:ascii="Times New Roman" w:eastAsia="Times New Roman" w:hAnsi="Times New Roman" w:cs="Times New Roman"/>
      <w:b/>
      <w:sz w:val="32"/>
      <w:szCs w:val="20"/>
      <w:lang w:eastAsia="en-US"/>
    </w:rPr>
  </w:style>
  <w:style w:type="paragraph" w:styleId="BodyText">
    <w:name w:val="Body Text"/>
    <w:basedOn w:val="Normal"/>
    <w:link w:val="BodyTextChar"/>
    <w:rsid w:val="00BF62B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F62B0"/>
    <w:rPr>
      <w:rFonts w:ascii="Times New Roman" w:eastAsia="Times New Roman" w:hAnsi="Times New Roman" w:cs="Times New Roman"/>
      <w:sz w:val="24"/>
      <w:lang w:val="en-US" w:eastAsia="en-US"/>
    </w:rPr>
  </w:style>
  <w:style w:type="paragraph" w:styleId="Footer">
    <w:name w:val="footer"/>
    <w:basedOn w:val="Normal"/>
    <w:link w:val="FooterChar"/>
    <w:rsid w:val="00BF62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62B0"/>
    <w:rPr>
      <w:rFonts w:ascii="Times New Roman" w:eastAsia="Times New Roman" w:hAnsi="Times New Roman" w:cs="Times New Roman"/>
      <w:sz w:val="16"/>
      <w:lang w:val="en-US" w:eastAsia="en-US"/>
    </w:rPr>
  </w:style>
  <w:style w:type="paragraph" w:styleId="List">
    <w:name w:val="List"/>
    <w:basedOn w:val="BodyText"/>
    <w:next w:val="BodyText"/>
    <w:rsid w:val="00BF62B0"/>
    <w:pPr>
      <w:tabs>
        <w:tab w:val="left" w:pos="340"/>
      </w:tabs>
      <w:spacing w:before="60" w:after="60"/>
      <w:ind w:left="340" w:hanging="340"/>
    </w:pPr>
  </w:style>
  <w:style w:type="paragraph" w:styleId="ListBullet">
    <w:name w:val="List Bullet"/>
    <w:basedOn w:val="List"/>
    <w:rsid w:val="00BF62B0"/>
    <w:pPr>
      <w:numPr>
        <w:numId w:val="13"/>
      </w:numPr>
      <w:tabs>
        <w:tab w:val="clear" w:pos="340"/>
      </w:tabs>
      <w:spacing w:before="40" w:after="40"/>
    </w:pPr>
  </w:style>
  <w:style w:type="character" w:customStyle="1" w:styleId="SpecialBold">
    <w:name w:val="Special Bold"/>
    <w:basedOn w:val="DefaultParagraphFont"/>
    <w:rsid w:val="00BF62B0"/>
    <w:rPr>
      <w:b/>
      <w:spacing w:val="0"/>
    </w:rPr>
  </w:style>
  <w:style w:type="paragraph" w:styleId="Header">
    <w:name w:val="header"/>
    <w:basedOn w:val="Normal"/>
    <w:link w:val="HeaderChar"/>
    <w:rsid w:val="00BF62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62B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F62B0"/>
    <w:pPr>
      <w:spacing w:before="240" w:after="120"/>
      <w:outlineLvl w:val="0"/>
    </w:pPr>
    <w:rPr>
      <w:rFonts w:ascii="Times New Roman" w:hAnsi="Times New Roman"/>
      <w:b/>
      <w:sz w:val="28"/>
    </w:rPr>
  </w:style>
  <w:style w:type="paragraph" w:customStyle="1" w:styleId="AllowPageBreak">
    <w:name w:val="AllowPageBreak"/>
    <w:rsid w:val="00BF62B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F62B0"/>
    <w:pPr>
      <w:tabs>
        <w:tab w:val="left" w:pos="680"/>
      </w:tabs>
      <w:spacing w:before="60" w:after="60"/>
      <w:ind w:left="680" w:hanging="340"/>
    </w:pPr>
  </w:style>
  <w:style w:type="paragraph" w:styleId="ListBullet3">
    <w:name w:val="List Bullet 3"/>
    <w:basedOn w:val="List3"/>
    <w:rsid w:val="00BF62B0"/>
    <w:pPr>
      <w:numPr>
        <w:numId w:val="2"/>
      </w:numPr>
      <w:tabs>
        <w:tab w:val="clear" w:pos="1021"/>
      </w:tabs>
      <w:ind w:left="1037" w:hanging="357"/>
    </w:pPr>
  </w:style>
  <w:style w:type="character" w:customStyle="1" w:styleId="BoldandItalics">
    <w:name w:val="Bold and Italics"/>
    <w:qFormat/>
    <w:rsid w:val="00BF62B0"/>
    <w:rPr>
      <w:b/>
      <w:i/>
      <w:u w:val="none"/>
    </w:rPr>
  </w:style>
  <w:style w:type="character" w:customStyle="1" w:styleId="Heading2Char">
    <w:name w:val="Heading 2 Char"/>
    <w:basedOn w:val="DefaultParagraphFont"/>
    <w:link w:val="Heading2"/>
    <w:rsid w:val="00BF62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62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62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62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62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62B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F62B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F62B0"/>
    <w:rPr>
      <w:rFonts w:ascii="Courier New" w:eastAsia="Times New Roman" w:hAnsi="Courier New" w:cs="Times New Roman"/>
      <w:i/>
      <w:szCs w:val="20"/>
      <w:lang w:val="en-US" w:eastAsia="en-US"/>
    </w:rPr>
  </w:style>
  <w:style w:type="paragraph" w:customStyle="1" w:styleId="HeadingBase">
    <w:name w:val="Heading Base"/>
    <w:rsid w:val="00BF62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62B0"/>
    <w:pPr>
      <w:tabs>
        <w:tab w:val="right" w:leader="dot" w:pos="9072"/>
      </w:tabs>
      <w:ind w:left="567"/>
    </w:pPr>
    <w:rPr>
      <w:szCs w:val="22"/>
    </w:rPr>
  </w:style>
  <w:style w:type="paragraph" w:customStyle="1" w:styleId="TOCBase">
    <w:name w:val="TOC Base"/>
    <w:rsid w:val="00BF62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62B0"/>
    <w:pPr>
      <w:tabs>
        <w:tab w:val="right" w:leader="dot" w:pos="9072"/>
      </w:tabs>
      <w:spacing w:before="40" w:after="40"/>
      <w:ind w:left="284"/>
    </w:pPr>
    <w:rPr>
      <w:rFonts w:ascii="Times New Roman" w:hAnsi="Times New Roman"/>
    </w:rPr>
  </w:style>
  <w:style w:type="paragraph" w:styleId="TOC1">
    <w:name w:val="toc 1"/>
    <w:basedOn w:val="TOCBase"/>
    <w:next w:val="Normal"/>
    <w:rsid w:val="00BF62B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F62B0"/>
    <w:pPr>
      <w:spacing w:before="5040"/>
      <w:jc w:val="center"/>
    </w:pPr>
    <w:rPr>
      <w:sz w:val="48"/>
      <w:szCs w:val="72"/>
      <w:lang w:val="en-US"/>
    </w:rPr>
  </w:style>
  <w:style w:type="character" w:customStyle="1" w:styleId="TitleChar">
    <w:name w:val="Title Char"/>
    <w:basedOn w:val="DefaultParagraphFont"/>
    <w:link w:val="Title"/>
    <w:rsid w:val="00BF62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62B0"/>
    <w:pPr>
      <w:tabs>
        <w:tab w:val="left" w:pos="3600"/>
        <w:tab w:val="left" w:pos="3958"/>
      </w:tabs>
    </w:pPr>
  </w:style>
  <w:style w:type="paragraph" w:customStyle="1" w:styleId="Note">
    <w:name w:val="Note"/>
    <w:basedOn w:val="BodyText"/>
    <w:rsid w:val="00BF62B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62B0"/>
    <w:pPr>
      <w:framePr w:wrap="auto" w:hAnchor="text" w:y="6049"/>
    </w:pPr>
    <w:rPr>
      <w:color w:val="000000"/>
      <w:sz w:val="40"/>
    </w:rPr>
  </w:style>
  <w:style w:type="paragraph" w:customStyle="1" w:styleId="TOCTitle">
    <w:name w:val="TOCTitle"/>
    <w:basedOn w:val="Heading1"/>
    <w:rsid w:val="00BF62B0"/>
    <w:pPr>
      <w:spacing w:after="240"/>
      <w:jc w:val="center"/>
      <w:outlineLvl w:val="9"/>
    </w:pPr>
    <w:rPr>
      <w:caps/>
    </w:rPr>
  </w:style>
  <w:style w:type="paragraph" w:customStyle="1" w:styleId="Version">
    <w:name w:val="Version"/>
    <w:rsid w:val="00BF62B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F62B0"/>
    <w:pPr>
      <w:numPr>
        <w:numId w:val="14"/>
      </w:numPr>
      <w:tabs>
        <w:tab w:val="clear" w:pos="680"/>
      </w:tabs>
    </w:pPr>
  </w:style>
  <w:style w:type="paragraph" w:styleId="Index1">
    <w:name w:val="index 1"/>
    <w:basedOn w:val="Normal"/>
    <w:next w:val="Normal"/>
    <w:semiHidden/>
    <w:rsid w:val="00BF62B0"/>
    <w:pPr>
      <w:keepNext w:val="0"/>
      <w:tabs>
        <w:tab w:val="right" w:pos="4176"/>
      </w:tabs>
      <w:ind w:left="198" w:hanging="198"/>
    </w:pPr>
    <w:rPr>
      <w:rFonts w:ascii="Garamond" w:hAnsi="Garamond"/>
    </w:rPr>
  </w:style>
  <w:style w:type="paragraph" w:styleId="IndexHeading">
    <w:name w:val="index heading"/>
    <w:basedOn w:val="Normal"/>
    <w:next w:val="Index1"/>
    <w:semiHidden/>
    <w:rsid w:val="00BF62B0"/>
    <w:pPr>
      <w:spacing w:before="120" w:after="120"/>
    </w:pPr>
    <w:rPr>
      <w:rFonts w:ascii="Arial" w:hAnsi="Arial"/>
      <w:b/>
      <w:color w:val="918585"/>
      <w:sz w:val="24"/>
    </w:rPr>
  </w:style>
  <w:style w:type="paragraph" w:customStyle="1" w:styleId="Chapter">
    <w:name w:val="Chapter"/>
    <w:basedOn w:val="Normal"/>
    <w:rsid w:val="00BF62B0"/>
    <w:pPr>
      <w:spacing w:before="240"/>
    </w:pPr>
    <w:rPr>
      <w:rFonts w:ascii="Times New Roman" w:hAnsi="Times New Roman"/>
      <w:smallCaps/>
      <w:spacing w:val="80"/>
      <w:sz w:val="28"/>
    </w:rPr>
  </w:style>
  <w:style w:type="paragraph" w:customStyle="1" w:styleId="InChapter">
    <w:name w:val="InChapter"/>
    <w:basedOn w:val="Heading3"/>
    <w:rsid w:val="00BF62B0"/>
    <w:pPr>
      <w:spacing w:after="240"/>
      <w:outlineLvl w:val="9"/>
    </w:pPr>
    <w:rPr>
      <w:noProof/>
    </w:rPr>
  </w:style>
  <w:style w:type="paragraph" w:styleId="Index2">
    <w:name w:val="index 2"/>
    <w:basedOn w:val="Normal"/>
    <w:next w:val="Normal"/>
    <w:semiHidden/>
    <w:rsid w:val="00BF62B0"/>
    <w:pPr>
      <w:tabs>
        <w:tab w:val="right" w:pos="4176"/>
      </w:tabs>
      <w:ind w:left="568" w:hanging="284"/>
    </w:pPr>
    <w:rPr>
      <w:rFonts w:ascii="Garamond" w:hAnsi="Garamond"/>
    </w:rPr>
  </w:style>
  <w:style w:type="paragraph" w:customStyle="1" w:styleId="Byline">
    <w:name w:val="Byline"/>
    <w:rsid w:val="00BF62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62B0"/>
    <w:pPr>
      <w:tabs>
        <w:tab w:val="clear" w:pos="3600"/>
        <w:tab w:val="clear" w:pos="3958"/>
      </w:tabs>
      <w:jc w:val="right"/>
    </w:pPr>
  </w:style>
  <w:style w:type="character" w:styleId="Emphasis">
    <w:name w:val="Emphasis"/>
    <w:basedOn w:val="DefaultParagraphFont"/>
    <w:qFormat/>
    <w:rsid w:val="00BF62B0"/>
    <w:rPr>
      <w:i/>
    </w:rPr>
  </w:style>
  <w:style w:type="paragraph" w:styleId="Caption">
    <w:name w:val="caption"/>
    <w:basedOn w:val="BodyText"/>
    <w:next w:val="Normal"/>
    <w:qFormat/>
    <w:rsid w:val="00BF62B0"/>
    <w:pPr>
      <w:framePr w:w="2268" w:hSpace="181" w:vSpace="181" w:wrap="around" w:vAnchor="text" w:hAnchor="page" w:x="1135" w:y="285" w:anchorLock="1"/>
    </w:pPr>
    <w:rPr>
      <w:i/>
    </w:rPr>
  </w:style>
  <w:style w:type="paragraph" w:customStyle="1" w:styleId="MiniTOCTitle">
    <w:name w:val="MiniTOCTitle"/>
    <w:basedOn w:val="Heading4"/>
    <w:rsid w:val="00BF62B0"/>
    <w:pPr>
      <w:spacing w:before="240"/>
      <w:outlineLvl w:val="9"/>
    </w:pPr>
    <w:rPr>
      <w:noProof/>
      <w:sz w:val="24"/>
    </w:rPr>
  </w:style>
  <w:style w:type="paragraph" w:customStyle="1" w:styleId="MiniTOCItem">
    <w:name w:val="MiniTOCItem"/>
    <w:basedOn w:val="ListBullet"/>
    <w:rsid w:val="00BF62B0"/>
    <w:pPr>
      <w:numPr>
        <w:numId w:val="0"/>
      </w:numPr>
      <w:tabs>
        <w:tab w:val="right" w:leader="dot" w:pos="6521"/>
      </w:tabs>
      <w:spacing w:before="0" w:after="0"/>
    </w:pPr>
  </w:style>
  <w:style w:type="paragraph" w:customStyle="1" w:styleId="TOFTitle">
    <w:name w:val="TOFTitle"/>
    <w:basedOn w:val="TOCTitle"/>
    <w:rsid w:val="00BF62B0"/>
  </w:style>
  <w:style w:type="paragraph" w:styleId="TableofFigures">
    <w:name w:val="table of figures"/>
    <w:basedOn w:val="Normal"/>
    <w:next w:val="Normal"/>
    <w:semiHidden/>
    <w:rsid w:val="00BF62B0"/>
    <w:pPr>
      <w:tabs>
        <w:tab w:val="right" w:leader="dot" w:pos="9072"/>
      </w:tabs>
      <w:ind w:left="970" w:hanging="403"/>
    </w:pPr>
    <w:rPr>
      <w:rFonts w:ascii="Times New Roman" w:hAnsi="Times New Roman"/>
      <w:b/>
    </w:rPr>
  </w:style>
  <w:style w:type="paragraph" w:styleId="ListNumber">
    <w:name w:val="List Number"/>
    <w:basedOn w:val="List"/>
    <w:rsid w:val="00BF62B0"/>
    <w:pPr>
      <w:numPr>
        <w:numId w:val="11"/>
      </w:numPr>
    </w:pPr>
  </w:style>
  <w:style w:type="character" w:customStyle="1" w:styleId="WingdingSymbols">
    <w:name w:val="Wingding Symbols"/>
    <w:rsid w:val="00BF62B0"/>
    <w:rPr>
      <w:rFonts w:ascii="Wingdings" w:hAnsi="Wingdings"/>
    </w:rPr>
  </w:style>
  <w:style w:type="paragraph" w:customStyle="1" w:styleId="TableHeading">
    <w:name w:val="Table Heading"/>
    <w:basedOn w:val="HeadingBase"/>
    <w:rsid w:val="00BF62B0"/>
    <w:pPr>
      <w:keepLines/>
      <w:pBdr>
        <w:bottom w:val="single" w:sz="6" w:space="1" w:color="918585"/>
      </w:pBdr>
      <w:spacing w:before="240"/>
    </w:pPr>
  </w:style>
  <w:style w:type="character" w:customStyle="1" w:styleId="HotSpot">
    <w:name w:val="HotSpot"/>
    <w:rsid w:val="00BF62B0"/>
    <w:rPr>
      <w:color w:val="0033CC"/>
      <w:u w:val="none"/>
    </w:rPr>
  </w:style>
  <w:style w:type="paragraph" w:customStyle="1" w:styleId="BodyTextRight">
    <w:name w:val="Body Text Right"/>
    <w:basedOn w:val="BodyText"/>
    <w:rsid w:val="00BF62B0"/>
    <w:pPr>
      <w:spacing w:before="0" w:after="0"/>
      <w:jc w:val="right"/>
    </w:pPr>
  </w:style>
  <w:style w:type="paragraph" w:styleId="Index3">
    <w:name w:val="index 3"/>
    <w:basedOn w:val="ListNumber2"/>
    <w:next w:val="Normal"/>
    <w:semiHidden/>
    <w:rsid w:val="00BF62B0"/>
    <w:pPr>
      <w:numPr>
        <w:numId w:val="0"/>
      </w:numPr>
      <w:tabs>
        <w:tab w:val="right" w:leader="dot" w:pos="4176"/>
      </w:tabs>
    </w:pPr>
  </w:style>
  <w:style w:type="paragraph" w:styleId="ListNumber2">
    <w:name w:val="List Number 2"/>
    <w:basedOn w:val="List2"/>
    <w:rsid w:val="00BF62B0"/>
    <w:pPr>
      <w:numPr>
        <w:numId w:val="10"/>
      </w:numPr>
      <w:tabs>
        <w:tab w:val="clear" w:pos="1060"/>
      </w:tabs>
    </w:pPr>
  </w:style>
  <w:style w:type="paragraph" w:customStyle="1" w:styleId="MarginNote">
    <w:name w:val="Margin Note"/>
    <w:basedOn w:val="BodyText"/>
    <w:rsid w:val="00BF62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62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62B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F62B0"/>
    <w:rPr>
      <w:sz w:val="32"/>
    </w:rPr>
  </w:style>
  <w:style w:type="paragraph" w:customStyle="1" w:styleId="HeadingProcedure">
    <w:name w:val="Heading Procedure"/>
    <w:basedOn w:val="HeadingBase"/>
    <w:next w:val="Normal"/>
    <w:rsid w:val="00BF62B0"/>
    <w:pPr>
      <w:tabs>
        <w:tab w:val="left" w:pos="0"/>
      </w:tabs>
      <w:spacing w:before="120" w:after="60"/>
    </w:pPr>
    <w:rPr>
      <w:i/>
      <w:color w:val="918585"/>
      <w:sz w:val="22"/>
    </w:rPr>
  </w:style>
  <w:style w:type="paragraph" w:customStyle="1" w:styleId="TableBodyText">
    <w:name w:val="Table Body Text"/>
    <w:basedOn w:val="BodyText"/>
    <w:rsid w:val="00BF62B0"/>
    <w:pPr>
      <w:spacing w:before="60" w:after="60"/>
    </w:pPr>
  </w:style>
  <w:style w:type="paragraph" w:styleId="ListContinue">
    <w:name w:val="List Continue"/>
    <w:basedOn w:val="List"/>
    <w:rsid w:val="00BF62B0"/>
    <w:pPr>
      <w:ind w:firstLine="0"/>
    </w:pPr>
  </w:style>
  <w:style w:type="paragraph" w:customStyle="1" w:styleId="ListNote">
    <w:name w:val="List Note"/>
    <w:basedOn w:val="List"/>
    <w:rsid w:val="00BF62B0"/>
    <w:pPr>
      <w:pBdr>
        <w:top w:val="single" w:sz="6" w:space="2" w:color="918585"/>
        <w:bottom w:val="single" w:sz="6" w:space="2" w:color="918585"/>
      </w:pBdr>
      <w:tabs>
        <w:tab w:val="left" w:pos="1021"/>
      </w:tabs>
      <w:ind w:firstLine="0"/>
    </w:pPr>
  </w:style>
  <w:style w:type="paragraph" w:customStyle="1" w:styleId="Warning">
    <w:name w:val="Warning"/>
    <w:basedOn w:val="BodyText"/>
    <w:rsid w:val="00BF62B0"/>
    <w:pPr>
      <w:shd w:val="clear" w:color="auto" w:fill="D9D9D9"/>
      <w:tabs>
        <w:tab w:val="left" w:pos="992"/>
      </w:tabs>
      <w:ind w:left="119" w:right="119"/>
    </w:pPr>
    <w:rPr>
      <w:sz w:val="20"/>
    </w:rPr>
  </w:style>
  <w:style w:type="paragraph" w:customStyle="1" w:styleId="MarginIcons">
    <w:name w:val="Margin Icons"/>
    <w:basedOn w:val="BodyText"/>
    <w:rsid w:val="00BF62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62B0"/>
    <w:rPr>
      <w:rFonts w:ascii="Courier New" w:hAnsi="Courier New"/>
    </w:rPr>
  </w:style>
  <w:style w:type="paragraph" w:customStyle="1" w:styleId="NoteBullet">
    <w:name w:val="Note Bullet"/>
    <w:basedOn w:val="Note"/>
    <w:rsid w:val="00BF62B0"/>
    <w:pPr>
      <w:tabs>
        <w:tab w:val="clear" w:pos="680"/>
      </w:tabs>
      <w:spacing w:before="60" w:after="60"/>
    </w:pPr>
  </w:style>
  <w:style w:type="paragraph" w:customStyle="1" w:styleId="SubHeading2">
    <w:name w:val="SubHeading2"/>
    <w:basedOn w:val="HeadingBase"/>
    <w:rsid w:val="00BF62B0"/>
    <w:pPr>
      <w:spacing w:before="240" w:after="60"/>
    </w:pPr>
    <w:rPr>
      <w:sz w:val="20"/>
    </w:rPr>
  </w:style>
  <w:style w:type="paragraph" w:customStyle="1" w:styleId="SubHeading1">
    <w:name w:val="SubHeading1"/>
    <w:basedOn w:val="HeadingBase"/>
    <w:rsid w:val="00BF62B0"/>
    <w:pPr>
      <w:spacing w:before="240" w:after="60"/>
    </w:pPr>
    <w:rPr>
      <w:color w:val="918585"/>
      <w:sz w:val="22"/>
    </w:rPr>
  </w:style>
  <w:style w:type="paragraph" w:customStyle="1" w:styleId="SideHeading">
    <w:name w:val="Side Heading"/>
    <w:basedOn w:val="HeadingBase"/>
    <w:rsid w:val="00BF62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62B0"/>
    <w:pPr>
      <w:numPr>
        <w:numId w:val="12"/>
      </w:numPr>
    </w:pPr>
  </w:style>
  <w:style w:type="paragraph" w:styleId="PlainText">
    <w:name w:val="Plain Text"/>
    <w:basedOn w:val="Normal"/>
    <w:link w:val="PlainTextChar"/>
    <w:rsid w:val="00BF62B0"/>
    <w:rPr>
      <w:sz w:val="20"/>
    </w:rPr>
  </w:style>
  <w:style w:type="character" w:customStyle="1" w:styleId="PlainTextChar">
    <w:name w:val="Plain Text Char"/>
    <w:basedOn w:val="DefaultParagraphFont"/>
    <w:link w:val="PlainText"/>
    <w:rsid w:val="00BF62B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F62B0"/>
    <w:rPr>
      <w:b/>
      <w:smallCaps/>
    </w:rPr>
  </w:style>
  <w:style w:type="paragraph" w:customStyle="1" w:styleId="TableListNumber">
    <w:name w:val="Table List Number"/>
    <w:basedOn w:val="ListNumber"/>
    <w:rsid w:val="00BF62B0"/>
    <w:pPr>
      <w:numPr>
        <w:numId w:val="0"/>
      </w:numPr>
    </w:pPr>
  </w:style>
  <w:style w:type="paragraph" w:styleId="TOC4">
    <w:name w:val="toc 4"/>
    <w:basedOn w:val="TOCBase"/>
    <w:next w:val="Normal"/>
    <w:semiHidden/>
    <w:rsid w:val="00BF62B0"/>
    <w:pPr>
      <w:tabs>
        <w:tab w:val="right" w:leader="dot" w:pos="9071"/>
      </w:tabs>
      <w:ind w:left="1701"/>
    </w:pPr>
  </w:style>
  <w:style w:type="paragraph" w:customStyle="1" w:styleId="ListAlpha">
    <w:name w:val="List Alpha"/>
    <w:basedOn w:val="List"/>
    <w:rsid w:val="00BF62B0"/>
    <w:pPr>
      <w:numPr>
        <w:numId w:val="9"/>
      </w:numPr>
    </w:pPr>
  </w:style>
  <w:style w:type="paragraph" w:customStyle="1" w:styleId="ListAlpha2">
    <w:name w:val="List Alpha 2"/>
    <w:basedOn w:val="List2"/>
    <w:rsid w:val="00BF62B0"/>
    <w:pPr>
      <w:numPr>
        <w:numId w:val="8"/>
      </w:numPr>
    </w:pPr>
  </w:style>
  <w:style w:type="paragraph" w:styleId="List3">
    <w:name w:val="List 3"/>
    <w:basedOn w:val="BodyText"/>
    <w:rsid w:val="00BF62B0"/>
    <w:pPr>
      <w:tabs>
        <w:tab w:val="left" w:pos="1021"/>
      </w:tabs>
      <w:spacing w:before="60" w:after="60"/>
      <w:ind w:left="1020" w:hanging="340"/>
    </w:pPr>
  </w:style>
  <w:style w:type="paragraph" w:styleId="List4">
    <w:name w:val="List 4"/>
    <w:basedOn w:val="BodyText"/>
    <w:rsid w:val="00BF62B0"/>
    <w:pPr>
      <w:tabs>
        <w:tab w:val="left" w:pos="1361"/>
      </w:tabs>
      <w:spacing w:before="60" w:after="60"/>
      <w:ind w:left="1361" w:hanging="340"/>
    </w:pPr>
  </w:style>
  <w:style w:type="paragraph" w:styleId="List5">
    <w:name w:val="List 5"/>
    <w:basedOn w:val="BodyText"/>
    <w:rsid w:val="00BF62B0"/>
    <w:pPr>
      <w:tabs>
        <w:tab w:val="left" w:pos="1701"/>
      </w:tabs>
      <w:spacing w:before="60" w:after="60"/>
      <w:ind w:left="1701" w:hanging="340"/>
    </w:pPr>
  </w:style>
  <w:style w:type="paragraph" w:styleId="ListBullet4">
    <w:name w:val="List Bullet 4"/>
    <w:basedOn w:val="List4"/>
    <w:rsid w:val="00BF62B0"/>
    <w:pPr>
      <w:numPr>
        <w:numId w:val="3"/>
      </w:numPr>
    </w:pPr>
  </w:style>
  <w:style w:type="paragraph" w:styleId="ListBullet5">
    <w:name w:val="List Bullet 5"/>
    <w:basedOn w:val="List5"/>
    <w:rsid w:val="00BF62B0"/>
    <w:pPr>
      <w:numPr>
        <w:numId w:val="4"/>
      </w:numPr>
    </w:pPr>
  </w:style>
  <w:style w:type="paragraph" w:styleId="ListContinue2">
    <w:name w:val="List Continue 2"/>
    <w:basedOn w:val="List2"/>
    <w:rsid w:val="00BF62B0"/>
    <w:pPr>
      <w:ind w:firstLine="0"/>
    </w:pPr>
  </w:style>
  <w:style w:type="paragraph" w:styleId="ListContinue3">
    <w:name w:val="List Continue 3"/>
    <w:basedOn w:val="List3"/>
    <w:rsid w:val="00BF62B0"/>
    <w:pPr>
      <w:ind w:left="1021" w:firstLine="0"/>
    </w:pPr>
  </w:style>
  <w:style w:type="paragraph" w:styleId="ListContinue4">
    <w:name w:val="List Continue 4"/>
    <w:basedOn w:val="List4"/>
    <w:rsid w:val="00BF62B0"/>
    <w:pPr>
      <w:ind w:firstLine="0"/>
    </w:pPr>
  </w:style>
  <w:style w:type="paragraph" w:styleId="ListContinue5">
    <w:name w:val="List Continue 5"/>
    <w:basedOn w:val="List5"/>
    <w:rsid w:val="00BF62B0"/>
    <w:pPr>
      <w:ind w:firstLine="0"/>
    </w:pPr>
  </w:style>
  <w:style w:type="paragraph" w:styleId="ListNumber3">
    <w:name w:val="List Number 3"/>
    <w:basedOn w:val="List3"/>
    <w:rsid w:val="00BF62B0"/>
    <w:pPr>
      <w:numPr>
        <w:numId w:val="5"/>
      </w:numPr>
    </w:pPr>
  </w:style>
  <w:style w:type="paragraph" w:styleId="ListNumber4">
    <w:name w:val="List Number 4"/>
    <w:basedOn w:val="List4"/>
    <w:rsid w:val="00BF62B0"/>
    <w:pPr>
      <w:numPr>
        <w:numId w:val="6"/>
      </w:numPr>
    </w:pPr>
  </w:style>
  <w:style w:type="paragraph" w:styleId="ListNumber5">
    <w:name w:val="List Number 5"/>
    <w:basedOn w:val="List5"/>
    <w:rsid w:val="00BF62B0"/>
    <w:pPr>
      <w:numPr>
        <w:numId w:val="7"/>
      </w:numPr>
    </w:pPr>
  </w:style>
  <w:style w:type="paragraph" w:styleId="BlockText">
    <w:name w:val="Block Text"/>
    <w:basedOn w:val="Normal"/>
    <w:rsid w:val="00BF62B0"/>
    <w:pPr>
      <w:spacing w:after="120"/>
      <w:ind w:left="1440" w:right="1440"/>
    </w:pPr>
  </w:style>
  <w:style w:type="character" w:customStyle="1" w:styleId="Subscript">
    <w:name w:val="Subscript"/>
    <w:basedOn w:val="DefaultParagraphFont"/>
    <w:rsid w:val="00BF62B0"/>
    <w:rPr>
      <w:sz w:val="16"/>
      <w:vertAlign w:val="subscript"/>
    </w:rPr>
  </w:style>
  <w:style w:type="character" w:customStyle="1" w:styleId="Superscript">
    <w:name w:val="Superscript"/>
    <w:basedOn w:val="DefaultParagraphFont"/>
    <w:rsid w:val="00BF62B0"/>
    <w:rPr>
      <w:sz w:val="16"/>
      <w:vertAlign w:val="superscript"/>
    </w:rPr>
  </w:style>
  <w:style w:type="character" w:customStyle="1" w:styleId="Symbols">
    <w:name w:val="Symbols"/>
    <w:basedOn w:val="DefaultParagraphFont"/>
    <w:rsid w:val="00BF62B0"/>
    <w:rPr>
      <w:rFonts w:ascii="Symbol" w:hAnsi="Symbol"/>
    </w:rPr>
  </w:style>
  <w:style w:type="character" w:customStyle="1" w:styleId="MenuOptions">
    <w:name w:val="Menu Options"/>
    <w:basedOn w:val="DefaultParagraphFont"/>
    <w:rsid w:val="00BF62B0"/>
    <w:rPr>
      <w:rFonts w:ascii="Arial Narrow" w:hAnsi="Arial Narrow"/>
      <w:smallCaps/>
    </w:rPr>
  </w:style>
  <w:style w:type="character" w:customStyle="1" w:styleId="Buttons">
    <w:name w:val="Buttons"/>
    <w:basedOn w:val="DefaultParagraphFont"/>
    <w:rsid w:val="00BF62B0"/>
    <w:rPr>
      <w:b/>
    </w:rPr>
  </w:style>
  <w:style w:type="character" w:customStyle="1" w:styleId="Underlined">
    <w:name w:val="Underlined"/>
    <w:basedOn w:val="DefaultParagraphFont"/>
    <w:rsid w:val="00BF62B0"/>
    <w:rPr>
      <w:u w:val="single"/>
    </w:rPr>
  </w:style>
  <w:style w:type="paragraph" w:customStyle="1" w:styleId="TableBodyTextRight">
    <w:name w:val="Table Body Text Right"/>
    <w:basedOn w:val="TableBodyText"/>
    <w:rsid w:val="00BF62B0"/>
    <w:pPr>
      <w:widowControl w:val="0"/>
      <w:autoSpaceDE w:val="0"/>
      <w:autoSpaceDN w:val="0"/>
      <w:adjustRightInd w:val="0"/>
      <w:jc w:val="right"/>
    </w:pPr>
    <w:rPr>
      <w:rFonts w:cs="Arial"/>
      <w:szCs w:val="18"/>
    </w:rPr>
  </w:style>
  <w:style w:type="paragraph" w:customStyle="1" w:styleId="CopyrightText">
    <w:name w:val="Copyright Text"/>
    <w:basedOn w:val="BodyText"/>
    <w:rsid w:val="00BF62B0"/>
    <w:rPr>
      <w:sz w:val="18"/>
    </w:rPr>
  </w:style>
  <w:style w:type="paragraph" w:customStyle="1" w:styleId="BodySmallRight">
    <w:name w:val="Body Small Right"/>
    <w:basedOn w:val="BodyTextRight"/>
    <w:rsid w:val="00BF62B0"/>
    <w:rPr>
      <w:sz w:val="18"/>
      <w:szCs w:val="18"/>
    </w:rPr>
  </w:style>
  <w:style w:type="paragraph" w:customStyle="1" w:styleId="MarginEdition">
    <w:name w:val="Margin Edition"/>
    <w:basedOn w:val="MarginNote"/>
    <w:rsid w:val="00BF62B0"/>
    <w:pPr>
      <w:spacing w:before="0" w:after="0"/>
    </w:pPr>
    <w:rPr>
      <w:rFonts w:ascii="Times New Roman" w:hAnsi="Times New Roman"/>
      <w:color w:val="999999"/>
    </w:rPr>
  </w:style>
  <w:style w:type="paragraph" w:customStyle="1" w:styleId="Spacer">
    <w:name w:val="Spacer"/>
    <w:basedOn w:val="Normal"/>
    <w:rsid w:val="00BF62B0"/>
    <w:rPr>
      <w:sz w:val="2"/>
      <w:szCs w:val="2"/>
    </w:rPr>
  </w:style>
  <w:style w:type="character" w:customStyle="1" w:styleId="Small">
    <w:name w:val="Small"/>
    <w:basedOn w:val="DefaultParagraphFont"/>
    <w:rsid w:val="00BF62B0"/>
    <w:rPr>
      <w:sz w:val="16"/>
    </w:rPr>
  </w:style>
  <w:style w:type="paragraph" w:customStyle="1" w:styleId="WideTable">
    <w:name w:val="Wide Table"/>
    <w:basedOn w:val="Normal"/>
    <w:rsid w:val="00BF62B0"/>
    <w:pPr>
      <w:ind w:left="-1418"/>
    </w:pPr>
    <w:rPr>
      <w:sz w:val="2"/>
      <w:szCs w:val="2"/>
    </w:rPr>
  </w:style>
  <w:style w:type="character" w:styleId="PageNumber">
    <w:name w:val="page number"/>
    <w:basedOn w:val="DefaultParagraphFont"/>
    <w:rsid w:val="00BF62B0"/>
  </w:style>
  <w:style w:type="paragraph" w:styleId="Quote">
    <w:name w:val="Quote"/>
    <w:basedOn w:val="Heading1"/>
    <w:link w:val="QuoteChar"/>
    <w:qFormat/>
    <w:rsid w:val="00BF62B0"/>
    <w:rPr>
      <w:b w:val="0"/>
      <w:sz w:val="72"/>
      <w:szCs w:val="72"/>
      <w:lang w:val="en-NZ"/>
    </w:rPr>
  </w:style>
  <w:style w:type="character" w:customStyle="1" w:styleId="QuoteChar">
    <w:name w:val="Quote Char"/>
    <w:basedOn w:val="DefaultParagraphFont"/>
    <w:link w:val="Quote"/>
    <w:rsid w:val="00BF62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62B0"/>
    <w:pPr>
      <w:pageBreakBefore/>
    </w:pPr>
  </w:style>
  <w:style w:type="paragraph" w:customStyle="1" w:styleId="Border">
    <w:name w:val="Border"/>
    <w:basedOn w:val="Normal"/>
    <w:qFormat/>
    <w:rsid w:val="00BF62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62B0"/>
    <w:rPr>
      <w:b/>
      <w:bCs/>
      <w:i/>
      <w:iCs/>
      <w:color w:val="auto"/>
    </w:rPr>
  </w:style>
  <w:style w:type="paragraph" w:styleId="IntenseQuote">
    <w:name w:val="Intense Quote"/>
    <w:basedOn w:val="Normal"/>
    <w:next w:val="Normal"/>
    <w:link w:val="IntenseQuoteChar"/>
    <w:uiPriority w:val="30"/>
    <w:qFormat/>
    <w:rsid w:val="00BF62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62B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F62B0"/>
    <w:rPr>
      <w:smallCaps/>
      <w:color w:val="auto"/>
      <w:u w:val="single"/>
    </w:rPr>
  </w:style>
  <w:style w:type="character" w:styleId="IntenseReference">
    <w:name w:val="Intense Reference"/>
    <w:basedOn w:val="DefaultParagraphFont"/>
    <w:uiPriority w:val="32"/>
    <w:qFormat/>
    <w:rsid w:val="00BF62B0"/>
    <w:rPr>
      <w:b/>
      <w:bCs/>
      <w:smallCaps/>
      <w:color w:val="auto"/>
      <w:spacing w:val="5"/>
      <w:u w:val="single"/>
    </w:rPr>
  </w:style>
  <w:style w:type="paragraph" w:customStyle="1" w:styleId="2ColumnHeading">
    <w:name w:val="2Column Heading"/>
    <w:basedOn w:val="BodyText"/>
    <w:qFormat/>
    <w:rsid w:val="00BF62B0"/>
    <w:pPr>
      <w:spacing w:after="60"/>
      <w:ind w:left="-2268"/>
    </w:pPr>
    <w:rPr>
      <w:b/>
    </w:rPr>
  </w:style>
  <w:style w:type="paragraph" w:customStyle="1" w:styleId="Heading1TOC">
    <w:name w:val="Heading1 TOC"/>
    <w:basedOn w:val="Normal"/>
    <w:qFormat/>
    <w:rsid w:val="00BF62B0"/>
    <w:pPr>
      <w:spacing w:before="240" w:after="120"/>
    </w:pPr>
    <w:rPr>
      <w:rFonts w:ascii="Times New Roman" w:hAnsi="Times New Roman"/>
      <w:b/>
      <w:sz w:val="32"/>
    </w:rPr>
  </w:style>
  <w:style w:type="paragraph" w:customStyle="1" w:styleId="Heading2TOC">
    <w:name w:val="Heading2 TOC"/>
    <w:basedOn w:val="Normal"/>
    <w:qFormat/>
    <w:rsid w:val="00BF62B0"/>
    <w:pPr>
      <w:spacing w:before="240" w:after="60"/>
    </w:pPr>
    <w:rPr>
      <w:rFonts w:ascii="Times New Roman" w:hAnsi="Times New Roman"/>
      <w:b/>
      <w:sz w:val="28"/>
    </w:rPr>
  </w:style>
  <w:style w:type="character" w:customStyle="1" w:styleId="Underline">
    <w:name w:val="Underline"/>
    <w:basedOn w:val="DefaultParagraphFont"/>
    <w:qFormat/>
    <w:rsid w:val="00BF62B0"/>
    <w:rPr>
      <w:u w:val="single"/>
    </w:rPr>
  </w:style>
  <w:style w:type="paragraph" w:styleId="BalloonText">
    <w:name w:val="Balloon Text"/>
    <w:basedOn w:val="Normal"/>
    <w:link w:val="BalloonTextChar"/>
    <w:rsid w:val="00BF62B0"/>
    <w:rPr>
      <w:rFonts w:ascii="Tahoma" w:hAnsi="Tahoma" w:cs="Tahoma"/>
      <w:sz w:val="16"/>
      <w:szCs w:val="16"/>
    </w:rPr>
  </w:style>
  <w:style w:type="character" w:customStyle="1" w:styleId="BalloonTextChar">
    <w:name w:val="Balloon Text Char"/>
    <w:basedOn w:val="DefaultParagraphFont"/>
    <w:link w:val="BalloonText"/>
    <w:rsid w:val="00BF62B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F62B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F62B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1654</Words>
  <Characters>10854</Characters>
  <Application>Microsoft Office Word</Application>
  <DocSecurity>0</DocSecurity>
  <Lines>357</Lines>
  <Paragraphs>198</Paragraphs>
  <ScaleCrop>false</ScaleCrop>
  <Company>Author-it Software Corporation Ltd.</Company>
  <LinksUpToDate>false</LinksUpToDate>
  <CharactersWithSpaces>12439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FPICOT6205A Prepare an enterprise carbon management report</dc:title>
  <dc:subject>Approved</dc:subject>
  <dc:creator>Forestworks Learning and Skill Development</dc:creator>
  <cp:keywords>Release: 1</cp:keywords>
  <dc:description>Copyright © 1996-2007 Author-it Software Corporation Ltd., all rights reserved.</dc:description>
  <cp:lastModifiedBy>Craig Taylor</cp:lastModifiedBy>
  <cp:revision>3</cp:revision>
  <dcterms:created xsi:type="dcterms:W3CDTF">2012-05-26T07:09:00Z</dcterms:created>
  <dcterms:modified xsi:type="dcterms:W3CDTF">2012-05-26T07:09:00Z</dcterms:modified>
</cp:coreProperties>
</file>