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C63" w:rsidP="00BC7C63">
      <w:pPr>
        <w:pStyle w:val="Title"/>
      </w:pPr>
      <w:r>
        <w:fldChar w:fldCharType="begin"/>
      </w:r>
      <w:r>
        <w:instrText xml:space="preserve"> TITLE   \* MERGEFORMAT </w:instrText>
      </w:r>
      <w:r>
        <w:fldChar w:fldCharType="separate"/>
      </w:r>
      <w:r>
        <w:t>FPICOT3253A Convert timber residue into products for further use</w:t>
      </w:r>
      <w:r>
        <w:fldChar w:fldCharType="end"/>
      </w:r>
    </w:p>
    <w:p w:rsidR="00BC7C63" w:rsidP="00BC7C63">
      <w:pPr>
        <w:pStyle w:val="Version"/>
        <w:sectPr w:rsidSect="006F2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D79" w:rsidP="006F2D79">
      <w:pPr>
        <w:pStyle w:val="SuperHeading"/>
      </w:pPr>
      <w:r w:rsidRPr="006F2D79">
        <w:t>FPICOT3253A Convert timber residue into products for further use</w:t>
      </w:r>
    </w:p>
    <w:p w:rsidR="00000000" w:rsidRPr="006F2D79" w:rsidP="006F2D79">
      <w:pPr>
        <w:pStyle w:val="Heading1"/>
      </w:pPr>
      <w:bookmarkStart w:id="1" w:name="O_270586"/>
      <w:bookmarkEnd w:id="1"/>
      <w:r w:rsidRPr="006F2D79">
        <w:t>Modification History</w:t>
      </w:r>
    </w:p>
    <w:p w:rsidR="00000000" w:rsidRPr="006F2D79" w:rsidP="006F2D79">
      <w:pPr>
        <w:pStyle w:val="BodyText"/>
      </w:pPr>
      <w:r w:rsidRPr="006F2D79">
        <w:t>Not Applicable</w:t>
      </w:r>
    </w:p>
    <w:p w:rsidR="00000000" w:rsidRPr="006F2D79" w:rsidP="006F2D79">
      <w:pPr>
        <w:pStyle w:val="AllowPageBreak"/>
      </w:pPr>
    </w:p>
    <w:p w:rsidR="00000000" w:rsidRPr="006F2D79" w:rsidP="006F2D79">
      <w:pPr>
        <w:pStyle w:val="Heading1"/>
      </w:pPr>
      <w:bookmarkStart w:id="2" w:name="O_203455"/>
      <w:bookmarkEnd w:id="2"/>
      <w:r w:rsidRPr="006F2D79">
        <w:t>Unit Descriptor</w:t>
      </w:r>
    </w:p>
    <w:tbl>
      <w:tblPr>
        <w:tblW w:w="0" w:type="auto"/>
        <w:tblLayout w:type="fixed"/>
        <w:tblCellMar>
          <w:left w:w="62" w:type="dxa"/>
          <w:right w:w="62" w:type="dxa"/>
        </w:tblCellMar>
        <w:tblLook w:val="0000"/>
      </w:tblPr>
      <w:tblGrid>
        <w:gridCol w:w="2664"/>
        <w:gridCol w:w="5858"/>
      </w:tblGrid>
      <w:tr w:rsidTr="00BC7C63">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This unit describes the outcomes required to convert timber residue from a process int</w:t>
            </w:r>
            <w:r w:rsidRPr="006F2D79">
              <w:t>o products designed for further use</w:t>
            </w:r>
          </w:p>
          <w:p w:rsidR="00000000" w:rsidRPr="006F2D79" w:rsidP="006F2D79">
            <w:pPr>
              <w:pStyle w:val="BodyText"/>
            </w:pPr>
            <w:r w:rsidRPr="006F2D79">
              <w:t>General workplace legislative and regulatory requirements apply to this unit; however there are no specific licensing or certification requirements at the time of publication</w:t>
            </w:r>
          </w:p>
        </w:tc>
      </w:tr>
    </w:tbl>
    <w:p w:rsidR="00BC7C63" w:rsidP="006F2D79">
      <w:pPr>
        <w:pStyle w:val="BodyText"/>
      </w:pPr>
    </w:p>
    <w:p w:rsidR="00BC7C63" w:rsidP="006F2D79">
      <w:pPr>
        <w:pStyle w:val="BodyText"/>
      </w:pPr>
    </w:p>
    <w:p w:rsidR="00000000" w:rsidRPr="006F2D79" w:rsidP="006F2D79">
      <w:pPr>
        <w:pStyle w:val="Heading1"/>
      </w:pPr>
      <w:bookmarkStart w:id="3" w:name="O_203457"/>
      <w:bookmarkEnd w:id="3"/>
      <w:r w:rsidRPr="006F2D79">
        <w:t>Application of the Unit</w:t>
      </w:r>
    </w:p>
    <w:tbl>
      <w:tblPr>
        <w:tblW w:w="0" w:type="auto"/>
        <w:tblLayout w:type="fixed"/>
        <w:tblCellMar>
          <w:left w:w="62" w:type="dxa"/>
          <w:right w:w="62" w:type="dxa"/>
        </w:tblCellMar>
        <w:tblLook w:val="0000"/>
      </w:tblPr>
      <w:tblGrid>
        <w:gridCol w:w="2743"/>
        <w:gridCol w:w="5779"/>
      </w:tblGrid>
      <w:tr w:rsidTr="00BC7C63">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The unit involves converting timber residue in a variety of settings including:</w:t>
            </w:r>
          </w:p>
          <w:p w:rsidR="00000000" w:rsidRPr="006F2D79" w:rsidP="006F2D79">
            <w:pPr>
              <w:pStyle w:val="ListBullet"/>
            </w:pPr>
            <w:r w:rsidRPr="006F2D79">
              <w:t>saw mill</w:t>
            </w:r>
          </w:p>
          <w:p w:rsidR="00000000" w:rsidRPr="006F2D79" w:rsidP="006F2D79">
            <w:pPr>
              <w:pStyle w:val="ListBullet"/>
            </w:pPr>
            <w:r w:rsidRPr="006F2D79">
              <w:t>wood chip mill</w:t>
            </w:r>
          </w:p>
          <w:p w:rsidR="00000000" w:rsidRPr="006F2D79" w:rsidP="006F2D79">
            <w:pPr>
              <w:pStyle w:val="ListBullet"/>
            </w:pPr>
            <w:r w:rsidRPr="006F2D79">
              <w:t>veneer mill</w:t>
            </w:r>
          </w:p>
          <w:p w:rsidR="00000000" w:rsidRPr="006F2D79" w:rsidP="006F2D79">
            <w:pPr>
              <w:pStyle w:val="ListBullet"/>
            </w:pPr>
            <w:r w:rsidRPr="006F2D79">
              <w:t>board/plywood mill</w:t>
            </w:r>
          </w:p>
          <w:p w:rsidR="00000000" w:rsidRPr="006F2D79" w:rsidP="006F2D79">
            <w:pPr>
              <w:pStyle w:val="ListBullet"/>
            </w:pPr>
            <w:r w:rsidRPr="006F2D79">
              <w:t>timber treatment plants</w:t>
            </w:r>
          </w:p>
          <w:p w:rsidR="00000000" w:rsidRPr="006F2D79" w:rsidP="006F2D79">
            <w:pPr>
              <w:pStyle w:val="ListBullet"/>
            </w:pPr>
            <w:r w:rsidRPr="006F2D79">
              <w:t>downstream processing of timber</w:t>
            </w:r>
          </w:p>
          <w:p w:rsidR="00000000" w:rsidRPr="006F2D79" w:rsidP="006F2D79">
            <w:pPr>
              <w:pStyle w:val="ListBullet"/>
            </w:pPr>
            <w:r w:rsidRPr="006F2D79">
              <w:t>timber and wood products production</w:t>
            </w:r>
          </w:p>
          <w:p w:rsidR="00000000" w:rsidRPr="006F2D79" w:rsidP="006F2D79">
            <w:pPr>
              <w:pStyle w:val="BodyText"/>
            </w:pPr>
            <w:r w:rsidRPr="006F2D79">
              <w:t>The skills and knowledge required for competent workplace performance are to be used within the scope of the person's job and authority</w:t>
            </w:r>
          </w:p>
        </w:tc>
      </w:tr>
    </w:tbl>
    <w:p w:rsidR="00BC7C63" w:rsidP="006F2D79">
      <w:pPr>
        <w:pStyle w:val="BodyText"/>
      </w:pPr>
    </w:p>
    <w:p w:rsidR="00BC7C63" w:rsidP="006F2D79">
      <w:pPr>
        <w:pStyle w:val="BodyText"/>
      </w:pPr>
    </w:p>
    <w:p w:rsidR="00000000" w:rsidRPr="006F2D79" w:rsidP="006F2D79">
      <w:pPr>
        <w:pStyle w:val="Heading1"/>
      </w:pPr>
      <w:bookmarkStart w:id="4" w:name="O_278846"/>
      <w:bookmarkEnd w:id="4"/>
      <w:r w:rsidRPr="006F2D79">
        <w:t>Licensing/Regulatory Information</w:t>
      </w:r>
    </w:p>
    <w:p w:rsidR="00000000" w:rsidRPr="006F2D79" w:rsidP="006F2D79">
      <w:pPr>
        <w:pStyle w:val="BodyText"/>
      </w:pPr>
      <w:r w:rsidRPr="006F2D79">
        <w:t>Refer to Unit Descriptor</w:t>
      </w:r>
    </w:p>
    <w:p w:rsidR="00000000" w:rsidRPr="006F2D79" w:rsidP="006F2D79">
      <w:pPr>
        <w:pStyle w:val="AllowPageBreak"/>
      </w:pPr>
    </w:p>
    <w:p w:rsidR="00000000" w:rsidRPr="006F2D79" w:rsidP="006F2D79">
      <w:pPr>
        <w:pStyle w:val="Heading1"/>
      </w:pPr>
      <w:bookmarkStart w:id="5" w:name="O_283759"/>
      <w:bookmarkEnd w:id="5"/>
      <w:r w:rsidRPr="006F2D79">
        <w:t>Pre-Requisites</w:t>
      </w:r>
    </w:p>
    <w:p w:rsidR="00000000" w:rsidRPr="006F2D79" w:rsidP="006F2D79">
      <w:pPr>
        <w:pStyle w:val="BodyText"/>
      </w:pPr>
      <w:r w:rsidRPr="006F2D79">
        <w:t>Not Applicable</w:t>
      </w:r>
    </w:p>
    <w:p w:rsidR="00000000" w:rsidRPr="006F2D79" w:rsidP="006F2D79">
      <w:pPr>
        <w:pStyle w:val="AllowPageBreak"/>
      </w:pPr>
    </w:p>
    <w:p w:rsidR="00000000" w:rsidRPr="006F2D79" w:rsidP="006F2D79">
      <w:pPr>
        <w:pStyle w:val="Heading1"/>
      </w:pPr>
      <w:bookmarkStart w:id="6" w:name="O_203456"/>
      <w:bookmarkEnd w:id="6"/>
      <w:r w:rsidRPr="006F2D79">
        <w:t>Employability Skills Information</w:t>
      </w:r>
    </w:p>
    <w:tbl>
      <w:tblPr>
        <w:tblW w:w="0" w:type="auto"/>
        <w:tblLayout w:type="fixed"/>
        <w:tblCellMar>
          <w:left w:w="62" w:type="dxa"/>
          <w:right w:w="62" w:type="dxa"/>
        </w:tblCellMar>
        <w:tblLook w:val="0000"/>
      </w:tblPr>
      <w:tblGrid>
        <w:gridCol w:w="2802"/>
        <w:gridCol w:w="5720"/>
      </w:tblGrid>
      <w:tr w:rsidTr="00BC7C6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This unit contains employability skills</w:t>
            </w:r>
          </w:p>
        </w:tc>
      </w:tr>
    </w:tbl>
    <w:p w:rsidR="00BC7C63" w:rsidP="006F2D79">
      <w:pPr>
        <w:pStyle w:val="BodyText"/>
      </w:pPr>
    </w:p>
    <w:p w:rsidR="00BC7C63" w:rsidP="006F2D79">
      <w:pPr>
        <w:pStyle w:val="BodyText"/>
      </w:pPr>
    </w:p>
    <w:p w:rsidR="00000000" w:rsidRPr="006F2D79" w:rsidP="006F2D79">
      <w:pPr>
        <w:pStyle w:val="Heading1"/>
      </w:pPr>
      <w:bookmarkStart w:id="7" w:name="O_288632"/>
      <w:bookmarkEnd w:id="7"/>
      <w:r w:rsidRPr="006F2D79">
        <w:t>Elements and Performance Criteria Pre-Content</w:t>
      </w:r>
    </w:p>
    <w:tbl>
      <w:tblPr>
        <w:tblW w:w="0" w:type="auto"/>
        <w:tblLayout w:type="fixed"/>
        <w:tblCellMar>
          <w:left w:w="62" w:type="dxa"/>
          <w:right w:w="62" w:type="dxa"/>
        </w:tblCellMar>
        <w:tblLook w:val="0000"/>
      </w:tblPr>
      <w:tblGrid>
        <w:gridCol w:w="2577"/>
        <w:gridCol w:w="5945"/>
      </w:tblGrid>
      <w:tr w:rsidTr="00BC7C6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Performance criteria describe the performance needed to demonstrate achievement of the element. Where bold italicised text is used, further information is detailed in the required skills and</w:t>
            </w:r>
            <w:r w:rsidRPr="006F2D79">
              <w:t xml:space="preserve"> knowledge section and the range statement. Assessment of performance is to be consistent with the evidence guide.</w:t>
            </w:r>
          </w:p>
        </w:tc>
      </w:tr>
    </w:tbl>
    <w:p w:rsidR="00000000" w:rsidRPr="006F2D79" w:rsidP="006F2D79">
      <w:pPr>
        <w:pStyle w:val="BodyText"/>
      </w:pPr>
    </w:p>
    <w:p w:rsidR="00000000" w:rsidRPr="006F2D79" w:rsidP="006F2D79">
      <w:pPr>
        <w:pStyle w:val="AllowPageBreak"/>
      </w:pPr>
    </w:p>
    <w:p w:rsidR="00000000" w:rsidRPr="006F2D79" w:rsidP="006F2D79">
      <w:pPr>
        <w:pStyle w:val="Heading1"/>
      </w:pPr>
      <w:bookmarkStart w:id="8" w:name="O_235299"/>
      <w:bookmarkEnd w:id="8"/>
      <w:r w:rsidRPr="006F2D79">
        <w:t>Elements and Performance Criteria</w:t>
      </w:r>
    </w:p>
    <w:tbl>
      <w:tblPr>
        <w:tblW w:w="0" w:type="auto"/>
        <w:tblLayout w:type="fixed"/>
        <w:tblCellMar>
          <w:left w:w="62" w:type="dxa"/>
          <w:right w:w="62" w:type="dxa"/>
        </w:tblCellMar>
        <w:tblLook w:val="0000"/>
      </w:tblPr>
      <w:tblGrid>
        <w:gridCol w:w="2577"/>
        <w:gridCol w:w="5945"/>
      </w:tblGrid>
      <w:tr w:rsidTr="00BC7C63">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PERFORMANCE CRITERIA</w:t>
            </w:r>
          </w:p>
        </w:tc>
      </w:tr>
      <w:tr w:rsidTr="00BC7C6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F2D79">
            <w:pPr>
              <w:pStyle w:val="List"/>
              <w:rPr>
                <w:lang w:val="en-NZ"/>
              </w:rPr>
            </w:pPr>
            <w:r w:rsidRPr="006F2D79">
              <w:t>1.</w:t>
            </w:r>
            <w:r w:rsidRPr="006F2D79">
              <w:tab/>
              <w:t>Prepare for residue conversion processing operation</w:t>
            </w:r>
          </w:p>
        </w:tc>
        <w:tc>
          <w:tcPr>
            <w:tcW w:w="5945" w:type="dxa"/>
            <w:tcBorders>
              <w:top w:val="nil"/>
              <w:left w:val="nil"/>
              <w:bottom w:val="nil"/>
              <w:right w:val="nil"/>
            </w:tcBorders>
            <w:tcMar>
              <w:top w:w="0" w:type="dxa"/>
              <w:left w:w="62" w:type="dxa"/>
              <w:bottom w:w="0" w:type="dxa"/>
              <w:right w:w="62" w:type="dxa"/>
            </w:tcMar>
          </w:tcPr>
          <w:p w:rsidR="00000000" w:rsidRPr="006F2D79" w:rsidP="006F2D79">
            <w:pPr>
              <w:pStyle w:val="List2"/>
            </w:pPr>
            <w:r w:rsidRPr="006F2D79">
              <w:t>1.1.</w:t>
            </w:r>
            <w:r w:rsidRPr="006F2D79">
              <w:tab/>
              <w:t xml:space="preserve">Applicable </w:t>
            </w:r>
            <w:r w:rsidRPr="006F2D79">
              <w:rPr>
                <w:rStyle w:val="BoldandItalics"/>
              </w:rPr>
              <w:t>Occupational Health and Safety</w:t>
            </w:r>
            <w:r w:rsidRPr="006F2D79">
              <w:t xml:space="preserve"> (OHS), </w:t>
            </w:r>
            <w:r w:rsidRPr="006F2D79">
              <w:rPr>
                <w:rStyle w:val="BoldandItalics"/>
              </w:rPr>
              <w:t>environmental</w:t>
            </w:r>
            <w:r w:rsidRPr="006F2D79">
              <w:t xml:space="preserve">, </w:t>
            </w:r>
            <w:r w:rsidRPr="006F2D79">
              <w:rPr>
                <w:rStyle w:val="BoldandItalics"/>
              </w:rPr>
              <w:t>legislative</w:t>
            </w:r>
            <w:r w:rsidRPr="006F2D79">
              <w:t xml:space="preserve"> and </w:t>
            </w:r>
            <w:r w:rsidRPr="006F2D79">
              <w:rPr>
                <w:rStyle w:val="BoldandItalics"/>
              </w:rPr>
              <w:t>organisational requirements</w:t>
            </w:r>
            <w:r w:rsidRPr="006F2D79">
              <w:t xml:space="preserve"> relevant to operating machinery, grading </w:t>
            </w:r>
            <w:r w:rsidRPr="006F2D79">
              <w:rPr>
                <w:rStyle w:val="BoldandItalics"/>
              </w:rPr>
              <w:t>residue</w:t>
            </w:r>
            <w:r w:rsidRPr="006F2D79">
              <w:t xml:space="preserve"> and handling material are identified and followed</w:t>
            </w:r>
          </w:p>
          <w:p w:rsidR="00000000" w:rsidRPr="006F2D79" w:rsidP="006F2D79">
            <w:pPr>
              <w:pStyle w:val="List2"/>
            </w:pPr>
            <w:r w:rsidRPr="006F2D79">
              <w:t>1.2.</w:t>
            </w:r>
            <w:r w:rsidRPr="006F2D79">
              <w:tab/>
              <w:t>Timber residue product outcome is ident</w:t>
            </w:r>
            <w:r w:rsidRPr="006F2D79">
              <w:t>ified and conversion process determined</w:t>
            </w:r>
          </w:p>
          <w:p w:rsidR="00000000" w:rsidRPr="006F2D79" w:rsidP="006F2D79">
            <w:pPr>
              <w:pStyle w:val="List2"/>
            </w:pPr>
            <w:r w:rsidRPr="006F2D79">
              <w:t>1.3.</w:t>
            </w:r>
            <w:r w:rsidRPr="006F2D79">
              <w:tab/>
            </w:r>
            <w:r w:rsidRPr="006F2D79">
              <w:rPr>
                <w:rStyle w:val="BoldandItalics"/>
              </w:rPr>
              <w:t>Work order</w:t>
            </w:r>
            <w:r w:rsidRPr="006F2D79">
              <w:t xml:space="preserve"> is reviewed and confirmed with appropriate staff</w:t>
            </w:r>
          </w:p>
          <w:p w:rsidR="00000000" w:rsidRPr="006F2D79" w:rsidP="006F2D79">
            <w:pPr>
              <w:pStyle w:val="List2"/>
            </w:pPr>
            <w:r w:rsidRPr="006F2D79">
              <w:t>1.4.</w:t>
            </w:r>
            <w:r w:rsidRPr="006F2D79">
              <w:tab/>
              <w:t>Timber residue is graded in line with conversion process requirements</w:t>
            </w:r>
          </w:p>
          <w:p w:rsidR="00000000" w:rsidRPr="006F2D79" w:rsidP="006F2D79">
            <w:pPr>
              <w:pStyle w:val="List2"/>
            </w:pPr>
            <w:r w:rsidRPr="006F2D79">
              <w:t>1.5.</w:t>
            </w:r>
            <w:r w:rsidRPr="006F2D79">
              <w:tab/>
            </w:r>
            <w:r w:rsidRPr="006F2D79">
              <w:rPr>
                <w:rStyle w:val="BoldandItalics"/>
              </w:rPr>
              <w:t>Equipment</w:t>
            </w:r>
            <w:r w:rsidRPr="006F2D79">
              <w:t xml:space="preserve"> is selected appropriate to work requirements and checked for </w:t>
            </w:r>
            <w:r w:rsidRPr="006F2D79">
              <w:t>effectiveness in line with manufacturer's specifications</w:t>
            </w:r>
          </w:p>
          <w:p w:rsidR="00000000" w:rsidRPr="006F2D79" w:rsidP="006F2D79">
            <w:pPr>
              <w:pStyle w:val="List2"/>
            </w:pPr>
            <w:r w:rsidRPr="006F2D79">
              <w:t>1.6.</w:t>
            </w:r>
            <w:r w:rsidRPr="006F2D79">
              <w:tab/>
              <w:t xml:space="preserve">Timber residue is </w:t>
            </w:r>
            <w:r w:rsidRPr="006F2D79">
              <w:rPr>
                <w:rStyle w:val="BoldandItalics"/>
              </w:rPr>
              <w:t>transferred</w:t>
            </w:r>
            <w:r w:rsidRPr="006F2D79">
              <w:t xml:space="preserve"> and </w:t>
            </w:r>
            <w:r w:rsidRPr="006F2D79">
              <w:rPr>
                <w:rStyle w:val="BoldandItalics"/>
              </w:rPr>
              <w:t>stored</w:t>
            </w:r>
            <w:r w:rsidRPr="006F2D79">
              <w:t xml:space="preserve"> in line with material handling specifications and chain of custody priorities</w:t>
            </w:r>
          </w:p>
          <w:p w:rsidR="00000000" w:rsidP="006F2D79">
            <w:pPr>
              <w:pStyle w:val="List2"/>
              <w:rPr>
                <w:lang w:val="en-NZ"/>
              </w:rPr>
            </w:pPr>
            <w:r w:rsidRPr="006F2D79">
              <w:t>1.7.</w:t>
            </w:r>
            <w:r w:rsidRPr="006F2D79">
              <w:tab/>
            </w:r>
            <w:r w:rsidRPr="006F2D79">
              <w:rPr>
                <w:rStyle w:val="BoldandItalics"/>
              </w:rPr>
              <w:t>Communication</w:t>
            </w:r>
            <w:r w:rsidRPr="006F2D79">
              <w:t xml:space="preserve"> with others is established and maintained in line with O</w:t>
            </w:r>
            <w:r w:rsidRPr="006F2D79">
              <w:t>HS requirements</w:t>
            </w:r>
          </w:p>
        </w:tc>
      </w:tr>
      <w:tr w:rsidTr="00BC7C6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F2D79">
            <w:pPr>
              <w:pStyle w:val="List"/>
              <w:rPr>
                <w:lang w:val="en-NZ"/>
              </w:rPr>
            </w:pPr>
            <w:r w:rsidRPr="006F2D79">
              <w:t>2.</w:t>
            </w:r>
            <w:r w:rsidRPr="006F2D79">
              <w:tab/>
              <w:t>Undertake conversion process to produce timber products</w:t>
            </w:r>
          </w:p>
        </w:tc>
        <w:tc>
          <w:tcPr>
            <w:tcW w:w="5945" w:type="dxa"/>
            <w:tcBorders>
              <w:top w:val="nil"/>
              <w:left w:val="nil"/>
              <w:bottom w:val="nil"/>
              <w:right w:val="nil"/>
            </w:tcBorders>
            <w:tcMar>
              <w:top w:w="0" w:type="dxa"/>
              <w:left w:w="62" w:type="dxa"/>
              <w:bottom w:w="0" w:type="dxa"/>
              <w:right w:w="62" w:type="dxa"/>
            </w:tcMar>
          </w:tcPr>
          <w:p w:rsidR="00000000" w:rsidRPr="006F2D79" w:rsidP="006F2D79">
            <w:pPr>
              <w:pStyle w:val="List2"/>
            </w:pPr>
            <w:r w:rsidRPr="006F2D79">
              <w:t>2.1.</w:t>
            </w:r>
            <w:r w:rsidRPr="006F2D79">
              <w:tab/>
              <w:t>Work procedures are followed in line with OHS, environmental, legislative and residue output obligations and specifications</w:t>
            </w:r>
          </w:p>
          <w:p w:rsidR="00000000" w:rsidRPr="006F2D79" w:rsidP="006F2D79">
            <w:pPr>
              <w:pStyle w:val="List2"/>
            </w:pPr>
            <w:r w:rsidRPr="006F2D79">
              <w:t>2.2.</w:t>
            </w:r>
            <w:r w:rsidRPr="006F2D79">
              <w:tab/>
              <w:t>Product specifications and quality standards a</w:t>
            </w:r>
            <w:r w:rsidRPr="006F2D79">
              <w:t>re confirmed, and plant and equipment set to ensure outputs are compliant with product specifications and environmental standards</w:t>
            </w:r>
          </w:p>
          <w:p w:rsidR="00000000" w:rsidRPr="006F2D79" w:rsidP="006F2D79">
            <w:pPr>
              <w:pStyle w:val="List2"/>
            </w:pPr>
            <w:r w:rsidRPr="006F2D79">
              <w:t>2.3.</w:t>
            </w:r>
            <w:r w:rsidRPr="006F2D79">
              <w:tab/>
              <w:t>Plant and equipment is operated in line with OHS standards, environmental requirements and manufacturer's specifications</w:t>
            </w:r>
          </w:p>
          <w:p w:rsidR="00000000" w:rsidRPr="006F2D79" w:rsidP="006F2D79">
            <w:pPr>
              <w:pStyle w:val="List2"/>
            </w:pPr>
            <w:r w:rsidRPr="006F2D79">
              <w:t>2.4.</w:t>
            </w:r>
            <w:r w:rsidRPr="006F2D79">
              <w:tab/>
              <w:t>Process is monitored, ensuring inputs and outputs are compliant with product specifications and environmental requirements</w:t>
            </w:r>
          </w:p>
          <w:p w:rsidR="00000000" w:rsidRPr="006F2D79" w:rsidP="006F2D79">
            <w:pPr>
              <w:pStyle w:val="List2"/>
            </w:pPr>
            <w:r w:rsidRPr="006F2D79">
              <w:t>2.5.</w:t>
            </w:r>
            <w:r w:rsidRPr="006F2D79">
              <w:tab/>
              <w:t xml:space="preserve">Waste is monitored, contained and </w:t>
            </w:r>
            <w:r w:rsidRPr="006F2D79">
              <w:rPr>
                <w:rStyle w:val="BoldandItalics"/>
              </w:rPr>
              <w:t>disposed of</w:t>
            </w:r>
            <w:r w:rsidRPr="006F2D79">
              <w:t xml:space="preserve"> in line with environmental and legislative requirements and organisational protocols</w:t>
            </w:r>
          </w:p>
          <w:p w:rsidR="00000000" w:rsidRPr="006F2D79" w:rsidP="006F2D79">
            <w:pPr>
              <w:pStyle w:val="List2"/>
            </w:pPr>
            <w:r w:rsidRPr="006F2D79">
              <w:t>2.6.</w:t>
            </w:r>
            <w:r w:rsidRPr="006F2D79">
              <w:tab/>
              <w:t xml:space="preserve">Products are inspected to ensure they meet work order </w:t>
            </w:r>
          </w:p>
          <w:p w:rsidR="00000000" w:rsidP="006F2D79">
            <w:pPr>
              <w:pStyle w:val="List2"/>
              <w:rPr>
                <w:lang w:val="en-NZ"/>
              </w:rPr>
            </w:pPr>
            <w:r w:rsidRPr="006F2D79">
              <w:t>2.7.</w:t>
            </w:r>
            <w:r w:rsidRPr="006F2D79">
              <w:tab/>
              <w:t>Products are transferred and stored in line with material handling specifications and chain of custody pr</w:t>
            </w:r>
            <w:r w:rsidRPr="006F2D79">
              <w:t>iorities</w:t>
            </w:r>
          </w:p>
        </w:tc>
      </w:tr>
      <w:tr w:rsidTr="00BC7C6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F2D79">
            <w:pPr>
              <w:pStyle w:val="List"/>
              <w:rPr>
                <w:lang w:val="en-NZ"/>
              </w:rPr>
            </w:pPr>
            <w:r w:rsidRPr="006F2D79">
              <w:t>3.</w:t>
            </w:r>
            <w:r w:rsidRPr="006F2D79">
              <w:tab/>
              <w:t>Record outputs</w:t>
            </w:r>
          </w:p>
        </w:tc>
        <w:tc>
          <w:tcPr>
            <w:tcW w:w="5945" w:type="dxa"/>
            <w:tcBorders>
              <w:top w:val="nil"/>
              <w:left w:val="nil"/>
              <w:bottom w:val="nil"/>
              <w:right w:val="nil"/>
            </w:tcBorders>
            <w:tcMar>
              <w:top w:w="0" w:type="dxa"/>
              <w:left w:w="62" w:type="dxa"/>
              <w:bottom w:w="0" w:type="dxa"/>
              <w:right w:w="62" w:type="dxa"/>
            </w:tcMar>
          </w:tcPr>
          <w:p w:rsidR="00000000" w:rsidRPr="006F2D79" w:rsidP="006F2D79">
            <w:pPr>
              <w:pStyle w:val="List2"/>
            </w:pPr>
            <w:r w:rsidRPr="006F2D79">
              <w:t>3.1.</w:t>
            </w:r>
            <w:r w:rsidRPr="006F2D79">
              <w:tab/>
              <w:t xml:space="preserve">Product volumes and any associated additives </w:t>
            </w:r>
            <w:r w:rsidRPr="006F2D79">
              <w:t>required for conversion to a marketable product are tallied and quantity surveyed</w:t>
            </w:r>
          </w:p>
          <w:p w:rsidR="00000000" w:rsidRPr="006F2D79" w:rsidP="006F2D79">
            <w:pPr>
              <w:pStyle w:val="List2"/>
            </w:pPr>
            <w:r w:rsidRPr="006F2D79">
              <w:t>3.2.</w:t>
            </w:r>
            <w:r w:rsidRPr="006F2D79">
              <w:tab/>
              <w:t xml:space="preserve">Outputs for quality control and certification purposes are </w:t>
            </w:r>
            <w:r w:rsidRPr="006F2D79">
              <w:rPr>
                <w:rStyle w:val="BoldandItalics"/>
              </w:rPr>
              <w:t>recorded and reported</w:t>
            </w:r>
          </w:p>
          <w:p w:rsidR="00000000" w:rsidRPr="006F2D79" w:rsidP="006F2D79">
            <w:pPr>
              <w:pStyle w:val="List2"/>
            </w:pPr>
            <w:r w:rsidRPr="006F2D79">
              <w:t>3.3.</w:t>
            </w:r>
            <w:r w:rsidRPr="006F2D79">
              <w:tab/>
            </w:r>
            <w:r w:rsidRPr="006F2D79">
              <w:rPr>
                <w:rStyle w:val="BoldandItalics"/>
              </w:rPr>
              <w:t>Varia</w:t>
            </w:r>
            <w:r w:rsidRPr="006F2D79">
              <w:rPr>
                <w:rStyle w:val="BoldandItalics"/>
              </w:rPr>
              <w:t>tions are reported in line with organisational requirements</w:t>
            </w:r>
          </w:p>
        </w:tc>
      </w:tr>
    </w:tbl>
    <w:p w:rsidR="00BC7C63" w:rsidP="006F2D79">
      <w:pPr>
        <w:pStyle w:val="BodyText"/>
      </w:pPr>
    </w:p>
    <w:p w:rsidR="00BC7C63" w:rsidP="006F2D79">
      <w:pPr>
        <w:pStyle w:val="BodyText"/>
      </w:pPr>
    </w:p>
    <w:p w:rsidR="00000000" w:rsidRPr="006F2D79" w:rsidP="006F2D79">
      <w:pPr>
        <w:pStyle w:val="Heading1"/>
      </w:pPr>
      <w:bookmarkStart w:id="9" w:name="O_259249"/>
      <w:bookmarkEnd w:id="9"/>
      <w:r w:rsidRPr="006F2D79">
        <w:t>Required Skills and Knowledge</w:t>
      </w:r>
    </w:p>
    <w:tbl>
      <w:tblPr>
        <w:tblW w:w="0" w:type="auto"/>
        <w:tblLayout w:type="fixed"/>
        <w:tblCellMar>
          <w:left w:w="62" w:type="dxa"/>
          <w:right w:w="62" w:type="dxa"/>
        </w:tblCellMar>
        <w:tblLook w:val="0000"/>
      </w:tblPr>
      <w:tblGrid>
        <w:gridCol w:w="8522"/>
      </w:tblGrid>
      <w:tr w:rsidTr="00BC7C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REQUIRED SKILLS AND KNOWLEDGE</w:t>
            </w:r>
          </w:p>
        </w:tc>
      </w:tr>
      <w:tr w:rsidTr="00BC7C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t>This describes the essential skills and knowledge and their level required for this unit</w:t>
            </w:r>
          </w:p>
        </w:tc>
      </w:tr>
      <w:tr w:rsidTr="00BC7C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Required skills</w:t>
            </w:r>
          </w:p>
        </w:tc>
      </w:tr>
      <w:tr w:rsidTr="00BC7C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Technical skills sufficient to use and maintain relevant tools, machinery and equipment; efficiently and safely grade and process wood and timber residue</w:t>
            </w:r>
          </w:p>
          <w:p w:rsidR="00000000" w:rsidRPr="006F2D79" w:rsidP="006F2D79">
            <w:pPr>
              <w:pStyle w:val="ListBullet"/>
            </w:pPr>
            <w:r w:rsidRPr="006F2D79">
              <w:t>Communication skills and interpersonal techniques sufficient to interact appropriately with colleagues and others in the workplace</w:t>
            </w:r>
          </w:p>
          <w:p w:rsidR="00000000" w:rsidRPr="006F2D79" w:rsidP="006F2D79">
            <w:pPr>
              <w:pStyle w:val="ListBullet"/>
            </w:pPr>
            <w:r w:rsidRPr="006F2D79">
              <w:t>Literacy skills sufficient to accurately record and report workplace information, and maintain documentation; read work order</w:t>
            </w:r>
            <w:r w:rsidRPr="006F2D79">
              <w:t>s; follow legislation, regulations, standards, codes of practice and established safe practices and procedures, for screening wood or timber residue</w:t>
            </w:r>
          </w:p>
          <w:p w:rsidR="00000000" w:rsidRPr="006F2D79" w:rsidP="006F2D79">
            <w:pPr>
              <w:pStyle w:val="ListBullet"/>
            </w:pPr>
            <w:r w:rsidRPr="006F2D79">
              <w:t>Numeracy skills sufficient to accurately tally and quantity-survey wood and timber residue products</w:t>
            </w:r>
          </w:p>
          <w:p w:rsidR="00000000" w:rsidP="006F2D79">
            <w:pPr>
              <w:pStyle w:val="ListBullet"/>
              <w:rPr>
                <w:lang w:val="en-NZ"/>
              </w:rPr>
            </w:pPr>
            <w:r w:rsidRPr="006F2D79">
              <w:t>Problem</w:t>
            </w:r>
            <w:r w:rsidRPr="006F2D79">
              <w:t xml:space="preserve"> solving skills sufficient to identify problems and equipment faults; demonstrate appropriate response procedures</w:t>
            </w:r>
          </w:p>
        </w:tc>
      </w:tr>
      <w:tr w:rsidTr="00BC7C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Required knowledge</w:t>
            </w:r>
          </w:p>
        </w:tc>
      </w:tr>
      <w:tr w:rsidTr="00BC7C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 xml:space="preserve">Applicable Commonwealth, State or Territory legislation, regulations, standards, codes of practice and established safe </w:t>
            </w:r>
            <w:r w:rsidRPr="006F2D79">
              <w:t>practices relevant to the full range of processes for converting timber residue for further use</w:t>
            </w:r>
          </w:p>
          <w:p w:rsidR="00000000" w:rsidRPr="006F2D79" w:rsidP="006F2D79">
            <w:pPr>
              <w:pStyle w:val="ListBullet"/>
            </w:pPr>
            <w:r w:rsidRPr="006F2D79">
              <w:t>Environmental protection requirements, including the safe disposal of waste material (including preservative treated timber), the safe use and storage of chemic</w:t>
            </w:r>
            <w:r w:rsidRPr="006F2D79">
              <w:t>als and the cleaning of plant, tools and equipment</w:t>
            </w:r>
          </w:p>
          <w:p w:rsidR="00000000" w:rsidRPr="006F2D79" w:rsidP="006F2D79">
            <w:pPr>
              <w:pStyle w:val="ListBullet"/>
            </w:pPr>
            <w:r w:rsidRPr="006F2D79">
              <w:t>Organisational and site standards, requirements, policies and procedures for grading and handling wood and timber residue</w:t>
            </w:r>
          </w:p>
          <w:p w:rsidR="00000000" w:rsidRPr="006F2D79" w:rsidP="006F2D79">
            <w:pPr>
              <w:pStyle w:val="ListBullet"/>
            </w:pPr>
            <w:r w:rsidRPr="006F2D79">
              <w:t>Environmental risks and hazards</w:t>
            </w:r>
          </w:p>
          <w:p w:rsidR="00000000" w:rsidRPr="006F2D79" w:rsidP="006F2D79">
            <w:pPr>
              <w:pStyle w:val="ListBullet"/>
            </w:pPr>
            <w:r w:rsidRPr="006F2D79">
              <w:t>Minimising environmental impact</w:t>
            </w:r>
          </w:p>
          <w:p w:rsidR="00000000" w:rsidRPr="006F2D79" w:rsidP="006F2D79">
            <w:pPr>
              <w:pStyle w:val="ListBullet"/>
            </w:pPr>
            <w:r w:rsidRPr="006F2D79">
              <w:t>Using energy effect</w:t>
            </w:r>
            <w:r w:rsidRPr="006F2D79">
              <w:t>ively and efficiently</w:t>
            </w:r>
          </w:p>
          <w:p w:rsidR="00000000" w:rsidRPr="006F2D79" w:rsidP="006F2D79">
            <w:pPr>
              <w:pStyle w:val="ListBullet"/>
            </w:pPr>
            <w:r w:rsidRPr="006F2D79">
              <w:t>Using material effectively and efficiently</w:t>
            </w:r>
          </w:p>
          <w:p w:rsidR="00000000" w:rsidRPr="006F2D79" w:rsidP="006F2D79">
            <w:pPr>
              <w:pStyle w:val="ListBullet"/>
            </w:pPr>
            <w:r w:rsidRPr="006F2D79">
              <w:t>Product grading techniques and assessment</w:t>
            </w:r>
          </w:p>
          <w:p w:rsidR="00000000" w:rsidRPr="006F2D79" w:rsidP="006F2D79">
            <w:pPr>
              <w:pStyle w:val="ListBullet"/>
            </w:pPr>
            <w:r w:rsidRPr="006F2D79">
              <w:t>Characteristics of wood chips and stock levels</w:t>
            </w:r>
          </w:p>
          <w:p w:rsidR="00000000" w:rsidRPr="006F2D79" w:rsidP="006F2D79">
            <w:pPr>
              <w:pStyle w:val="ListBullet"/>
            </w:pPr>
            <w:r w:rsidRPr="006F2D79">
              <w:t>Chip production process</w:t>
            </w:r>
          </w:p>
          <w:p w:rsidR="00000000" w:rsidRPr="006F2D79" w:rsidP="006F2D79">
            <w:pPr>
              <w:pStyle w:val="ListBullet"/>
            </w:pPr>
            <w:r w:rsidRPr="006F2D79">
              <w:t>Timber production processes</w:t>
            </w:r>
          </w:p>
          <w:p w:rsidR="00000000" w:rsidRPr="006F2D79" w:rsidP="006F2D79">
            <w:pPr>
              <w:pStyle w:val="ListBullet"/>
            </w:pPr>
            <w:r w:rsidRPr="006F2D79">
              <w:t>Storage systems and labelling</w:t>
            </w:r>
          </w:p>
          <w:p w:rsidR="00000000" w:rsidRPr="006F2D79" w:rsidP="006F2D79">
            <w:pPr>
              <w:pStyle w:val="ListBullet"/>
            </w:pPr>
            <w:r w:rsidRPr="006F2D79">
              <w:t>Alternative products for timber residue</w:t>
            </w:r>
          </w:p>
          <w:p w:rsidR="00000000" w:rsidRPr="006F2D79" w:rsidP="006F2D79">
            <w:pPr>
              <w:pStyle w:val="ListBullet"/>
            </w:pPr>
            <w:r w:rsidRPr="006F2D79">
              <w:t xml:space="preserve">Established communication channels and protocols </w:t>
            </w:r>
          </w:p>
          <w:p w:rsidR="00000000" w:rsidRPr="006F2D79" w:rsidP="006F2D79">
            <w:pPr>
              <w:pStyle w:val="ListBullet"/>
            </w:pPr>
            <w:r w:rsidRPr="006F2D79">
              <w:t xml:space="preserve">Problem identification and resolution </w:t>
            </w:r>
          </w:p>
          <w:p w:rsidR="00000000" w:rsidRPr="006F2D79" w:rsidP="006F2D79">
            <w:pPr>
              <w:pStyle w:val="ListBullet"/>
            </w:pPr>
            <w:r w:rsidRPr="006F2D79">
              <w:t>Types of tools and equipment, and procedures for their safe use and maintenance</w:t>
            </w:r>
          </w:p>
          <w:p w:rsidR="00000000" w:rsidRPr="006F2D79" w:rsidP="006F2D79">
            <w:pPr>
              <w:pStyle w:val="ListBullet"/>
            </w:pPr>
            <w:r w:rsidRPr="006F2D79">
              <w:t>Appropriate mathematical procedures for estimat</w:t>
            </w:r>
            <w:r w:rsidRPr="006F2D79">
              <w:t xml:space="preserve">ion and measurement </w:t>
            </w:r>
          </w:p>
          <w:p w:rsidR="00000000" w:rsidRPr="006F2D79" w:rsidP="006F2D79">
            <w:pPr>
              <w:pStyle w:val="ListBullet"/>
            </w:pPr>
            <w:r w:rsidRPr="006F2D79">
              <w:t>Procedures for the recording, reporting and maintenance of workplace information</w:t>
            </w:r>
          </w:p>
        </w:tc>
      </w:tr>
    </w:tbl>
    <w:p w:rsidR="00BC7C63" w:rsidP="006F2D79">
      <w:pPr>
        <w:pStyle w:val="BodyText"/>
      </w:pPr>
    </w:p>
    <w:p w:rsidR="00BC7C63" w:rsidP="006F2D79">
      <w:pPr>
        <w:pStyle w:val="BodyText"/>
      </w:pPr>
    </w:p>
    <w:p w:rsidR="00000000" w:rsidRPr="006F2D79" w:rsidP="006F2D79">
      <w:pPr>
        <w:pStyle w:val="Heading1"/>
      </w:pPr>
      <w:bookmarkStart w:id="10" w:name="O_243283"/>
      <w:bookmarkEnd w:id="10"/>
      <w:r w:rsidRPr="006F2D79">
        <w:t>Evidence Guide</w:t>
      </w:r>
    </w:p>
    <w:tbl>
      <w:tblPr>
        <w:tblW w:w="9570" w:type="dxa"/>
        <w:tblLayout w:type="fixed"/>
        <w:tblCellMar>
          <w:left w:w="62" w:type="dxa"/>
          <w:right w:w="62" w:type="dxa"/>
        </w:tblCellMar>
        <w:tblLook w:val="0000"/>
      </w:tblPr>
      <w:tblGrid>
        <w:gridCol w:w="3908"/>
        <w:gridCol w:w="5662"/>
      </w:tblGrid>
      <w:tr w:rsidTr="00BC7C6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EVIDENCE GUIDE</w:t>
            </w:r>
          </w:p>
        </w:tc>
      </w:tr>
      <w:tr w:rsidTr="00BC7C6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t>The evidence guide provides advice on assessment and must be read in conjunction with the performance criteria, required skills and knowledge, range statement and the Assessment Guidelines for the Training Package.</w:t>
            </w:r>
          </w:p>
        </w:tc>
      </w:tr>
      <w:tr w:rsidTr="00BC7C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t>A person who dem</w:t>
            </w:r>
            <w:r w:rsidRPr="006F2D79">
              <w:t>onstrates competency in this unit must be able to provide evidence that they can safely and efficiently convert timber residue for further use</w:t>
            </w:r>
          </w:p>
        </w:tc>
      </w:tr>
      <w:tr w:rsidTr="00BC7C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 xml:space="preserve">The evidence required to demonstrate competency in this unit must be relevant to, and satisfy, all of the requirements of the elements of this unit and include demonstration of: </w:t>
            </w:r>
          </w:p>
          <w:p w:rsidR="00000000" w:rsidRPr="006F2D79" w:rsidP="006F2D79">
            <w:pPr>
              <w:pStyle w:val="ListBullet"/>
            </w:pPr>
            <w:r w:rsidRPr="006F2D79">
              <w:t>following applicable Commonwealth, State or Territory legislative and regula</w:t>
            </w:r>
            <w:r w:rsidRPr="006F2D79">
              <w:t>tory requirements and codes of practice relevant to converting timber residue</w:t>
            </w:r>
          </w:p>
          <w:p w:rsidR="00000000" w:rsidRPr="006F2D79" w:rsidP="006F2D79">
            <w:pPr>
              <w:pStyle w:val="ListBullet"/>
            </w:pPr>
            <w:r w:rsidRPr="006F2D79">
              <w:t>following organisational policies and procedures relevant to converting timber residue</w:t>
            </w:r>
          </w:p>
          <w:p w:rsidR="00000000" w:rsidRPr="006F2D79" w:rsidP="006F2D79">
            <w:pPr>
              <w:pStyle w:val="ListBullet"/>
            </w:pPr>
            <w:r w:rsidRPr="006F2D79">
              <w:t>reading work order to establish conversion process requirements</w:t>
            </w:r>
          </w:p>
          <w:p w:rsidR="00000000" w:rsidRPr="006F2D79" w:rsidP="006F2D79">
            <w:pPr>
              <w:pStyle w:val="ListBullet"/>
            </w:pPr>
            <w:r w:rsidRPr="006F2D79">
              <w:t>converting timber residue i</w:t>
            </w:r>
            <w:r w:rsidRPr="006F2D79">
              <w:t>nto marketable products in line with product specifications and environmental requirements</w:t>
            </w:r>
          </w:p>
          <w:p w:rsidR="00000000" w:rsidRPr="006F2D79" w:rsidP="006F2D79">
            <w:pPr>
              <w:pStyle w:val="ListBullet"/>
            </w:pPr>
            <w:r w:rsidRPr="006F2D79">
              <w:t>monitoring, containing and disposing of waste in line with environmental legislation and organisational protocols</w:t>
            </w:r>
          </w:p>
          <w:p w:rsidR="00000000" w:rsidRPr="006F2D79" w:rsidP="006F2D79">
            <w:pPr>
              <w:pStyle w:val="ListBullet"/>
            </w:pPr>
            <w:r w:rsidRPr="006F2D79">
              <w:t>transferring and storing timber residue and product</w:t>
            </w:r>
            <w:r w:rsidRPr="006F2D79">
              <w:t>s in line with chain of custody priorities</w:t>
            </w:r>
          </w:p>
          <w:p w:rsidR="00000000" w:rsidP="006F2D79">
            <w:pPr>
              <w:pStyle w:val="ListBullet"/>
              <w:rPr>
                <w:lang w:val="en-NZ"/>
              </w:rPr>
            </w:pPr>
            <w:r w:rsidRPr="006F2D79">
              <w:t>reporting and recording information relevant to the conversion process</w:t>
            </w:r>
          </w:p>
        </w:tc>
      </w:tr>
      <w:tr w:rsidTr="00BC7C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Competency is to be assessed in the workplace or realistically simulated workplace</w:t>
            </w:r>
          </w:p>
          <w:p w:rsidR="00000000" w:rsidRPr="006F2D79" w:rsidP="006F2D79">
            <w:pPr>
              <w:pStyle w:val="ListBullet"/>
            </w:pPr>
            <w:r w:rsidRPr="006F2D79">
              <w:t>Assessme</w:t>
            </w:r>
            <w:r w:rsidRPr="006F2D79">
              <w:t>nt is to occur under standard and authorised work practices, safety requirements and environmental constraints</w:t>
            </w:r>
          </w:p>
          <w:p w:rsidR="00000000" w:rsidRPr="006F2D79" w:rsidP="006F2D79">
            <w:pPr>
              <w:pStyle w:val="ListBullet"/>
            </w:pPr>
            <w:r w:rsidRPr="006F2D79">
              <w:t>Assessment of required knowledge, other than confirmatory questions, will usually be conducted in an off-site context</w:t>
            </w:r>
          </w:p>
          <w:p w:rsidR="00000000" w:rsidRPr="006F2D79" w:rsidP="006F2D79">
            <w:pPr>
              <w:pStyle w:val="ListBullet"/>
            </w:pPr>
            <w:r w:rsidRPr="006F2D79">
              <w:t>Assessment is to follow rel</w:t>
            </w:r>
            <w:r w:rsidRPr="006F2D79">
              <w:t>evant regulatory or Australian Standards requirements</w:t>
            </w:r>
          </w:p>
          <w:p w:rsidR="00000000" w:rsidRPr="006F2D79" w:rsidP="006F2D79">
            <w:pPr>
              <w:pStyle w:val="ListBullet"/>
            </w:pPr>
            <w:r w:rsidRPr="006F2D79">
              <w:t>The following resources should be made available:</w:t>
            </w:r>
          </w:p>
          <w:p w:rsidR="00000000" w:rsidRPr="006F2D79" w:rsidP="006F2D79">
            <w:pPr>
              <w:pStyle w:val="ListBullet3"/>
            </w:pPr>
            <w:r w:rsidRPr="006F2D79">
              <w:t>workplace location or simulated workplace</w:t>
            </w:r>
          </w:p>
          <w:p w:rsidR="00000000" w:rsidRPr="006F2D79" w:rsidP="006F2D79">
            <w:pPr>
              <w:pStyle w:val="ListBullet3"/>
            </w:pPr>
            <w:r w:rsidRPr="006F2D79">
              <w:t>materials and equipment relevant to undertaking work applicable to this unit</w:t>
            </w:r>
          </w:p>
          <w:p w:rsidR="00000000" w:rsidP="006F2D79">
            <w:pPr>
              <w:pStyle w:val="ListBullet3"/>
              <w:rPr>
                <w:lang w:val="en-NZ"/>
              </w:rPr>
            </w:pPr>
            <w:r w:rsidRPr="006F2D79">
              <w:t>specifications and work instructions</w:t>
            </w:r>
          </w:p>
        </w:tc>
      </w:tr>
      <w:tr w:rsidTr="00BC7C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Assessment must satisfy the endorsed Assessment Guidelines of the FPI11 Training Package</w:t>
            </w:r>
          </w:p>
          <w:p w:rsidR="00000000" w:rsidRPr="006F2D79" w:rsidP="006F2D79">
            <w:pPr>
              <w:pStyle w:val="ListBullet"/>
            </w:pPr>
            <w:r w:rsidRPr="006F2D79">
              <w:t>Assessment methods must confirm consistency and accuracy of performance (over time and in a range of workplace relevant contexts) together with application of required knowledge</w:t>
            </w:r>
          </w:p>
          <w:p w:rsidR="00000000" w:rsidRPr="006F2D79" w:rsidP="006F2D79">
            <w:pPr>
              <w:pStyle w:val="ListBullet"/>
            </w:pPr>
            <w:r w:rsidRPr="006F2D79">
              <w:t>Assessment may be by direct observation of tasks, with questioning on required</w:t>
            </w:r>
            <w:r w:rsidRPr="006F2D79">
              <w:t xml:space="preserve"> knowledge and it must also reinforce the integration of employability skills</w:t>
            </w:r>
          </w:p>
          <w:p w:rsidR="00000000" w:rsidRPr="006F2D79" w:rsidP="006F2D79">
            <w:pPr>
              <w:pStyle w:val="ListBullet"/>
            </w:pPr>
            <w:r w:rsidRPr="006F2D79">
              <w:t>Assessment methods must confirm the ability to access and correctly interpret and apply the required knowledge</w:t>
            </w:r>
          </w:p>
          <w:p w:rsidR="00000000" w:rsidRPr="006F2D79" w:rsidP="006F2D79">
            <w:pPr>
              <w:pStyle w:val="ListBullet"/>
            </w:pPr>
            <w:r w:rsidRPr="006F2D79">
              <w:t>Assessment may be applied under project-related conditions (real or</w:t>
            </w:r>
            <w:r w:rsidRPr="006F2D79">
              <w:t xml:space="preserve"> simulated) and require evidence of process</w:t>
            </w:r>
          </w:p>
          <w:p w:rsidR="00000000" w:rsidRPr="006F2D79" w:rsidP="006F2D79">
            <w:pPr>
              <w:pStyle w:val="ListBullet"/>
            </w:pPr>
            <w:r w:rsidRPr="006F2D79">
              <w:t>Assessment must confirm a reasonable inference that competency is able not only to be satisfied under the particular circumstance, but is able to be transferred to other circumstances</w:t>
            </w:r>
          </w:p>
          <w:p w:rsidR="00000000" w:rsidRPr="006F2D79" w:rsidP="006F2D79">
            <w:pPr>
              <w:pStyle w:val="ListBullet"/>
            </w:pPr>
            <w:r w:rsidRPr="006F2D79">
              <w:t>Assessment may be in conjunc</w:t>
            </w:r>
            <w:r w:rsidRPr="006F2D79">
              <w:t>tion with assessment of other units of competency</w:t>
            </w:r>
          </w:p>
          <w:p w:rsidR="00000000" w:rsidRPr="006F2D79" w:rsidP="006F2D79">
            <w:pPr>
              <w:pStyle w:val="ListBullet"/>
            </w:pPr>
            <w:r w:rsidRPr="006F2D79">
              <w:t>The assessment environment should not disadvantage the candidate</w:t>
            </w:r>
          </w:p>
          <w:p w:rsidR="00000000" w:rsidRPr="006F2D79" w:rsidP="006F2D79">
            <w:pPr>
              <w:pStyle w:val="ListBullet"/>
            </w:pPr>
            <w:r w:rsidRPr="006F2D79">
              <w:t>Assessment practices should take into account any relevant language or cultural issues related to Aboriginality, gender or language backgroun</w:t>
            </w:r>
            <w:r w:rsidRPr="006F2D79">
              <w:t>ds other than English</w:t>
            </w:r>
          </w:p>
          <w:p w:rsidR="00000000" w:rsidRPr="006F2D79" w:rsidP="006F2D79">
            <w:pPr>
              <w:pStyle w:val="ListBullet"/>
            </w:pPr>
            <w:r w:rsidRPr="006F2D79">
              <w:t>Where the participant has a disability, reasonable adjustment may be applied during assessment</w:t>
            </w:r>
          </w:p>
          <w:p w:rsidR="00000000" w:rsidRPr="006F2D79" w:rsidP="006F2D79">
            <w:pPr>
              <w:pStyle w:val="ListBullet"/>
            </w:pPr>
            <w:r w:rsidRPr="006F2D79">
              <w:t>Language and literacy demands of the assessment task should not be higher than those of the work role</w:t>
            </w:r>
          </w:p>
        </w:tc>
      </w:tr>
    </w:tbl>
    <w:p w:rsidR="00BC7C63" w:rsidP="006F2D79">
      <w:pPr>
        <w:pStyle w:val="BodyText"/>
      </w:pPr>
    </w:p>
    <w:p w:rsidR="00BC7C63" w:rsidP="006F2D79">
      <w:pPr>
        <w:pStyle w:val="BodyText"/>
      </w:pPr>
    </w:p>
    <w:p w:rsidR="00000000" w:rsidRPr="006F2D79" w:rsidP="006F2D79">
      <w:pPr>
        <w:pStyle w:val="Heading1"/>
      </w:pPr>
      <w:bookmarkStart w:id="11" w:name="O_251266"/>
      <w:bookmarkEnd w:id="11"/>
      <w:r w:rsidRPr="006F2D79">
        <w:t>Range Statement</w:t>
      </w:r>
    </w:p>
    <w:tbl>
      <w:tblPr>
        <w:tblW w:w="0" w:type="auto"/>
        <w:tblLayout w:type="fixed"/>
        <w:tblCellMar>
          <w:left w:w="62" w:type="dxa"/>
          <w:right w:w="62" w:type="dxa"/>
        </w:tblCellMar>
        <w:tblLook w:val="0000"/>
      </w:tblPr>
      <w:tblGrid>
        <w:gridCol w:w="3616"/>
        <w:gridCol w:w="4906"/>
      </w:tblGrid>
      <w:tr w:rsidTr="00BC7C6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RANGE STATEMENT</w:t>
            </w:r>
          </w:p>
        </w:tc>
      </w:tr>
      <w:tr w:rsidTr="00BC7C6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t>The range statement relates to the unit of competency as a whole. It allows for different work environments and situations that may affect performance. Bold italicised wording, if used in the performance criteria, is detailed below. Esse</w:t>
            </w:r>
            <w:r w:rsidRPr="006F2D79">
              <w:t>ntial operating conditions that may be present with training and assessment (depending on the work situation, needs of the candidate, accessibility of the item, and local industry and regional contexts) may also be included.</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OHS requirements</w:t>
            </w:r>
            <w:r w:rsidRPr="006F2D79">
              <w:t>:</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are to be i</w:t>
            </w:r>
            <w:r w:rsidRPr="006F2D79">
              <w:t>n line with applicable Commonwealth, State or Territory legislation and regulations, and organisational safety policies and procedures, and may include:</w:t>
            </w:r>
          </w:p>
          <w:p w:rsidR="00000000" w:rsidRPr="006F2D79" w:rsidP="006F2D79">
            <w:pPr>
              <w:pStyle w:val="ListBullet"/>
            </w:pPr>
            <w:r w:rsidRPr="006F2D79">
              <w:t>personal protective equipment and clothing</w:t>
            </w:r>
          </w:p>
          <w:p w:rsidR="00000000" w:rsidRPr="006F2D79" w:rsidP="006F2D79">
            <w:pPr>
              <w:pStyle w:val="ListBullet"/>
            </w:pPr>
            <w:r w:rsidRPr="006F2D79">
              <w:t>safety equipment</w:t>
            </w:r>
          </w:p>
          <w:p w:rsidR="00000000" w:rsidRPr="006F2D79" w:rsidP="006F2D79">
            <w:pPr>
              <w:pStyle w:val="ListBullet"/>
            </w:pPr>
            <w:r w:rsidRPr="006F2D79">
              <w:t>first aid equipment</w:t>
            </w:r>
          </w:p>
          <w:p w:rsidR="00000000" w:rsidRPr="006F2D79" w:rsidP="006F2D79">
            <w:pPr>
              <w:pStyle w:val="ListBullet"/>
            </w:pPr>
            <w:r w:rsidRPr="006F2D79">
              <w:t>fire fighting equipment</w:t>
            </w:r>
          </w:p>
          <w:p w:rsidR="00000000" w:rsidRPr="006F2D79" w:rsidP="006F2D79">
            <w:pPr>
              <w:pStyle w:val="ListBullet"/>
            </w:pPr>
            <w:r w:rsidRPr="006F2D79">
              <w:t>hazard identification and risk control</w:t>
            </w:r>
          </w:p>
          <w:p w:rsidR="00000000" w:rsidRPr="006F2D79" w:rsidP="006F2D79">
            <w:pPr>
              <w:pStyle w:val="ListBullet"/>
            </w:pPr>
            <w:r w:rsidRPr="006F2D79">
              <w:t>fatigue management</w:t>
            </w:r>
          </w:p>
          <w:p w:rsidR="00000000" w:rsidRPr="006F2D79" w:rsidP="006F2D79">
            <w:pPr>
              <w:pStyle w:val="ListBullet"/>
            </w:pPr>
            <w:r w:rsidRPr="006F2D79">
              <w:t>elimination of hazardous materials and substances</w:t>
            </w:r>
          </w:p>
          <w:p w:rsidR="00000000" w:rsidP="006F2D79">
            <w:pPr>
              <w:pStyle w:val="ListBullet"/>
              <w:rPr>
                <w:lang w:val="en-NZ"/>
              </w:rPr>
            </w:pPr>
            <w:r w:rsidRPr="006F2D79">
              <w:t>manual handling including shifting, lifting and carrying</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Environmental requirements may include</w:t>
            </w:r>
            <w:r w:rsidRPr="006F2D79">
              <w:t>:</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legislation</w:t>
            </w:r>
          </w:p>
          <w:p w:rsidR="00000000" w:rsidRPr="006F2D79" w:rsidP="006F2D79">
            <w:pPr>
              <w:pStyle w:val="ListBullet"/>
            </w:pPr>
            <w:r w:rsidRPr="006F2D79">
              <w:t>organisationa</w:t>
            </w:r>
            <w:r w:rsidRPr="006F2D79">
              <w:t>l policies and procedures</w:t>
            </w:r>
          </w:p>
          <w:p w:rsidR="00000000" w:rsidP="006F2D79">
            <w:pPr>
              <w:pStyle w:val="ListBullet"/>
              <w:rPr>
                <w:lang w:val="en-NZ"/>
              </w:rPr>
            </w:pPr>
            <w:r w:rsidRPr="006F2D79">
              <w:t>workplace practices</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Legislative requirements</w:t>
            </w:r>
            <w:r w:rsidRPr="006F2D79">
              <w:t>:</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are to be in line with applicable Commonwealth, State or Territory legislation, regulations, certification requirements and codes of practice and may include:</w:t>
            </w:r>
          </w:p>
          <w:p w:rsidR="00000000" w:rsidRPr="006F2D79" w:rsidP="006F2D79">
            <w:pPr>
              <w:pStyle w:val="ListBullet"/>
            </w:pPr>
            <w:r w:rsidRPr="006F2D79">
              <w:t>award and enterprise agreements</w:t>
            </w:r>
          </w:p>
          <w:p w:rsidR="00000000" w:rsidRPr="006F2D79" w:rsidP="006F2D79">
            <w:pPr>
              <w:pStyle w:val="ListBullet"/>
            </w:pPr>
            <w:r w:rsidRPr="006F2D79">
              <w:t>industrial relations</w:t>
            </w:r>
          </w:p>
          <w:p w:rsidR="00000000" w:rsidRPr="006F2D79" w:rsidP="006F2D79">
            <w:pPr>
              <w:pStyle w:val="ListBullet"/>
            </w:pPr>
            <w:r w:rsidRPr="006F2D79">
              <w:t>Australian Standards</w:t>
            </w:r>
          </w:p>
          <w:p w:rsidR="00000000" w:rsidRPr="006F2D79" w:rsidP="006F2D79">
            <w:pPr>
              <w:pStyle w:val="ListBullet"/>
            </w:pPr>
            <w:r w:rsidRPr="006F2D79">
              <w:t>confidentiality and privacy</w:t>
            </w:r>
          </w:p>
          <w:p w:rsidR="00000000" w:rsidRPr="006F2D79" w:rsidP="006F2D79">
            <w:pPr>
              <w:pStyle w:val="ListBullet"/>
            </w:pPr>
            <w:r w:rsidRPr="006F2D79">
              <w:t>OHS</w:t>
            </w:r>
          </w:p>
          <w:p w:rsidR="00000000" w:rsidRPr="006F2D79" w:rsidP="006F2D79">
            <w:pPr>
              <w:pStyle w:val="ListBullet"/>
            </w:pPr>
            <w:r w:rsidRPr="006F2D79">
              <w:t>the environment</w:t>
            </w:r>
          </w:p>
          <w:p w:rsidR="00000000" w:rsidRPr="006F2D79" w:rsidP="006F2D79">
            <w:pPr>
              <w:pStyle w:val="ListBullet"/>
            </w:pPr>
            <w:r w:rsidRPr="006F2D79">
              <w:t>equal opportunity</w:t>
            </w:r>
          </w:p>
          <w:p w:rsidR="00000000" w:rsidRPr="006F2D79" w:rsidP="006F2D79">
            <w:pPr>
              <w:pStyle w:val="ListBullet"/>
            </w:pPr>
            <w:r w:rsidRPr="006F2D79">
              <w:t>anti-discrimination</w:t>
            </w:r>
          </w:p>
          <w:p w:rsidR="00000000" w:rsidRPr="006F2D79" w:rsidP="006F2D79">
            <w:pPr>
              <w:pStyle w:val="ListBullet"/>
            </w:pPr>
            <w:r w:rsidRPr="006F2D79">
              <w:t>relevant industry codes of practice</w:t>
            </w:r>
          </w:p>
          <w:p w:rsidR="00000000" w:rsidP="006F2D79">
            <w:pPr>
              <w:pStyle w:val="ListBullet"/>
              <w:rPr>
                <w:lang w:val="en-NZ"/>
              </w:rPr>
            </w:pPr>
            <w:r w:rsidRPr="006F2D79">
              <w:t>duty of care</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Organisational requirements</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lega</w:t>
            </w:r>
            <w:r w:rsidRPr="006F2D79">
              <w:t xml:space="preserve">l </w:t>
            </w:r>
          </w:p>
          <w:p w:rsidR="00000000" w:rsidRPr="006F2D79" w:rsidP="006F2D79">
            <w:pPr>
              <w:pStyle w:val="ListBullet"/>
            </w:pPr>
            <w:r w:rsidRPr="006F2D79">
              <w:t>organisational and site guidelines</w:t>
            </w:r>
          </w:p>
          <w:p w:rsidR="00000000" w:rsidRPr="006F2D79" w:rsidP="006F2D79">
            <w:pPr>
              <w:pStyle w:val="ListBullet"/>
            </w:pPr>
            <w:r w:rsidRPr="006F2D79">
              <w:t>policies and procedures relating to own role and responsibility</w:t>
            </w:r>
          </w:p>
          <w:p w:rsidR="00000000" w:rsidRPr="006F2D79" w:rsidP="006F2D79">
            <w:pPr>
              <w:pStyle w:val="ListBullet"/>
            </w:pPr>
            <w:r w:rsidRPr="006F2D79">
              <w:t>quality assurance</w:t>
            </w:r>
          </w:p>
          <w:p w:rsidR="00000000" w:rsidRPr="006F2D79" w:rsidP="006F2D79">
            <w:pPr>
              <w:pStyle w:val="ListBullet"/>
            </w:pPr>
            <w:r w:rsidRPr="006F2D79">
              <w:t>procedural manuals</w:t>
            </w:r>
          </w:p>
          <w:p w:rsidR="00000000" w:rsidRPr="006F2D79" w:rsidP="006F2D79">
            <w:pPr>
              <w:pStyle w:val="ListBullet"/>
            </w:pPr>
            <w:r w:rsidRPr="006F2D79">
              <w:t>quality and continuous improvement processes and standards</w:t>
            </w:r>
          </w:p>
          <w:p w:rsidR="00000000" w:rsidRPr="006F2D79" w:rsidP="006F2D79">
            <w:pPr>
              <w:pStyle w:val="ListBullet"/>
            </w:pPr>
            <w:r w:rsidRPr="006F2D79">
              <w:t>OHS, emergency and evacuation procedures</w:t>
            </w:r>
          </w:p>
          <w:p w:rsidR="00000000" w:rsidRPr="006F2D79" w:rsidP="006F2D79">
            <w:pPr>
              <w:pStyle w:val="ListBullet"/>
            </w:pPr>
            <w:r w:rsidRPr="006F2D79">
              <w:t>ethical standards</w:t>
            </w:r>
          </w:p>
          <w:p w:rsidR="00000000" w:rsidRPr="006F2D79" w:rsidP="006F2D79">
            <w:pPr>
              <w:pStyle w:val="ListBullet"/>
            </w:pPr>
            <w:r w:rsidRPr="006F2D79">
              <w:t>recording and reporting requirements</w:t>
            </w:r>
          </w:p>
          <w:p w:rsidR="00000000" w:rsidRPr="006F2D79" w:rsidP="006F2D79">
            <w:pPr>
              <w:pStyle w:val="ListBullet"/>
            </w:pPr>
            <w:r w:rsidRPr="006F2D79">
              <w:t>equipment use, maintenance and storage requirements</w:t>
            </w:r>
          </w:p>
          <w:p w:rsidR="00000000" w:rsidP="006F2D79">
            <w:pPr>
              <w:pStyle w:val="ListBullet"/>
              <w:rPr>
                <w:lang w:val="en-NZ"/>
              </w:rPr>
            </w:pPr>
            <w:r w:rsidRPr="006F2D79">
              <w:t>environmental management requirements (waste minimisation and disposal, recycling and re-use guidelines)</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Residue</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bark</w:t>
            </w:r>
          </w:p>
          <w:p w:rsidR="00000000" w:rsidRPr="006F2D79" w:rsidP="006F2D79">
            <w:pPr>
              <w:pStyle w:val="ListBullet"/>
            </w:pPr>
            <w:r w:rsidRPr="006F2D79">
              <w:t>green chip and sawdust</w:t>
            </w:r>
          </w:p>
          <w:p w:rsidR="00000000" w:rsidRPr="006F2D79" w:rsidP="006F2D79">
            <w:pPr>
              <w:pStyle w:val="ListBullet"/>
            </w:pPr>
            <w:r w:rsidRPr="006F2D79">
              <w:t>dry chip a</w:t>
            </w:r>
            <w:r w:rsidRPr="006F2D79">
              <w:t>nd sawdust</w:t>
            </w:r>
          </w:p>
          <w:p w:rsidR="00000000" w:rsidRPr="006F2D79" w:rsidP="006F2D79">
            <w:pPr>
              <w:pStyle w:val="ListBullet"/>
            </w:pPr>
            <w:r w:rsidRPr="006F2D79">
              <w:t>resin and tannin extractives</w:t>
            </w:r>
          </w:p>
          <w:p w:rsidR="00000000" w:rsidRPr="006F2D79" w:rsidP="006F2D79">
            <w:pPr>
              <w:pStyle w:val="ListBullet"/>
            </w:pPr>
            <w:r w:rsidRPr="006F2D79">
              <w:t>log peeler cores and veneer off-cuts</w:t>
            </w:r>
          </w:p>
          <w:p w:rsidR="00000000" w:rsidRPr="006F2D79" w:rsidP="006F2D79">
            <w:pPr>
              <w:pStyle w:val="ListBullet"/>
            </w:pPr>
            <w:r w:rsidRPr="006F2D79">
              <w:t>particle board and MDF off-cuts</w:t>
            </w:r>
          </w:p>
          <w:p w:rsidR="00000000" w:rsidRPr="006F2D79" w:rsidP="006F2D79">
            <w:pPr>
              <w:pStyle w:val="ListBullet"/>
            </w:pPr>
            <w:r w:rsidRPr="006F2D79">
              <w:t>treated boards</w:t>
            </w:r>
          </w:p>
          <w:p w:rsidR="00000000" w:rsidP="006F2D79">
            <w:pPr>
              <w:pStyle w:val="ListBullet"/>
              <w:rPr>
                <w:lang w:val="en-NZ"/>
              </w:rPr>
            </w:pPr>
            <w:r w:rsidRPr="006F2D79">
              <w:t>treatment solution</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Work order</w:t>
            </w:r>
            <w:r w:rsidRPr="006F2D79">
              <w:t xml:space="preserve"> must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machine operating procedures specific to product and product quality standards</w:t>
            </w:r>
          </w:p>
          <w:p w:rsidR="00000000" w:rsidRPr="006F2D79" w:rsidP="006F2D79">
            <w:pPr>
              <w:pStyle w:val="ListBullet"/>
            </w:pPr>
            <w:r w:rsidRPr="006F2D79">
              <w:t>product quality guidelines</w:t>
            </w:r>
          </w:p>
          <w:p w:rsidR="00000000" w:rsidRPr="006F2D79" w:rsidP="006F2D79">
            <w:pPr>
              <w:pStyle w:val="ListBullet"/>
            </w:pPr>
            <w:r w:rsidRPr="006F2D79">
              <w:t>product processing guidelines</w:t>
            </w:r>
          </w:p>
          <w:p w:rsidR="00000000" w:rsidRPr="006F2D79" w:rsidP="006F2D79">
            <w:pPr>
              <w:pStyle w:val="ListBullet"/>
            </w:pPr>
            <w:r w:rsidRPr="006F2D79">
              <w:t>packaging and/or shipping requirements</w:t>
            </w:r>
          </w:p>
          <w:p w:rsidR="00000000" w:rsidRPr="006F2D79" w:rsidP="006F2D79">
            <w:pPr>
              <w:pStyle w:val="BodyText"/>
            </w:pPr>
            <w:r w:rsidRPr="006F2D79">
              <w:t>and may include:</w:t>
            </w:r>
          </w:p>
          <w:p w:rsidR="00000000" w:rsidRPr="006F2D79" w:rsidP="006F2D79">
            <w:pPr>
              <w:pStyle w:val="ListBullet"/>
            </w:pPr>
            <w:r w:rsidRPr="006F2D79">
              <w:t>instructions for the environmental monitoring of work and procedures</w:t>
            </w:r>
          </w:p>
          <w:p w:rsidR="00000000" w:rsidP="006F2D79">
            <w:pPr>
              <w:pStyle w:val="ListBullet"/>
              <w:rPr>
                <w:lang w:val="en-NZ"/>
              </w:rPr>
            </w:pPr>
            <w:r w:rsidRPr="006F2D79">
              <w:t>environmental care requirements relevant to the work</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Equipment</w:t>
            </w:r>
            <w:r w:rsidRPr="006F2D79">
              <w:t xml:space="preserve"> may inclu</w:t>
            </w:r>
            <w:r w:rsidRPr="006F2D79">
              <w:t>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processing plant</w:t>
            </w:r>
          </w:p>
          <w:p w:rsidR="00000000" w:rsidRPr="006F2D79" w:rsidP="006F2D79">
            <w:pPr>
              <w:pStyle w:val="ListBullet"/>
            </w:pPr>
            <w:r w:rsidRPr="006F2D79">
              <w:t>hand tools</w:t>
            </w:r>
          </w:p>
          <w:p w:rsidR="00000000" w:rsidRPr="006F2D79" w:rsidP="006F2D79">
            <w:pPr>
              <w:pStyle w:val="ListBullet"/>
            </w:pPr>
            <w:r w:rsidRPr="006F2D79">
              <w:t>transfer systems</w:t>
            </w:r>
          </w:p>
          <w:p w:rsidR="00000000" w:rsidRPr="006F2D79" w:rsidP="006F2D79">
            <w:pPr>
              <w:pStyle w:val="ListBullet"/>
            </w:pPr>
            <w:r w:rsidRPr="006F2D79">
              <w:t>chippers</w:t>
            </w:r>
          </w:p>
          <w:p w:rsidR="00000000" w:rsidRPr="006F2D79" w:rsidP="006F2D79">
            <w:pPr>
              <w:pStyle w:val="ListBullet"/>
            </w:pPr>
            <w:r w:rsidRPr="006F2D79">
              <w:t>washing plants</w:t>
            </w:r>
          </w:p>
          <w:p w:rsidR="00000000" w:rsidP="006F2D79">
            <w:pPr>
              <w:pStyle w:val="ListBullet"/>
              <w:rPr>
                <w:lang w:val="en-NZ"/>
              </w:rPr>
            </w:pPr>
            <w:r w:rsidRPr="006F2D79">
              <w:t>aggregate sorters</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Transfer</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initial production process</w:t>
            </w:r>
          </w:p>
          <w:p w:rsidR="00000000" w:rsidRPr="006F2D79" w:rsidP="006F2D79">
            <w:pPr>
              <w:pStyle w:val="ListBullet"/>
            </w:pPr>
            <w:r w:rsidRPr="006F2D79">
              <w:t>conversion process</w:t>
            </w:r>
          </w:p>
          <w:p w:rsidR="00000000" w:rsidP="006F2D79">
            <w:pPr>
              <w:pStyle w:val="ListBullet"/>
              <w:rPr>
                <w:lang w:val="en-NZ"/>
              </w:rPr>
            </w:pPr>
            <w:r w:rsidRPr="006F2D79">
              <w:t>chemical alteration</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Storage</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hopper</w:t>
            </w:r>
          </w:p>
          <w:p w:rsidR="00000000" w:rsidRPr="006F2D79" w:rsidP="006F2D79">
            <w:pPr>
              <w:pStyle w:val="ListBullet"/>
            </w:pPr>
            <w:r w:rsidRPr="006F2D79">
              <w:t>pallets</w:t>
            </w:r>
          </w:p>
          <w:p w:rsidR="00000000" w:rsidRPr="006F2D79" w:rsidP="006F2D79">
            <w:pPr>
              <w:pStyle w:val="ListBullet"/>
            </w:pPr>
            <w:r w:rsidRPr="006F2D79">
              <w:t>yard</w:t>
            </w:r>
          </w:p>
          <w:p w:rsidR="00000000" w:rsidRPr="006F2D79" w:rsidP="006F2D79">
            <w:pPr>
              <w:pStyle w:val="ListBullet"/>
            </w:pPr>
            <w:r w:rsidRPr="006F2D79">
              <w:t>warehouse</w:t>
            </w:r>
          </w:p>
          <w:p w:rsidR="00000000" w:rsidP="006F2D79">
            <w:pPr>
              <w:pStyle w:val="ListBullet"/>
              <w:rPr>
                <w:lang w:val="en-NZ"/>
              </w:rPr>
            </w:pPr>
            <w:r w:rsidRPr="006F2D79">
              <w:t>dumps</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Communication</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verbal and non-verbal language</w:t>
            </w:r>
          </w:p>
          <w:p w:rsidR="00000000" w:rsidRPr="006F2D79" w:rsidP="006F2D79">
            <w:pPr>
              <w:pStyle w:val="ListBullet"/>
            </w:pPr>
            <w:r w:rsidRPr="006F2D79">
              <w:t>hand or other agreed signals</w:t>
            </w:r>
          </w:p>
          <w:p w:rsidR="00000000" w:rsidRPr="006F2D79" w:rsidP="006F2D79">
            <w:pPr>
              <w:pStyle w:val="ListBullet"/>
            </w:pPr>
            <w:r w:rsidRPr="006F2D79">
              <w:t>eye contact with other operators or personnel</w:t>
            </w:r>
          </w:p>
          <w:p w:rsidR="00000000" w:rsidRPr="006F2D79" w:rsidP="006F2D79">
            <w:pPr>
              <w:pStyle w:val="ListBullet"/>
            </w:pPr>
            <w:r w:rsidRPr="006F2D79">
              <w:t>active listening</w:t>
            </w:r>
          </w:p>
          <w:p w:rsidR="00000000" w:rsidRPr="006F2D79" w:rsidP="006F2D79">
            <w:pPr>
              <w:pStyle w:val="ListBullet"/>
            </w:pPr>
            <w:r w:rsidRPr="006F2D79">
              <w:t>questioning to clarify and confirm understanding</w:t>
            </w:r>
          </w:p>
          <w:p w:rsidR="00000000" w:rsidP="006F2D79">
            <w:pPr>
              <w:pStyle w:val="ListBullet"/>
              <w:rPr>
                <w:lang w:val="en-NZ"/>
              </w:rPr>
            </w:pPr>
            <w:r w:rsidRPr="006F2D79">
              <w:t>use of electronic communication devices</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Disposing of</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r</w:t>
            </w:r>
            <w:r w:rsidRPr="006F2D79">
              <w:t>ecycling waste</w:t>
            </w:r>
          </w:p>
          <w:p w:rsidR="00000000" w:rsidRPr="006F2D79" w:rsidP="006F2D79">
            <w:pPr>
              <w:pStyle w:val="ListBullet"/>
            </w:pPr>
            <w:r w:rsidRPr="006F2D79">
              <w:t>re-using waste</w:t>
            </w:r>
          </w:p>
          <w:p w:rsidR="00000000" w:rsidP="006F2D79">
            <w:pPr>
              <w:pStyle w:val="ListBullet"/>
              <w:rPr>
                <w:lang w:val="en-NZ"/>
              </w:rPr>
            </w:pPr>
            <w:r w:rsidRPr="006F2D79">
              <w:t>redirecting waste for energy recovery</w:t>
            </w:r>
          </w:p>
        </w:tc>
      </w:tr>
      <w:tr w:rsidTr="00BC7C63">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Records and reports</w:t>
            </w:r>
            <w:r w:rsidRPr="006F2D79">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6F2D79" w:rsidP="006F2D79">
            <w:pPr>
              <w:pStyle w:val="ListBullet"/>
            </w:pPr>
            <w:r w:rsidRPr="006F2D79">
              <w:t>product type</w:t>
            </w:r>
          </w:p>
          <w:p w:rsidR="00000000" w:rsidRPr="006F2D79" w:rsidP="006F2D79">
            <w:pPr>
              <w:pStyle w:val="ListBullet"/>
            </w:pPr>
            <w:r w:rsidRPr="006F2D79">
              <w:t>size</w:t>
            </w:r>
          </w:p>
          <w:p w:rsidR="00000000" w:rsidRPr="006F2D79" w:rsidP="006F2D79">
            <w:pPr>
              <w:pStyle w:val="ListBullet"/>
            </w:pPr>
            <w:r w:rsidRPr="006F2D79">
              <w:t>profile</w:t>
            </w:r>
          </w:p>
          <w:p w:rsidR="00000000" w:rsidRPr="006F2D79" w:rsidP="006F2D79">
            <w:pPr>
              <w:pStyle w:val="ListBullet"/>
            </w:pPr>
            <w:r w:rsidRPr="006F2D79">
              <w:t>inspection</w:t>
            </w:r>
          </w:p>
          <w:p w:rsidR="00000000" w:rsidRPr="006F2D79" w:rsidP="006F2D79">
            <w:pPr>
              <w:pStyle w:val="ListBullet"/>
            </w:pPr>
            <w:r w:rsidRPr="006F2D79">
              <w:t>grading and labelling outcomes</w:t>
            </w:r>
          </w:p>
          <w:p w:rsidR="00000000" w:rsidRPr="006F2D79" w:rsidP="006F2D79">
            <w:pPr>
              <w:pStyle w:val="ListBullet"/>
            </w:pPr>
            <w:r w:rsidRPr="006F2D79">
              <w:t>storage locations</w:t>
            </w:r>
          </w:p>
          <w:p w:rsidR="00000000" w:rsidRPr="006F2D79" w:rsidP="006F2D79">
            <w:pPr>
              <w:pStyle w:val="ListBullet"/>
            </w:pPr>
            <w:r w:rsidRPr="006F2D79">
              <w:t>quality outcomes</w:t>
            </w:r>
          </w:p>
          <w:p w:rsidR="00000000" w:rsidRPr="006F2D79" w:rsidP="006F2D79">
            <w:pPr>
              <w:pStyle w:val="ListBullet"/>
            </w:pPr>
            <w:r w:rsidRPr="006F2D79">
              <w:t>incidents</w:t>
            </w:r>
          </w:p>
          <w:p w:rsidR="00000000" w:rsidRPr="006F2D79" w:rsidP="006F2D79">
            <w:pPr>
              <w:pStyle w:val="ListBullet"/>
            </w:pPr>
            <w:r w:rsidRPr="006F2D79">
              <w:t>hazards</w:t>
            </w:r>
          </w:p>
          <w:p w:rsidR="00000000" w:rsidRPr="006F2D79" w:rsidP="006F2D79">
            <w:pPr>
              <w:pStyle w:val="ListBullet"/>
            </w:pPr>
            <w:r w:rsidRPr="006F2D79">
              <w:t>equipment malfunctions</w:t>
            </w:r>
          </w:p>
          <w:p w:rsidR="00000000" w:rsidRPr="006F2D79" w:rsidP="006F2D79">
            <w:pPr>
              <w:pStyle w:val="BodyText"/>
            </w:pPr>
            <w:r w:rsidRPr="006F2D79">
              <w:t>and may be:</w:t>
            </w:r>
          </w:p>
          <w:p w:rsidR="00000000" w:rsidRPr="006F2D79" w:rsidP="006F2D79">
            <w:pPr>
              <w:pStyle w:val="ListBullet"/>
            </w:pPr>
            <w:r w:rsidRPr="006F2D79">
              <w:t>manual</w:t>
            </w:r>
          </w:p>
          <w:p w:rsidR="00000000" w:rsidRPr="006F2D79" w:rsidP="006F2D79">
            <w:pPr>
              <w:pStyle w:val="ListBullet"/>
            </w:pPr>
            <w:r w:rsidRPr="006F2D79">
              <w:t>or by using a computer-based system or other appropriate organisational communication system</w:t>
            </w:r>
          </w:p>
        </w:tc>
      </w:tr>
    </w:tbl>
    <w:p w:rsidR="00BC7C63" w:rsidP="006F2D79">
      <w:pPr>
        <w:pStyle w:val="BodyText"/>
      </w:pPr>
    </w:p>
    <w:p w:rsidR="00BC7C63" w:rsidP="006F2D79">
      <w:pPr>
        <w:pStyle w:val="BodyText"/>
      </w:pPr>
    </w:p>
    <w:p w:rsidR="00000000" w:rsidRPr="006F2D79" w:rsidP="006F2D79">
      <w:pPr>
        <w:pStyle w:val="Heading1"/>
      </w:pPr>
      <w:bookmarkStart w:id="12" w:name="O_294607"/>
      <w:bookmarkEnd w:id="12"/>
      <w:r w:rsidRPr="006F2D79">
        <w:t>Unit Sector(s)</w:t>
      </w:r>
    </w:p>
    <w:p w:rsidR="00000000" w:rsidRPr="006F2D79" w:rsidP="006F2D79">
      <w:pPr>
        <w:pStyle w:val="BodyText"/>
      </w:pPr>
      <w:r w:rsidRPr="006F2D79">
        <w:t>Not Applicable</w:t>
      </w:r>
    </w:p>
    <w:p w:rsidR="00000000" w:rsidRPr="006F2D79" w:rsidP="006F2D79">
      <w:pPr>
        <w:pStyle w:val="AllowPageBreak"/>
      </w:pPr>
    </w:p>
    <w:p w:rsidR="00000000" w:rsidRPr="006F2D79" w:rsidP="006F2D79">
      <w:pPr>
        <w:pStyle w:val="Heading1"/>
      </w:pPr>
      <w:bookmarkStart w:id="13" w:name="O_203458"/>
      <w:bookmarkEnd w:id="13"/>
      <w:r w:rsidRPr="006F2D79">
        <w:t>Competency field</w:t>
      </w:r>
    </w:p>
    <w:tbl>
      <w:tblPr>
        <w:tblW w:w="0" w:type="auto"/>
        <w:tblLayout w:type="fixed"/>
        <w:tblCellMar>
          <w:left w:w="62" w:type="dxa"/>
          <w:right w:w="62" w:type="dxa"/>
        </w:tblCellMar>
        <w:tblLook w:val="0000"/>
      </w:tblPr>
      <w:tblGrid>
        <w:gridCol w:w="2777"/>
        <w:gridCol w:w="5745"/>
      </w:tblGrid>
      <w:tr w:rsidTr="00BC7C6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F2D79">
            <w:pPr>
              <w:pStyle w:val="BodyText"/>
              <w:rPr>
                <w:lang w:val="en-NZ"/>
              </w:rPr>
            </w:pPr>
            <w:r w:rsidRPr="006F2D7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F2D79" w:rsidP="006F2D79">
            <w:pPr>
              <w:pStyle w:val="BodyText"/>
            </w:pPr>
            <w:r w:rsidRPr="006F2D79">
              <w:t>Common Technical</w:t>
            </w:r>
          </w:p>
        </w:tc>
      </w:tr>
    </w:tbl>
    <w:p w:rsidR="00BC7C63" w:rsidP="006F2D79">
      <w:pPr>
        <w:pStyle w:val="BodyText"/>
      </w:pPr>
    </w:p>
    <w:p w:rsidR="00BC7C63" w:rsidP="006F2D79">
      <w:pPr>
        <w:pStyle w:val="BodyText"/>
      </w:pPr>
    </w:p>
    <w:p w:rsidR="00000000" w:rsidRPr="006F2D79" w:rsidP="006F2D79"/>
    <w:sectPr w:rsidSect="006F2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C63" w:rsidP="00BC7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63" w:rsidP="006F2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7C63" w:rsidP="006F2D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C7C63" w:rsidP="006F2D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C63" w:rsidP="00BC7C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63" w:rsidP="006F2D79">
    <w:pPr>
      <w:pStyle w:val="Header"/>
      <w:framePr w:wrap="around"/>
    </w:pPr>
    <w:r>
      <w:fldChar w:fldCharType="begin"/>
    </w:r>
    <w:r>
      <w:instrText xml:space="preserve"> TITLE   \* MERGEFORMAT </w:instrText>
    </w:r>
    <w:r>
      <w:fldChar w:fldCharType="separate"/>
    </w:r>
    <w:r>
      <w:t>FPICOT3253A Convert timber residue into products for further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7C63" w:rsidP="006F2D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86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88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D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D79"/>
    <w:pPr>
      <w:spacing w:before="360" w:after="60"/>
      <w:outlineLvl w:val="0"/>
    </w:pPr>
    <w:rPr>
      <w:sz w:val="32"/>
    </w:rPr>
  </w:style>
  <w:style w:type="paragraph" w:styleId="Heading2">
    <w:name w:val="heading 2"/>
    <w:basedOn w:val="HeadingBase"/>
    <w:next w:val="BodyText"/>
    <w:link w:val="Heading2Char"/>
    <w:qFormat/>
    <w:rsid w:val="006F2D79"/>
    <w:pPr>
      <w:keepLines/>
      <w:spacing w:before="240" w:after="120"/>
      <w:outlineLvl w:val="1"/>
    </w:pPr>
    <w:rPr>
      <w:sz w:val="28"/>
      <w:szCs w:val="40"/>
    </w:rPr>
  </w:style>
  <w:style w:type="paragraph" w:styleId="Heading3">
    <w:name w:val="heading 3"/>
    <w:basedOn w:val="HeadingBase"/>
    <w:next w:val="BodyText"/>
    <w:link w:val="Heading3Char"/>
    <w:qFormat/>
    <w:rsid w:val="006F2D79"/>
    <w:pPr>
      <w:spacing w:before="180" w:after="120"/>
      <w:outlineLvl w:val="2"/>
    </w:pPr>
    <w:rPr>
      <w:spacing w:val="-10"/>
      <w:kern w:val="32"/>
    </w:rPr>
  </w:style>
  <w:style w:type="paragraph" w:styleId="Heading4">
    <w:name w:val="heading 4"/>
    <w:basedOn w:val="HeadingBase"/>
    <w:next w:val="BodyText"/>
    <w:link w:val="Heading4Char"/>
    <w:qFormat/>
    <w:rsid w:val="006F2D79"/>
    <w:pPr>
      <w:spacing w:before="160" w:after="120"/>
      <w:outlineLvl w:val="3"/>
    </w:pPr>
    <w:rPr>
      <w:sz w:val="22"/>
    </w:rPr>
  </w:style>
  <w:style w:type="paragraph" w:styleId="Heading5">
    <w:name w:val="heading 5"/>
    <w:basedOn w:val="HeadingBase"/>
    <w:next w:val="Normal"/>
    <w:link w:val="Heading5Char"/>
    <w:qFormat/>
    <w:rsid w:val="006F2D79"/>
    <w:pPr>
      <w:spacing w:before="80"/>
      <w:outlineLvl w:val="4"/>
    </w:pPr>
    <w:rPr>
      <w:color w:val="918585"/>
      <w:sz w:val="20"/>
    </w:rPr>
  </w:style>
  <w:style w:type="paragraph" w:styleId="Heading6">
    <w:name w:val="heading 6"/>
    <w:basedOn w:val="HeadingBase"/>
    <w:next w:val="Normal"/>
    <w:link w:val="Heading6Char"/>
    <w:qFormat/>
    <w:rsid w:val="006F2D79"/>
    <w:pPr>
      <w:spacing w:before="60"/>
      <w:outlineLvl w:val="5"/>
    </w:pPr>
    <w:rPr>
      <w:color w:val="918585"/>
      <w:sz w:val="20"/>
    </w:rPr>
  </w:style>
  <w:style w:type="paragraph" w:styleId="Heading7">
    <w:name w:val="heading 7"/>
    <w:basedOn w:val="Normal"/>
    <w:next w:val="Normal"/>
    <w:link w:val="Heading7Char"/>
    <w:qFormat/>
    <w:rsid w:val="006F2D79"/>
    <w:pPr>
      <w:ind w:left="720"/>
      <w:outlineLvl w:val="6"/>
    </w:pPr>
    <w:rPr>
      <w:i/>
    </w:rPr>
  </w:style>
  <w:style w:type="paragraph" w:styleId="Heading8">
    <w:name w:val="heading 8"/>
    <w:basedOn w:val="Normal"/>
    <w:next w:val="Normal"/>
    <w:link w:val="Heading8Char"/>
    <w:qFormat/>
    <w:rsid w:val="006F2D79"/>
    <w:pPr>
      <w:ind w:left="720"/>
      <w:outlineLvl w:val="7"/>
    </w:pPr>
    <w:rPr>
      <w:i/>
    </w:rPr>
  </w:style>
  <w:style w:type="paragraph" w:styleId="Heading9">
    <w:name w:val="heading 9"/>
    <w:basedOn w:val="Normal"/>
    <w:next w:val="Normal"/>
    <w:link w:val="Heading9Char"/>
    <w:qFormat/>
    <w:rsid w:val="006F2D79"/>
    <w:pPr>
      <w:ind w:left="720"/>
      <w:outlineLvl w:val="8"/>
    </w:pPr>
    <w:rPr>
      <w:i/>
    </w:rPr>
  </w:style>
  <w:style w:type="character" w:default="1" w:styleId="DefaultParagraphFont">
    <w:name w:val="Default Paragraph Font"/>
    <w:uiPriority w:val="1"/>
    <w:unhideWhenUsed/>
    <w:rsid w:val="006F2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D79"/>
  </w:style>
  <w:style w:type="character" w:customStyle="1" w:styleId="Heading1Char">
    <w:name w:val="Heading 1 Char"/>
    <w:basedOn w:val="DefaultParagraphFont"/>
    <w:link w:val="Heading1"/>
    <w:rsid w:val="006F2D79"/>
    <w:rPr>
      <w:rFonts w:ascii="Times New Roman" w:eastAsia="Times New Roman" w:hAnsi="Times New Roman" w:cs="Times New Roman"/>
      <w:b/>
      <w:sz w:val="32"/>
      <w:szCs w:val="20"/>
      <w:lang w:eastAsia="en-US"/>
    </w:rPr>
  </w:style>
  <w:style w:type="paragraph" w:styleId="BodyText">
    <w:name w:val="Body Text"/>
    <w:basedOn w:val="Normal"/>
    <w:link w:val="BodyTextChar"/>
    <w:rsid w:val="006F2D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D79"/>
    <w:rPr>
      <w:rFonts w:ascii="Times New Roman" w:eastAsia="Times New Roman" w:hAnsi="Times New Roman" w:cs="Times New Roman"/>
      <w:sz w:val="24"/>
      <w:lang w:val="en-US" w:eastAsia="en-US"/>
    </w:rPr>
  </w:style>
  <w:style w:type="paragraph" w:styleId="Footer">
    <w:name w:val="footer"/>
    <w:basedOn w:val="Normal"/>
    <w:link w:val="FooterChar"/>
    <w:rsid w:val="006F2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D79"/>
    <w:rPr>
      <w:rFonts w:ascii="Times New Roman" w:eastAsia="Times New Roman" w:hAnsi="Times New Roman" w:cs="Times New Roman"/>
      <w:sz w:val="16"/>
      <w:lang w:val="en-US" w:eastAsia="en-US"/>
    </w:rPr>
  </w:style>
  <w:style w:type="paragraph" w:styleId="List">
    <w:name w:val="List"/>
    <w:basedOn w:val="BodyText"/>
    <w:next w:val="BodyText"/>
    <w:rsid w:val="006F2D79"/>
    <w:pPr>
      <w:tabs>
        <w:tab w:val="left" w:pos="340"/>
      </w:tabs>
      <w:spacing w:before="60" w:after="60"/>
      <w:ind w:left="340" w:hanging="340"/>
    </w:pPr>
  </w:style>
  <w:style w:type="paragraph" w:styleId="ListBullet">
    <w:name w:val="List Bullet"/>
    <w:basedOn w:val="List"/>
    <w:rsid w:val="006F2D79"/>
    <w:pPr>
      <w:numPr>
        <w:numId w:val="13"/>
      </w:numPr>
      <w:tabs>
        <w:tab w:val="clear" w:pos="340"/>
      </w:tabs>
      <w:spacing w:before="40" w:after="40"/>
    </w:pPr>
  </w:style>
  <w:style w:type="character" w:customStyle="1" w:styleId="SpecialBold">
    <w:name w:val="Special Bold"/>
    <w:basedOn w:val="DefaultParagraphFont"/>
    <w:rsid w:val="006F2D79"/>
    <w:rPr>
      <w:b/>
      <w:spacing w:val="0"/>
    </w:rPr>
  </w:style>
  <w:style w:type="paragraph" w:styleId="Header">
    <w:name w:val="header"/>
    <w:basedOn w:val="Normal"/>
    <w:link w:val="HeaderChar"/>
    <w:rsid w:val="006F2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D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D79"/>
    <w:pPr>
      <w:spacing w:before="240" w:after="120"/>
      <w:outlineLvl w:val="0"/>
    </w:pPr>
    <w:rPr>
      <w:rFonts w:ascii="Times New Roman" w:hAnsi="Times New Roman"/>
      <w:b/>
      <w:sz w:val="28"/>
    </w:rPr>
  </w:style>
  <w:style w:type="paragraph" w:customStyle="1" w:styleId="AllowPageBreak">
    <w:name w:val="AllowPageBreak"/>
    <w:rsid w:val="006F2D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2D79"/>
    <w:pPr>
      <w:tabs>
        <w:tab w:val="left" w:pos="680"/>
      </w:tabs>
      <w:spacing w:before="60" w:after="60"/>
      <w:ind w:left="680" w:hanging="340"/>
    </w:pPr>
  </w:style>
  <w:style w:type="paragraph" w:styleId="ListBullet3">
    <w:name w:val="List Bullet 3"/>
    <w:basedOn w:val="List3"/>
    <w:rsid w:val="006F2D79"/>
    <w:pPr>
      <w:numPr>
        <w:numId w:val="2"/>
      </w:numPr>
      <w:tabs>
        <w:tab w:val="clear" w:pos="1021"/>
      </w:tabs>
      <w:ind w:left="1037" w:hanging="357"/>
    </w:pPr>
  </w:style>
  <w:style w:type="character" w:customStyle="1" w:styleId="BoldandItalics">
    <w:name w:val="Bold and Italics"/>
    <w:qFormat/>
    <w:rsid w:val="006F2D79"/>
    <w:rPr>
      <w:b/>
      <w:i/>
      <w:u w:val="none"/>
    </w:rPr>
  </w:style>
  <w:style w:type="character" w:customStyle="1" w:styleId="Heading2Char">
    <w:name w:val="Heading 2 Char"/>
    <w:basedOn w:val="DefaultParagraphFont"/>
    <w:link w:val="Heading2"/>
    <w:rsid w:val="006F2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D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D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D79"/>
    <w:rPr>
      <w:rFonts w:ascii="Courier New" w:eastAsia="Times New Roman" w:hAnsi="Courier New" w:cs="Times New Roman"/>
      <w:i/>
      <w:szCs w:val="20"/>
      <w:lang w:val="en-US" w:eastAsia="en-US"/>
    </w:rPr>
  </w:style>
  <w:style w:type="paragraph" w:customStyle="1" w:styleId="HeadingBase">
    <w:name w:val="Heading Base"/>
    <w:rsid w:val="006F2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D79"/>
    <w:pPr>
      <w:tabs>
        <w:tab w:val="right" w:leader="dot" w:pos="9072"/>
      </w:tabs>
      <w:ind w:left="567"/>
    </w:pPr>
    <w:rPr>
      <w:szCs w:val="22"/>
    </w:rPr>
  </w:style>
  <w:style w:type="paragraph" w:customStyle="1" w:styleId="TOCBase">
    <w:name w:val="TOC Base"/>
    <w:rsid w:val="006F2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D79"/>
    <w:pPr>
      <w:tabs>
        <w:tab w:val="right" w:leader="dot" w:pos="9072"/>
      </w:tabs>
      <w:spacing w:before="40" w:after="40"/>
      <w:ind w:left="284"/>
    </w:pPr>
    <w:rPr>
      <w:rFonts w:ascii="Times New Roman" w:hAnsi="Times New Roman"/>
    </w:rPr>
  </w:style>
  <w:style w:type="paragraph" w:styleId="TOC1">
    <w:name w:val="toc 1"/>
    <w:basedOn w:val="TOCBase"/>
    <w:next w:val="Normal"/>
    <w:rsid w:val="006F2D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D79"/>
    <w:pPr>
      <w:spacing w:before="5040"/>
      <w:jc w:val="center"/>
    </w:pPr>
    <w:rPr>
      <w:sz w:val="48"/>
      <w:szCs w:val="72"/>
      <w:lang w:val="en-US"/>
    </w:rPr>
  </w:style>
  <w:style w:type="character" w:customStyle="1" w:styleId="TitleChar">
    <w:name w:val="Title Char"/>
    <w:basedOn w:val="DefaultParagraphFont"/>
    <w:link w:val="Title"/>
    <w:rsid w:val="006F2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D79"/>
    <w:pPr>
      <w:tabs>
        <w:tab w:val="left" w:pos="3600"/>
        <w:tab w:val="left" w:pos="3958"/>
      </w:tabs>
    </w:pPr>
  </w:style>
  <w:style w:type="paragraph" w:customStyle="1" w:styleId="Note">
    <w:name w:val="Note"/>
    <w:basedOn w:val="BodyText"/>
    <w:rsid w:val="006F2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D79"/>
    <w:pPr>
      <w:framePr w:wrap="auto" w:hAnchor="text" w:y="6049"/>
    </w:pPr>
    <w:rPr>
      <w:color w:val="000000"/>
      <w:sz w:val="40"/>
    </w:rPr>
  </w:style>
  <w:style w:type="paragraph" w:customStyle="1" w:styleId="TOCTitle">
    <w:name w:val="TOCTitle"/>
    <w:basedOn w:val="Heading1"/>
    <w:rsid w:val="006F2D79"/>
    <w:pPr>
      <w:spacing w:after="240"/>
      <w:jc w:val="center"/>
      <w:outlineLvl w:val="9"/>
    </w:pPr>
    <w:rPr>
      <w:caps/>
    </w:rPr>
  </w:style>
  <w:style w:type="paragraph" w:customStyle="1" w:styleId="Version">
    <w:name w:val="Version"/>
    <w:rsid w:val="006F2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D79"/>
    <w:pPr>
      <w:numPr>
        <w:numId w:val="14"/>
      </w:numPr>
      <w:tabs>
        <w:tab w:val="clear" w:pos="680"/>
      </w:tabs>
    </w:pPr>
  </w:style>
  <w:style w:type="paragraph" w:styleId="Index1">
    <w:name w:val="index 1"/>
    <w:basedOn w:val="Normal"/>
    <w:next w:val="Normal"/>
    <w:semiHidden/>
    <w:rsid w:val="006F2D79"/>
    <w:pPr>
      <w:keepNext w:val="0"/>
      <w:tabs>
        <w:tab w:val="right" w:pos="4176"/>
      </w:tabs>
      <w:ind w:left="198" w:hanging="198"/>
    </w:pPr>
    <w:rPr>
      <w:rFonts w:ascii="Garamond" w:hAnsi="Garamond"/>
    </w:rPr>
  </w:style>
  <w:style w:type="paragraph" w:styleId="IndexHeading">
    <w:name w:val="index heading"/>
    <w:basedOn w:val="Normal"/>
    <w:next w:val="Index1"/>
    <w:semiHidden/>
    <w:rsid w:val="006F2D79"/>
    <w:pPr>
      <w:spacing w:before="120" w:after="120"/>
    </w:pPr>
    <w:rPr>
      <w:rFonts w:ascii="Arial" w:hAnsi="Arial"/>
      <w:b/>
      <w:color w:val="918585"/>
      <w:sz w:val="24"/>
    </w:rPr>
  </w:style>
  <w:style w:type="paragraph" w:customStyle="1" w:styleId="Chapter">
    <w:name w:val="Chapter"/>
    <w:basedOn w:val="Normal"/>
    <w:rsid w:val="006F2D79"/>
    <w:pPr>
      <w:spacing w:before="240"/>
    </w:pPr>
    <w:rPr>
      <w:rFonts w:ascii="Times New Roman" w:hAnsi="Times New Roman"/>
      <w:smallCaps/>
      <w:spacing w:val="80"/>
      <w:sz w:val="28"/>
    </w:rPr>
  </w:style>
  <w:style w:type="paragraph" w:customStyle="1" w:styleId="InChapter">
    <w:name w:val="InChapter"/>
    <w:basedOn w:val="Heading3"/>
    <w:rsid w:val="006F2D79"/>
    <w:pPr>
      <w:spacing w:after="240"/>
      <w:outlineLvl w:val="9"/>
    </w:pPr>
    <w:rPr>
      <w:noProof/>
    </w:rPr>
  </w:style>
  <w:style w:type="paragraph" w:styleId="Index2">
    <w:name w:val="index 2"/>
    <w:basedOn w:val="Normal"/>
    <w:next w:val="Normal"/>
    <w:semiHidden/>
    <w:rsid w:val="006F2D79"/>
    <w:pPr>
      <w:tabs>
        <w:tab w:val="right" w:pos="4176"/>
      </w:tabs>
      <w:ind w:left="568" w:hanging="284"/>
    </w:pPr>
    <w:rPr>
      <w:rFonts w:ascii="Garamond" w:hAnsi="Garamond"/>
    </w:rPr>
  </w:style>
  <w:style w:type="paragraph" w:customStyle="1" w:styleId="Byline">
    <w:name w:val="Byline"/>
    <w:rsid w:val="006F2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D79"/>
    <w:pPr>
      <w:tabs>
        <w:tab w:val="clear" w:pos="3600"/>
        <w:tab w:val="clear" w:pos="3958"/>
      </w:tabs>
      <w:jc w:val="right"/>
    </w:pPr>
  </w:style>
  <w:style w:type="character" w:styleId="Emphasis">
    <w:name w:val="Emphasis"/>
    <w:basedOn w:val="DefaultParagraphFont"/>
    <w:qFormat/>
    <w:rsid w:val="006F2D79"/>
    <w:rPr>
      <w:i/>
    </w:rPr>
  </w:style>
  <w:style w:type="paragraph" w:styleId="Caption">
    <w:name w:val="caption"/>
    <w:basedOn w:val="BodyText"/>
    <w:next w:val="Normal"/>
    <w:qFormat/>
    <w:rsid w:val="006F2D79"/>
    <w:pPr>
      <w:framePr w:w="2268" w:hSpace="181" w:vSpace="181" w:wrap="around" w:vAnchor="text" w:hAnchor="page" w:x="1135" w:y="285" w:anchorLock="1"/>
    </w:pPr>
    <w:rPr>
      <w:i/>
    </w:rPr>
  </w:style>
  <w:style w:type="paragraph" w:customStyle="1" w:styleId="MiniTOCTitle">
    <w:name w:val="MiniTOCTitle"/>
    <w:basedOn w:val="Heading4"/>
    <w:rsid w:val="006F2D79"/>
    <w:pPr>
      <w:spacing w:before="240"/>
      <w:outlineLvl w:val="9"/>
    </w:pPr>
    <w:rPr>
      <w:noProof/>
      <w:sz w:val="24"/>
    </w:rPr>
  </w:style>
  <w:style w:type="paragraph" w:customStyle="1" w:styleId="MiniTOCItem">
    <w:name w:val="MiniTOCItem"/>
    <w:basedOn w:val="ListBullet"/>
    <w:rsid w:val="006F2D79"/>
    <w:pPr>
      <w:numPr>
        <w:numId w:val="0"/>
      </w:numPr>
      <w:tabs>
        <w:tab w:val="right" w:leader="dot" w:pos="6521"/>
      </w:tabs>
      <w:spacing w:before="0" w:after="0"/>
    </w:pPr>
  </w:style>
  <w:style w:type="paragraph" w:customStyle="1" w:styleId="TOFTitle">
    <w:name w:val="TOFTitle"/>
    <w:basedOn w:val="TOCTitle"/>
    <w:rsid w:val="006F2D79"/>
  </w:style>
  <w:style w:type="paragraph" w:styleId="TableofFigures">
    <w:name w:val="table of figures"/>
    <w:basedOn w:val="Normal"/>
    <w:next w:val="Normal"/>
    <w:semiHidden/>
    <w:rsid w:val="006F2D79"/>
    <w:pPr>
      <w:tabs>
        <w:tab w:val="right" w:leader="dot" w:pos="9072"/>
      </w:tabs>
      <w:ind w:left="970" w:hanging="403"/>
    </w:pPr>
    <w:rPr>
      <w:rFonts w:ascii="Times New Roman" w:hAnsi="Times New Roman"/>
      <w:b/>
    </w:rPr>
  </w:style>
  <w:style w:type="paragraph" w:styleId="ListNumber">
    <w:name w:val="List Number"/>
    <w:basedOn w:val="List"/>
    <w:rsid w:val="006F2D79"/>
    <w:pPr>
      <w:numPr>
        <w:numId w:val="11"/>
      </w:numPr>
    </w:pPr>
  </w:style>
  <w:style w:type="character" w:customStyle="1" w:styleId="WingdingSymbols">
    <w:name w:val="Wingding Symbols"/>
    <w:rsid w:val="006F2D79"/>
    <w:rPr>
      <w:rFonts w:ascii="Wingdings" w:hAnsi="Wingdings"/>
    </w:rPr>
  </w:style>
  <w:style w:type="paragraph" w:customStyle="1" w:styleId="TableHeading">
    <w:name w:val="Table Heading"/>
    <w:basedOn w:val="HeadingBase"/>
    <w:rsid w:val="006F2D79"/>
    <w:pPr>
      <w:keepLines/>
      <w:pBdr>
        <w:bottom w:val="single" w:sz="6" w:space="1" w:color="918585"/>
      </w:pBdr>
      <w:spacing w:before="240"/>
    </w:pPr>
  </w:style>
  <w:style w:type="character" w:customStyle="1" w:styleId="HotSpot">
    <w:name w:val="HotSpot"/>
    <w:rsid w:val="006F2D79"/>
    <w:rPr>
      <w:color w:val="0033CC"/>
      <w:u w:val="none"/>
    </w:rPr>
  </w:style>
  <w:style w:type="paragraph" w:customStyle="1" w:styleId="BodyTextRight">
    <w:name w:val="Body Text Right"/>
    <w:basedOn w:val="BodyText"/>
    <w:rsid w:val="006F2D79"/>
    <w:pPr>
      <w:spacing w:before="0" w:after="0"/>
      <w:jc w:val="right"/>
    </w:pPr>
  </w:style>
  <w:style w:type="paragraph" w:styleId="Index3">
    <w:name w:val="index 3"/>
    <w:basedOn w:val="ListNumber2"/>
    <w:next w:val="Normal"/>
    <w:semiHidden/>
    <w:rsid w:val="006F2D79"/>
    <w:pPr>
      <w:numPr>
        <w:numId w:val="0"/>
      </w:numPr>
      <w:tabs>
        <w:tab w:val="right" w:leader="dot" w:pos="4176"/>
      </w:tabs>
    </w:pPr>
  </w:style>
  <w:style w:type="paragraph" w:styleId="ListNumber2">
    <w:name w:val="List Number 2"/>
    <w:basedOn w:val="List2"/>
    <w:rsid w:val="006F2D79"/>
    <w:pPr>
      <w:numPr>
        <w:numId w:val="10"/>
      </w:numPr>
      <w:tabs>
        <w:tab w:val="clear" w:pos="1060"/>
      </w:tabs>
    </w:pPr>
  </w:style>
  <w:style w:type="paragraph" w:customStyle="1" w:styleId="MarginNote">
    <w:name w:val="Margin Note"/>
    <w:basedOn w:val="BodyText"/>
    <w:rsid w:val="006F2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D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D79"/>
    <w:rPr>
      <w:sz w:val="32"/>
    </w:rPr>
  </w:style>
  <w:style w:type="paragraph" w:customStyle="1" w:styleId="HeadingProcedure">
    <w:name w:val="Heading Procedure"/>
    <w:basedOn w:val="HeadingBase"/>
    <w:next w:val="Normal"/>
    <w:rsid w:val="006F2D79"/>
    <w:pPr>
      <w:tabs>
        <w:tab w:val="left" w:pos="0"/>
      </w:tabs>
      <w:spacing w:before="120" w:after="60"/>
    </w:pPr>
    <w:rPr>
      <w:i/>
      <w:color w:val="918585"/>
      <w:sz w:val="22"/>
    </w:rPr>
  </w:style>
  <w:style w:type="paragraph" w:customStyle="1" w:styleId="TableBodyText">
    <w:name w:val="Table Body Text"/>
    <w:basedOn w:val="BodyText"/>
    <w:rsid w:val="006F2D79"/>
    <w:pPr>
      <w:spacing w:before="60" w:after="60"/>
    </w:pPr>
  </w:style>
  <w:style w:type="paragraph" w:styleId="ListContinue">
    <w:name w:val="List Continue"/>
    <w:basedOn w:val="List"/>
    <w:rsid w:val="006F2D79"/>
    <w:pPr>
      <w:ind w:firstLine="0"/>
    </w:pPr>
  </w:style>
  <w:style w:type="paragraph" w:customStyle="1" w:styleId="ListNote">
    <w:name w:val="List Note"/>
    <w:basedOn w:val="List"/>
    <w:rsid w:val="006F2D79"/>
    <w:pPr>
      <w:pBdr>
        <w:top w:val="single" w:sz="6" w:space="2" w:color="918585"/>
        <w:bottom w:val="single" w:sz="6" w:space="2" w:color="918585"/>
      </w:pBdr>
      <w:tabs>
        <w:tab w:val="left" w:pos="1021"/>
      </w:tabs>
      <w:ind w:firstLine="0"/>
    </w:pPr>
  </w:style>
  <w:style w:type="paragraph" w:customStyle="1" w:styleId="Warning">
    <w:name w:val="Warning"/>
    <w:basedOn w:val="BodyText"/>
    <w:rsid w:val="006F2D79"/>
    <w:pPr>
      <w:shd w:val="clear" w:color="auto" w:fill="D9D9D9"/>
      <w:tabs>
        <w:tab w:val="left" w:pos="992"/>
      </w:tabs>
      <w:ind w:left="119" w:right="119"/>
    </w:pPr>
    <w:rPr>
      <w:sz w:val="20"/>
    </w:rPr>
  </w:style>
  <w:style w:type="paragraph" w:customStyle="1" w:styleId="MarginIcons">
    <w:name w:val="Margin Icons"/>
    <w:basedOn w:val="BodyText"/>
    <w:rsid w:val="006F2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D79"/>
    <w:rPr>
      <w:rFonts w:ascii="Courier New" w:hAnsi="Courier New"/>
    </w:rPr>
  </w:style>
  <w:style w:type="paragraph" w:customStyle="1" w:styleId="NoteBullet">
    <w:name w:val="Note Bullet"/>
    <w:basedOn w:val="Note"/>
    <w:rsid w:val="006F2D79"/>
    <w:pPr>
      <w:tabs>
        <w:tab w:val="clear" w:pos="680"/>
      </w:tabs>
      <w:spacing w:before="60" w:after="60"/>
    </w:pPr>
  </w:style>
  <w:style w:type="paragraph" w:customStyle="1" w:styleId="SubHeading2">
    <w:name w:val="SubHeading2"/>
    <w:basedOn w:val="HeadingBase"/>
    <w:rsid w:val="006F2D79"/>
    <w:pPr>
      <w:spacing w:before="240" w:after="60"/>
    </w:pPr>
    <w:rPr>
      <w:sz w:val="20"/>
    </w:rPr>
  </w:style>
  <w:style w:type="paragraph" w:customStyle="1" w:styleId="SubHeading1">
    <w:name w:val="SubHeading1"/>
    <w:basedOn w:val="HeadingBase"/>
    <w:rsid w:val="006F2D79"/>
    <w:pPr>
      <w:spacing w:before="240" w:after="60"/>
    </w:pPr>
    <w:rPr>
      <w:color w:val="918585"/>
      <w:sz w:val="22"/>
    </w:rPr>
  </w:style>
  <w:style w:type="paragraph" w:customStyle="1" w:styleId="SideHeading">
    <w:name w:val="Side Heading"/>
    <w:basedOn w:val="HeadingBase"/>
    <w:rsid w:val="006F2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D79"/>
    <w:pPr>
      <w:numPr>
        <w:numId w:val="12"/>
      </w:numPr>
    </w:pPr>
  </w:style>
  <w:style w:type="paragraph" w:styleId="PlainText">
    <w:name w:val="Plain Text"/>
    <w:basedOn w:val="Normal"/>
    <w:link w:val="PlainTextChar"/>
    <w:rsid w:val="006F2D79"/>
    <w:rPr>
      <w:sz w:val="20"/>
    </w:rPr>
  </w:style>
  <w:style w:type="character" w:customStyle="1" w:styleId="PlainTextChar">
    <w:name w:val="Plain Text Char"/>
    <w:basedOn w:val="DefaultParagraphFont"/>
    <w:link w:val="PlainText"/>
    <w:rsid w:val="006F2D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D79"/>
    <w:rPr>
      <w:b/>
      <w:smallCaps/>
    </w:rPr>
  </w:style>
  <w:style w:type="paragraph" w:customStyle="1" w:styleId="TableListNumber">
    <w:name w:val="Table List Number"/>
    <w:basedOn w:val="ListNumber"/>
    <w:rsid w:val="006F2D79"/>
    <w:pPr>
      <w:numPr>
        <w:numId w:val="0"/>
      </w:numPr>
    </w:pPr>
  </w:style>
  <w:style w:type="paragraph" w:styleId="TOC4">
    <w:name w:val="toc 4"/>
    <w:basedOn w:val="TOCBase"/>
    <w:next w:val="Normal"/>
    <w:semiHidden/>
    <w:rsid w:val="006F2D79"/>
    <w:pPr>
      <w:tabs>
        <w:tab w:val="right" w:leader="dot" w:pos="9071"/>
      </w:tabs>
      <w:ind w:left="1701"/>
    </w:pPr>
  </w:style>
  <w:style w:type="paragraph" w:customStyle="1" w:styleId="ListAlpha">
    <w:name w:val="List Alpha"/>
    <w:basedOn w:val="List"/>
    <w:rsid w:val="006F2D79"/>
    <w:pPr>
      <w:numPr>
        <w:numId w:val="9"/>
      </w:numPr>
    </w:pPr>
  </w:style>
  <w:style w:type="paragraph" w:customStyle="1" w:styleId="ListAlpha2">
    <w:name w:val="List Alpha 2"/>
    <w:basedOn w:val="List2"/>
    <w:rsid w:val="006F2D79"/>
    <w:pPr>
      <w:numPr>
        <w:numId w:val="8"/>
      </w:numPr>
    </w:pPr>
  </w:style>
  <w:style w:type="paragraph" w:styleId="List3">
    <w:name w:val="List 3"/>
    <w:basedOn w:val="BodyText"/>
    <w:rsid w:val="006F2D79"/>
    <w:pPr>
      <w:tabs>
        <w:tab w:val="left" w:pos="1021"/>
      </w:tabs>
      <w:spacing w:before="60" w:after="60"/>
      <w:ind w:left="1020" w:hanging="340"/>
    </w:pPr>
  </w:style>
  <w:style w:type="paragraph" w:styleId="List4">
    <w:name w:val="List 4"/>
    <w:basedOn w:val="BodyText"/>
    <w:rsid w:val="006F2D79"/>
    <w:pPr>
      <w:tabs>
        <w:tab w:val="left" w:pos="1361"/>
      </w:tabs>
      <w:spacing w:before="60" w:after="60"/>
      <w:ind w:left="1361" w:hanging="340"/>
    </w:pPr>
  </w:style>
  <w:style w:type="paragraph" w:styleId="List5">
    <w:name w:val="List 5"/>
    <w:basedOn w:val="BodyText"/>
    <w:rsid w:val="006F2D79"/>
    <w:pPr>
      <w:tabs>
        <w:tab w:val="left" w:pos="1701"/>
      </w:tabs>
      <w:spacing w:before="60" w:after="60"/>
      <w:ind w:left="1701" w:hanging="340"/>
    </w:pPr>
  </w:style>
  <w:style w:type="paragraph" w:styleId="ListBullet4">
    <w:name w:val="List Bullet 4"/>
    <w:basedOn w:val="List4"/>
    <w:rsid w:val="006F2D79"/>
    <w:pPr>
      <w:numPr>
        <w:numId w:val="3"/>
      </w:numPr>
    </w:pPr>
  </w:style>
  <w:style w:type="paragraph" w:styleId="ListBullet5">
    <w:name w:val="List Bullet 5"/>
    <w:basedOn w:val="List5"/>
    <w:rsid w:val="006F2D79"/>
    <w:pPr>
      <w:numPr>
        <w:numId w:val="4"/>
      </w:numPr>
    </w:pPr>
  </w:style>
  <w:style w:type="paragraph" w:styleId="ListContinue2">
    <w:name w:val="List Continue 2"/>
    <w:basedOn w:val="List2"/>
    <w:rsid w:val="006F2D79"/>
    <w:pPr>
      <w:ind w:firstLine="0"/>
    </w:pPr>
  </w:style>
  <w:style w:type="paragraph" w:styleId="ListContinue3">
    <w:name w:val="List Continue 3"/>
    <w:basedOn w:val="List3"/>
    <w:rsid w:val="006F2D79"/>
    <w:pPr>
      <w:ind w:left="1021" w:firstLine="0"/>
    </w:pPr>
  </w:style>
  <w:style w:type="paragraph" w:styleId="ListContinue4">
    <w:name w:val="List Continue 4"/>
    <w:basedOn w:val="List4"/>
    <w:rsid w:val="006F2D79"/>
    <w:pPr>
      <w:ind w:firstLine="0"/>
    </w:pPr>
  </w:style>
  <w:style w:type="paragraph" w:styleId="ListContinue5">
    <w:name w:val="List Continue 5"/>
    <w:basedOn w:val="List5"/>
    <w:rsid w:val="006F2D79"/>
    <w:pPr>
      <w:ind w:firstLine="0"/>
    </w:pPr>
  </w:style>
  <w:style w:type="paragraph" w:styleId="ListNumber3">
    <w:name w:val="List Number 3"/>
    <w:basedOn w:val="List3"/>
    <w:rsid w:val="006F2D79"/>
    <w:pPr>
      <w:numPr>
        <w:numId w:val="5"/>
      </w:numPr>
    </w:pPr>
  </w:style>
  <w:style w:type="paragraph" w:styleId="ListNumber4">
    <w:name w:val="List Number 4"/>
    <w:basedOn w:val="List4"/>
    <w:rsid w:val="006F2D79"/>
    <w:pPr>
      <w:numPr>
        <w:numId w:val="6"/>
      </w:numPr>
    </w:pPr>
  </w:style>
  <w:style w:type="paragraph" w:styleId="ListNumber5">
    <w:name w:val="List Number 5"/>
    <w:basedOn w:val="List5"/>
    <w:rsid w:val="006F2D79"/>
    <w:pPr>
      <w:numPr>
        <w:numId w:val="7"/>
      </w:numPr>
    </w:pPr>
  </w:style>
  <w:style w:type="paragraph" w:styleId="BlockText">
    <w:name w:val="Block Text"/>
    <w:basedOn w:val="Normal"/>
    <w:rsid w:val="006F2D79"/>
    <w:pPr>
      <w:spacing w:after="120"/>
      <w:ind w:left="1440" w:right="1440"/>
    </w:pPr>
  </w:style>
  <w:style w:type="character" w:customStyle="1" w:styleId="Subscript">
    <w:name w:val="Subscript"/>
    <w:basedOn w:val="DefaultParagraphFont"/>
    <w:rsid w:val="006F2D79"/>
    <w:rPr>
      <w:sz w:val="16"/>
      <w:vertAlign w:val="subscript"/>
    </w:rPr>
  </w:style>
  <w:style w:type="character" w:customStyle="1" w:styleId="Superscript">
    <w:name w:val="Superscript"/>
    <w:basedOn w:val="DefaultParagraphFont"/>
    <w:rsid w:val="006F2D79"/>
    <w:rPr>
      <w:sz w:val="16"/>
      <w:vertAlign w:val="superscript"/>
    </w:rPr>
  </w:style>
  <w:style w:type="character" w:customStyle="1" w:styleId="Symbols">
    <w:name w:val="Symbols"/>
    <w:basedOn w:val="DefaultParagraphFont"/>
    <w:rsid w:val="006F2D79"/>
    <w:rPr>
      <w:rFonts w:ascii="Symbol" w:hAnsi="Symbol"/>
    </w:rPr>
  </w:style>
  <w:style w:type="character" w:customStyle="1" w:styleId="MenuOptions">
    <w:name w:val="Menu Options"/>
    <w:basedOn w:val="DefaultParagraphFont"/>
    <w:rsid w:val="006F2D79"/>
    <w:rPr>
      <w:rFonts w:ascii="Arial Narrow" w:hAnsi="Arial Narrow"/>
      <w:smallCaps/>
    </w:rPr>
  </w:style>
  <w:style w:type="character" w:customStyle="1" w:styleId="Buttons">
    <w:name w:val="Buttons"/>
    <w:basedOn w:val="DefaultParagraphFont"/>
    <w:rsid w:val="006F2D79"/>
    <w:rPr>
      <w:b/>
    </w:rPr>
  </w:style>
  <w:style w:type="character" w:customStyle="1" w:styleId="Underlined">
    <w:name w:val="Underlined"/>
    <w:basedOn w:val="DefaultParagraphFont"/>
    <w:rsid w:val="006F2D79"/>
    <w:rPr>
      <w:u w:val="single"/>
    </w:rPr>
  </w:style>
  <w:style w:type="paragraph" w:customStyle="1" w:styleId="TableBodyTextRight">
    <w:name w:val="Table Body Text Right"/>
    <w:basedOn w:val="TableBodyText"/>
    <w:rsid w:val="006F2D79"/>
    <w:pPr>
      <w:widowControl w:val="0"/>
      <w:autoSpaceDE w:val="0"/>
      <w:autoSpaceDN w:val="0"/>
      <w:adjustRightInd w:val="0"/>
      <w:jc w:val="right"/>
    </w:pPr>
    <w:rPr>
      <w:rFonts w:cs="Arial"/>
      <w:szCs w:val="18"/>
    </w:rPr>
  </w:style>
  <w:style w:type="paragraph" w:customStyle="1" w:styleId="CopyrightText">
    <w:name w:val="Copyright Text"/>
    <w:basedOn w:val="BodyText"/>
    <w:rsid w:val="006F2D79"/>
    <w:rPr>
      <w:sz w:val="18"/>
    </w:rPr>
  </w:style>
  <w:style w:type="paragraph" w:customStyle="1" w:styleId="BodySmallRight">
    <w:name w:val="Body Small Right"/>
    <w:basedOn w:val="BodyTextRight"/>
    <w:rsid w:val="006F2D79"/>
    <w:rPr>
      <w:sz w:val="18"/>
      <w:szCs w:val="18"/>
    </w:rPr>
  </w:style>
  <w:style w:type="paragraph" w:customStyle="1" w:styleId="MarginEdition">
    <w:name w:val="Margin Edition"/>
    <w:basedOn w:val="MarginNote"/>
    <w:rsid w:val="006F2D79"/>
    <w:pPr>
      <w:spacing w:before="0" w:after="0"/>
    </w:pPr>
    <w:rPr>
      <w:rFonts w:ascii="Times New Roman" w:hAnsi="Times New Roman"/>
      <w:color w:val="999999"/>
    </w:rPr>
  </w:style>
  <w:style w:type="paragraph" w:customStyle="1" w:styleId="Spacer">
    <w:name w:val="Spacer"/>
    <w:basedOn w:val="Normal"/>
    <w:rsid w:val="006F2D79"/>
    <w:rPr>
      <w:sz w:val="2"/>
      <w:szCs w:val="2"/>
    </w:rPr>
  </w:style>
  <w:style w:type="character" w:customStyle="1" w:styleId="Small">
    <w:name w:val="Small"/>
    <w:basedOn w:val="DefaultParagraphFont"/>
    <w:rsid w:val="006F2D79"/>
    <w:rPr>
      <w:sz w:val="16"/>
    </w:rPr>
  </w:style>
  <w:style w:type="paragraph" w:customStyle="1" w:styleId="WideTable">
    <w:name w:val="Wide Table"/>
    <w:basedOn w:val="Normal"/>
    <w:rsid w:val="006F2D79"/>
    <w:pPr>
      <w:ind w:left="-1418"/>
    </w:pPr>
    <w:rPr>
      <w:sz w:val="2"/>
      <w:szCs w:val="2"/>
    </w:rPr>
  </w:style>
  <w:style w:type="character" w:styleId="PageNumber">
    <w:name w:val="page number"/>
    <w:basedOn w:val="DefaultParagraphFont"/>
    <w:rsid w:val="006F2D79"/>
  </w:style>
  <w:style w:type="paragraph" w:styleId="Quote">
    <w:name w:val="Quote"/>
    <w:basedOn w:val="Heading1"/>
    <w:link w:val="QuoteChar"/>
    <w:qFormat/>
    <w:rsid w:val="006F2D79"/>
    <w:rPr>
      <w:b w:val="0"/>
      <w:sz w:val="72"/>
      <w:szCs w:val="72"/>
      <w:lang w:val="en-NZ"/>
    </w:rPr>
  </w:style>
  <w:style w:type="character" w:customStyle="1" w:styleId="QuoteChar">
    <w:name w:val="Quote Char"/>
    <w:basedOn w:val="DefaultParagraphFont"/>
    <w:link w:val="Quote"/>
    <w:rsid w:val="006F2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D79"/>
    <w:pPr>
      <w:pageBreakBefore/>
    </w:pPr>
  </w:style>
  <w:style w:type="paragraph" w:customStyle="1" w:styleId="Border">
    <w:name w:val="Border"/>
    <w:basedOn w:val="Normal"/>
    <w:qFormat/>
    <w:rsid w:val="006F2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D79"/>
    <w:rPr>
      <w:b/>
      <w:bCs/>
      <w:i/>
      <w:iCs/>
      <w:color w:val="auto"/>
    </w:rPr>
  </w:style>
  <w:style w:type="paragraph" w:styleId="IntenseQuote">
    <w:name w:val="Intense Quote"/>
    <w:basedOn w:val="Normal"/>
    <w:next w:val="Normal"/>
    <w:link w:val="IntenseQuoteChar"/>
    <w:uiPriority w:val="30"/>
    <w:qFormat/>
    <w:rsid w:val="006F2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D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D79"/>
    <w:rPr>
      <w:smallCaps/>
      <w:color w:val="auto"/>
      <w:u w:val="single"/>
    </w:rPr>
  </w:style>
  <w:style w:type="character" w:styleId="IntenseReference">
    <w:name w:val="Intense Reference"/>
    <w:basedOn w:val="DefaultParagraphFont"/>
    <w:uiPriority w:val="32"/>
    <w:qFormat/>
    <w:rsid w:val="006F2D79"/>
    <w:rPr>
      <w:b/>
      <w:bCs/>
      <w:smallCaps/>
      <w:color w:val="auto"/>
      <w:spacing w:val="5"/>
      <w:u w:val="single"/>
    </w:rPr>
  </w:style>
  <w:style w:type="paragraph" w:customStyle="1" w:styleId="2ColumnHeading">
    <w:name w:val="2Column Heading"/>
    <w:basedOn w:val="BodyText"/>
    <w:qFormat/>
    <w:rsid w:val="006F2D79"/>
    <w:pPr>
      <w:spacing w:after="60"/>
      <w:ind w:left="-2268"/>
    </w:pPr>
    <w:rPr>
      <w:b/>
    </w:rPr>
  </w:style>
  <w:style w:type="paragraph" w:customStyle="1" w:styleId="Heading1TOC">
    <w:name w:val="Heading1 TOC"/>
    <w:basedOn w:val="Normal"/>
    <w:qFormat/>
    <w:rsid w:val="006F2D79"/>
    <w:pPr>
      <w:spacing w:before="240" w:after="120"/>
    </w:pPr>
    <w:rPr>
      <w:rFonts w:ascii="Times New Roman" w:hAnsi="Times New Roman"/>
      <w:b/>
      <w:sz w:val="32"/>
    </w:rPr>
  </w:style>
  <w:style w:type="paragraph" w:customStyle="1" w:styleId="Heading2TOC">
    <w:name w:val="Heading2 TOC"/>
    <w:basedOn w:val="Normal"/>
    <w:qFormat/>
    <w:rsid w:val="006F2D79"/>
    <w:pPr>
      <w:spacing w:before="240" w:after="60"/>
    </w:pPr>
    <w:rPr>
      <w:rFonts w:ascii="Times New Roman" w:hAnsi="Times New Roman"/>
      <w:b/>
      <w:sz w:val="28"/>
    </w:rPr>
  </w:style>
  <w:style w:type="character" w:customStyle="1" w:styleId="Underline">
    <w:name w:val="Underline"/>
    <w:basedOn w:val="DefaultParagraphFont"/>
    <w:qFormat/>
    <w:rsid w:val="006F2D79"/>
    <w:rPr>
      <w:u w:val="single"/>
    </w:rPr>
  </w:style>
  <w:style w:type="paragraph" w:styleId="BalloonText">
    <w:name w:val="Balloon Text"/>
    <w:basedOn w:val="Normal"/>
    <w:link w:val="BalloonTextChar"/>
    <w:rsid w:val="006F2D79"/>
    <w:rPr>
      <w:rFonts w:ascii="Tahoma" w:hAnsi="Tahoma" w:cs="Tahoma"/>
      <w:sz w:val="16"/>
      <w:szCs w:val="16"/>
    </w:rPr>
  </w:style>
  <w:style w:type="character" w:customStyle="1" w:styleId="BalloonTextChar">
    <w:name w:val="Balloon Text Char"/>
    <w:basedOn w:val="DefaultParagraphFont"/>
    <w:link w:val="BalloonText"/>
    <w:rsid w:val="006F2D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D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D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1707</Words>
  <Characters>11132</Characters>
  <Application>Microsoft Office Word</Application>
  <DocSecurity>0</DocSecurity>
  <Lines>379</Lines>
  <Paragraphs>221</Paragraphs>
  <ScaleCrop>false</ScaleCrop>
  <Company>Author-it Software Corporation Ltd.</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FPICOT3253A Convert timber residue into products for further use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