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7695" w:rsidP="00177695">
      <w:pPr>
        <w:pStyle w:val="Title"/>
      </w:pPr>
      <w:r>
        <w:fldChar w:fldCharType="begin"/>
      </w:r>
      <w:r>
        <w:instrText xml:space="preserve"> TITLE   \* MERGEFORMAT </w:instrText>
      </w:r>
      <w:r>
        <w:fldChar w:fldCharType="separate"/>
      </w:r>
      <w:r>
        <w:t>FPICOT3226B Shift forestry logs using trucks</w:t>
      </w:r>
      <w:r>
        <w:fldChar w:fldCharType="end"/>
      </w:r>
    </w:p>
    <w:p w:rsidR="00177695" w:rsidP="00177695">
      <w:pPr>
        <w:pStyle w:val="Version"/>
        <w:sectPr w:rsidSect="00115C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5C11" w:rsidP="00115C11">
      <w:pPr>
        <w:pStyle w:val="SuperHeading"/>
      </w:pPr>
      <w:r w:rsidRPr="00115C11">
        <w:t>FPICOT3226B Shift forestry logs using trucks</w:t>
      </w:r>
    </w:p>
    <w:p w:rsidR="00000000" w:rsidRPr="00115C11" w:rsidP="00115C11">
      <w:pPr>
        <w:pStyle w:val="Heading1"/>
      </w:pPr>
      <w:bookmarkStart w:id="1" w:name="O_270559"/>
      <w:bookmarkEnd w:id="1"/>
      <w:r w:rsidRPr="00115C11">
        <w:t>Modification History</w:t>
      </w:r>
    </w:p>
    <w:p w:rsidR="00000000" w:rsidRPr="00115C11" w:rsidP="00115C11">
      <w:pPr>
        <w:pStyle w:val="BodyText"/>
      </w:pPr>
      <w:r w:rsidRPr="00115C11">
        <w:t>Not Applicable</w:t>
      </w:r>
    </w:p>
    <w:p w:rsidR="00000000" w:rsidRPr="00115C11" w:rsidP="00115C11">
      <w:pPr>
        <w:pStyle w:val="AllowPageBreak"/>
      </w:pPr>
    </w:p>
    <w:p w:rsidR="00000000" w:rsidRPr="00115C11" w:rsidP="00115C11">
      <w:pPr>
        <w:pStyle w:val="Heading1"/>
      </w:pPr>
      <w:bookmarkStart w:id="2" w:name="O_203347"/>
      <w:bookmarkEnd w:id="2"/>
      <w:r w:rsidRPr="00115C11">
        <w:t>Unit Descriptor</w:t>
      </w:r>
    </w:p>
    <w:tbl>
      <w:tblPr>
        <w:tblW w:w="0" w:type="auto"/>
        <w:tblLayout w:type="fixed"/>
        <w:tblCellMar>
          <w:left w:w="62" w:type="dxa"/>
          <w:right w:w="62" w:type="dxa"/>
        </w:tblCellMar>
        <w:tblLook w:val="0000"/>
      </w:tblPr>
      <w:tblGrid>
        <w:gridCol w:w="2654"/>
        <w:gridCol w:w="5868"/>
      </w:tblGrid>
      <w:tr w:rsidTr="00177695">
        <w:tblPrEx>
          <w:tblW w:w="0" w:type="auto"/>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115C11" w:rsidP="00115C11">
            <w:pPr>
              <w:pStyle w:val="BodyText"/>
            </w:pPr>
            <w:r w:rsidRPr="00115C11">
              <w:t xml:space="preserve">This unit describes the outcomes required to drive log trucks to a forestry harvesting site, load logs on </w:t>
            </w:r>
            <w:r w:rsidRPr="00115C11">
              <w:t>site, deliver logs to their intended destination, and unload the logs in line with organisational procedures and regulations</w:t>
            </w:r>
          </w:p>
          <w:p w:rsidR="00000000" w:rsidRPr="00115C11" w:rsidP="00115C11">
            <w:pPr>
              <w:pStyle w:val="BodyText"/>
            </w:pPr>
            <w:r w:rsidRPr="00115C11">
              <w:t>Compliance with licensing, legislative, regulatory or certification requirements may be required in various jurisdictions</w:t>
            </w:r>
          </w:p>
          <w:p w:rsidR="00000000" w:rsidRPr="00115C11" w:rsidP="00115C11">
            <w:pPr>
              <w:pStyle w:val="BodyText"/>
            </w:pPr>
            <w:r w:rsidRPr="00115C11">
              <w:t>This unit</w:t>
            </w:r>
            <w:r w:rsidRPr="00115C11">
              <w:t xml:space="preserve"> replaces FPICOT3226A Shift forestry logs using trucks</w:t>
            </w:r>
          </w:p>
        </w:tc>
      </w:tr>
    </w:tbl>
    <w:p w:rsidR="00177695" w:rsidP="00115C11">
      <w:pPr>
        <w:pStyle w:val="BodyText"/>
      </w:pPr>
    </w:p>
    <w:p w:rsidR="00177695" w:rsidP="00115C11">
      <w:pPr>
        <w:pStyle w:val="BodyText"/>
      </w:pPr>
    </w:p>
    <w:p w:rsidR="00000000" w:rsidRPr="00115C11" w:rsidP="00115C11">
      <w:pPr>
        <w:pStyle w:val="Heading1"/>
      </w:pPr>
      <w:bookmarkStart w:id="3" w:name="O_203349"/>
      <w:bookmarkEnd w:id="3"/>
      <w:r w:rsidRPr="00115C11">
        <w:t>Application of the Unit</w:t>
      </w:r>
    </w:p>
    <w:tbl>
      <w:tblPr>
        <w:tblW w:w="0" w:type="auto"/>
        <w:tblLayout w:type="fixed"/>
        <w:tblCellMar>
          <w:left w:w="62" w:type="dxa"/>
          <w:right w:w="62" w:type="dxa"/>
        </w:tblCellMar>
        <w:tblLook w:val="0000"/>
      </w:tblPr>
      <w:tblGrid>
        <w:gridCol w:w="2755"/>
        <w:gridCol w:w="5767"/>
      </w:tblGrid>
      <w:tr w:rsidTr="00177695">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115C11" w:rsidP="00115C11">
            <w:pPr>
              <w:pStyle w:val="BodyText"/>
            </w:pPr>
            <w:r w:rsidRPr="00115C11">
              <w:t>The unit involves shifting forestry logs using trucks in a forest environment setting</w:t>
            </w:r>
          </w:p>
          <w:p w:rsidR="00000000" w:rsidRPr="00115C11" w:rsidP="00115C11">
            <w:pPr>
              <w:pStyle w:val="BodyText"/>
            </w:pPr>
            <w:r w:rsidRPr="00115C11">
              <w:t>The skills and knowledge required for competent workplace performance are to be used within the scope of the person's job and authority</w:t>
            </w:r>
          </w:p>
        </w:tc>
      </w:tr>
    </w:tbl>
    <w:p w:rsidR="00177695" w:rsidP="00115C11">
      <w:pPr>
        <w:pStyle w:val="BodyText"/>
      </w:pPr>
    </w:p>
    <w:p w:rsidR="00177695" w:rsidP="00115C11">
      <w:pPr>
        <w:pStyle w:val="BodyText"/>
      </w:pPr>
    </w:p>
    <w:p w:rsidR="00000000" w:rsidRPr="00115C11" w:rsidP="00115C11">
      <w:pPr>
        <w:pStyle w:val="Heading1"/>
      </w:pPr>
      <w:bookmarkStart w:id="4" w:name="O_278819"/>
      <w:bookmarkEnd w:id="4"/>
      <w:r w:rsidRPr="00115C11">
        <w:t>Licensing/Regulatory Information</w:t>
      </w:r>
    </w:p>
    <w:p w:rsidR="00000000" w:rsidRPr="00115C11" w:rsidP="00115C11">
      <w:pPr>
        <w:pStyle w:val="BodyText"/>
      </w:pPr>
      <w:r w:rsidRPr="00115C11">
        <w:t>Refer to Unit Descriptor</w:t>
      </w:r>
    </w:p>
    <w:p w:rsidR="00000000" w:rsidRPr="00115C11" w:rsidP="00115C11">
      <w:pPr>
        <w:pStyle w:val="AllowPageBreak"/>
      </w:pPr>
    </w:p>
    <w:p w:rsidR="00000000" w:rsidRPr="00115C11" w:rsidP="00115C11">
      <w:pPr>
        <w:pStyle w:val="Heading1"/>
      </w:pPr>
      <w:bookmarkStart w:id="5" w:name="O_283732"/>
      <w:bookmarkEnd w:id="5"/>
      <w:r w:rsidRPr="00115C11">
        <w:t>Pre-Requisites</w:t>
      </w:r>
    </w:p>
    <w:p w:rsidR="00000000" w:rsidRPr="00115C11" w:rsidP="00115C11">
      <w:pPr>
        <w:pStyle w:val="BodyText"/>
      </w:pPr>
      <w:r w:rsidRPr="00115C11">
        <w:t>Not Applicable</w:t>
      </w:r>
    </w:p>
    <w:p w:rsidR="00000000" w:rsidRPr="00115C11" w:rsidP="00115C11">
      <w:pPr>
        <w:pStyle w:val="AllowPageBreak"/>
      </w:pPr>
    </w:p>
    <w:p w:rsidR="00000000" w:rsidRPr="00115C11" w:rsidP="00115C11">
      <w:pPr>
        <w:pStyle w:val="Heading1"/>
      </w:pPr>
      <w:bookmarkStart w:id="6" w:name="O_203348"/>
      <w:bookmarkEnd w:id="6"/>
      <w:r w:rsidRPr="00115C11">
        <w:t>Employability Skills Information</w:t>
      </w:r>
    </w:p>
    <w:tbl>
      <w:tblPr>
        <w:tblW w:w="0" w:type="auto"/>
        <w:tblLayout w:type="fixed"/>
        <w:tblCellMar>
          <w:left w:w="62" w:type="dxa"/>
          <w:right w:w="62" w:type="dxa"/>
        </w:tblCellMar>
        <w:tblLook w:val="0000"/>
      </w:tblPr>
      <w:tblGrid>
        <w:gridCol w:w="2802"/>
        <w:gridCol w:w="5720"/>
      </w:tblGrid>
      <w:tr w:rsidTr="00177695">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115C11" w:rsidP="00115C11">
            <w:pPr>
              <w:pStyle w:val="BodyText"/>
            </w:pPr>
            <w:r w:rsidRPr="00115C11">
              <w:t>This unit contains employability skills</w:t>
            </w:r>
          </w:p>
        </w:tc>
      </w:tr>
    </w:tbl>
    <w:p w:rsidR="00177695" w:rsidP="00115C11">
      <w:pPr>
        <w:pStyle w:val="BodyText"/>
      </w:pPr>
    </w:p>
    <w:p w:rsidR="00177695" w:rsidP="00115C11">
      <w:pPr>
        <w:pStyle w:val="BodyText"/>
      </w:pPr>
    </w:p>
    <w:p w:rsidR="00000000" w:rsidRPr="00115C11" w:rsidP="00115C11">
      <w:pPr>
        <w:pStyle w:val="Heading1"/>
      </w:pPr>
      <w:bookmarkStart w:id="7" w:name="O_288605"/>
      <w:bookmarkEnd w:id="7"/>
      <w:r w:rsidRPr="00115C11">
        <w:t>Elements and Performance Criteria Pre-Content</w:t>
      </w:r>
    </w:p>
    <w:tbl>
      <w:tblPr>
        <w:tblW w:w="0" w:type="auto"/>
        <w:tblLayout w:type="fixed"/>
        <w:tblCellMar>
          <w:left w:w="62" w:type="dxa"/>
          <w:right w:w="62" w:type="dxa"/>
        </w:tblCellMar>
        <w:tblLook w:val="0000"/>
      </w:tblPr>
      <w:tblGrid>
        <w:gridCol w:w="2566"/>
        <w:gridCol w:w="5956"/>
      </w:tblGrid>
      <w:tr w:rsidTr="00177695">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t>Elements describe the essential outcomes of a unit of competency</w:t>
            </w:r>
            <w:r w:rsidRPr="00115C11">
              <w:t>.</w:t>
            </w:r>
          </w:p>
        </w:tc>
        <w:tc>
          <w:tcPr>
            <w:tcW w:w="5956" w:type="dxa"/>
            <w:tcBorders>
              <w:top w:val="nil"/>
              <w:left w:val="nil"/>
              <w:bottom w:val="nil"/>
              <w:right w:val="nil"/>
            </w:tcBorders>
            <w:tcMar>
              <w:top w:w="0" w:type="dxa"/>
              <w:left w:w="62" w:type="dxa"/>
              <w:bottom w:w="0" w:type="dxa"/>
              <w:right w:w="62" w:type="dxa"/>
            </w:tcMar>
          </w:tcPr>
          <w:p w:rsidR="00000000" w:rsidRPr="00115C11" w:rsidP="00115C11">
            <w:pPr>
              <w:pStyle w:val="BodyText"/>
            </w:pPr>
            <w:r w:rsidRPr="00115C11">
              <w:t>Performance criteria describe the performance needed to demonstrate achievement of the element. Where bold italicised text is used, further information is detailed in the required skills and knowledge section and the range statement. Assessment of perfor</w:t>
            </w:r>
            <w:r w:rsidRPr="00115C11">
              <w:t>mance is to be consistent with the evidence guide.</w:t>
            </w:r>
          </w:p>
        </w:tc>
      </w:tr>
    </w:tbl>
    <w:p w:rsidR="00000000" w:rsidRPr="00115C11" w:rsidP="00115C11">
      <w:pPr>
        <w:pStyle w:val="BodyText"/>
      </w:pPr>
    </w:p>
    <w:p w:rsidR="00000000" w:rsidRPr="00115C11" w:rsidP="00115C11">
      <w:pPr>
        <w:pStyle w:val="AllowPageBreak"/>
      </w:pPr>
    </w:p>
    <w:p w:rsidR="00000000" w:rsidRPr="00115C11" w:rsidP="00115C11">
      <w:pPr>
        <w:pStyle w:val="Heading1"/>
      </w:pPr>
      <w:bookmarkStart w:id="8" w:name="O_235272"/>
      <w:bookmarkEnd w:id="8"/>
      <w:r w:rsidRPr="00115C11">
        <w:t>Elements and Performance Criteria</w:t>
      </w:r>
    </w:p>
    <w:tbl>
      <w:tblPr>
        <w:tblW w:w="0" w:type="auto"/>
        <w:tblLayout w:type="fixed"/>
        <w:tblCellMar>
          <w:left w:w="62" w:type="dxa"/>
          <w:right w:w="62" w:type="dxa"/>
        </w:tblCellMar>
        <w:tblLook w:val="0000"/>
      </w:tblPr>
      <w:tblGrid>
        <w:gridCol w:w="2566"/>
        <w:gridCol w:w="5956"/>
      </w:tblGrid>
      <w:tr w:rsidTr="00177695">
        <w:tblPrEx>
          <w:tblW w:w="0" w:type="auto"/>
          <w:tblLayout w:type="fixed"/>
          <w:tblCellMar>
            <w:left w:w="62" w:type="dxa"/>
            <w:right w:w="62" w:type="dxa"/>
          </w:tblCellMar>
          <w:tblLook w:val="0000"/>
        </w:tblPrEx>
        <w:trPr>
          <w:tblHeader/>
        </w:trPr>
        <w:tc>
          <w:tcPr>
            <w:tcW w:w="2566" w:type="dxa"/>
            <w:tcBorders>
              <w:top w:val="nil"/>
              <w:left w:val="nil"/>
              <w:bottom w:val="nil"/>
              <w:right w:val="nil"/>
            </w:tcBorders>
            <w:tcMar>
              <w:top w:w="0" w:type="dxa"/>
              <w:left w:w="62" w:type="dxa"/>
              <w:bottom w:w="0" w:type="dxa"/>
              <w:right w:w="62" w:type="dxa"/>
            </w:tcMar>
          </w:tcPr>
          <w:p w:rsidR="00000000" w:rsidRPr="00115C11" w:rsidP="00115C11">
            <w:pPr>
              <w:pStyle w:val="BodyText"/>
            </w:pPr>
            <w:r w:rsidRPr="00115C11">
              <w:rPr>
                <w:rStyle w:val="SpecialBold"/>
              </w:rPr>
              <w:t>ELEMENT</w:t>
            </w:r>
          </w:p>
        </w:tc>
        <w:tc>
          <w:tcPr>
            <w:tcW w:w="5956" w:type="dxa"/>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rPr>
                <w:rStyle w:val="SpecialBold"/>
              </w:rPr>
              <w:t>PERFORMANCE CRITERIA</w:t>
            </w:r>
          </w:p>
        </w:tc>
      </w:tr>
      <w:tr w:rsidTr="00177695">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115C11">
            <w:pPr>
              <w:pStyle w:val="List"/>
              <w:rPr>
                <w:lang w:val="en-NZ"/>
              </w:rPr>
            </w:pPr>
            <w:r w:rsidRPr="00115C11">
              <w:t>1.</w:t>
            </w:r>
            <w:r w:rsidRPr="00115C11">
              <w:tab/>
              <w:t>Plan log movement</w:t>
            </w:r>
          </w:p>
        </w:tc>
        <w:tc>
          <w:tcPr>
            <w:tcW w:w="5956" w:type="dxa"/>
            <w:tcBorders>
              <w:top w:val="nil"/>
              <w:left w:val="nil"/>
              <w:bottom w:val="nil"/>
              <w:right w:val="nil"/>
            </w:tcBorders>
            <w:tcMar>
              <w:top w:w="0" w:type="dxa"/>
              <w:left w:w="62" w:type="dxa"/>
              <w:bottom w:w="0" w:type="dxa"/>
              <w:right w:w="62" w:type="dxa"/>
            </w:tcMar>
          </w:tcPr>
          <w:p w:rsidR="00000000" w:rsidRPr="00115C11" w:rsidP="00115C11">
            <w:pPr>
              <w:pStyle w:val="List2"/>
            </w:pPr>
            <w:r w:rsidRPr="00115C11">
              <w:t>1.1.</w:t>
            </w:r>
            <w:r w:rsidRPr="00115C11">
              <w:tab/>
              <w:t xml:space="preserve">Applicable </w:t>
            </w:r>
            <w:r w:rsidRPr="00115C11">
              <w:rPr>
                <w:rStyle w:val="BoldandItalics"/>
              </w:rPr>
              <w:t>occupational health and safety</w:t>
            </w:r>
            <w:r w:rsidRPr="00115C11">
              <w:t xml:space="preserve"> (OHS), </w:t>
            </w:r>
            <w:r w:rsidRPr="00115C11">
              <w:rPr>
                <w:rStyle w:val="BoldandItalics"/>
              </w:rPr>
              <w:t>environmental</w:t>
            </w:r>
            <w:r w:rsidRPr="00115C11">
              <w:t xml:space="preserve">, </w:t>
            </w:r>
            <w:r w:rsidRPr="00115C11">
              <w:rPr>
                <w:rStyle w:val="BoldandItalics"/>
              </w:rPr>
              <w:t>legislative</w:t>
            </w:r>
            <w:r w:rsidRPr="00115C11">
              <w:t xml:space="preserve"> and </w:t>
            </w:r>
            <w:r w:rsidRPr="00115C11">
              <w:rPr>
                <w:rStyle w:val="BoldandItalics"/>
              </w:rPr>
              <w:t>organisational requirements</w:t>
            </w:r>
            <w:r w:rsidRPr="00115C11">
              <w:t xml:space="preserve"> relevant to shifting forestry logs using trucks are identified and followed</w:t>
            </w:r>
          </w:p>
          <w:p w:rsidR="00000000" w:rsidRPr="00115C11" w:rsidP="00115C11">
            <w:pPr>
              <w:pStyle w:val="List2"/>
            </w:pPr>
            <w:r w:rsidRPr="00115C11">
              <w:t>1.2.</w:t>
            </w:r>
            <w:r w:rsidRPr="00115C11">
              <w:tab/>
            </w:r>
            <w:r w:rsidRPr="00115C11">
              <w:rPr>
                <w:rStyle w:val="BoldandItalics"/>
              </w:rPr>
              <w:t>Work order</w:t>
            </w:r>
            <w:r w:rsidRPr="00115C11">
              <w:t xml:space="preserve"> is reviewed and clarified with </w:t>
            </w:r>
            <w:r w:rsidRPr="00115C11">
              <w:rPr>
                <w:rStyle w:val="BoldandItalics"/>
              </w:rPr>
              <w:t>appropriate personnel</w:t>
            </w:r>
          </w:p>
          <w:p w:rsidR="00000000" w:rsidRPr="00115C11" w:rsidP="00115C11">
            <w:pPr>
              <w:pStyle w:val="List2"/>
            </w:pPr>
            <w:r w:rsidRPr="00115C11">
              <w:t>1.3.</w:t>
            </w:r>
            <w:r w:rsidRPr="00115C11">
              <w:tab/>
              <w:t xml:space="preserve">Type of </w:t>
            </w:r>
            <w:r w:rsidRPr="00115C11">
              <w:rPr>
                <w:rStyle w:val="BoldandItalics"/>
              </w:rPr>
              <w:t>truck</w:t>
            </w:r>
            <w:r w:rsidRPr="00115C11">
              <w:t xml:space="preserve">, </w:t>
            </w:r>
            <w:r w:rsidRPr="00115C11">
              <w:rPr>
                <w:rStyle w:val="BoldandItalics"/>
              </w:rPr>
              <w:t>ancillary equipment</w:t>
            </w:r>
            <w:r w:rsidRPr="00115C11">
              <w:t xml:space="preserve">, </w:t>
            </w:r>
            <w:r w:rsidRPr="00115C11">
              <w:rPr>
                <w:rStyle w:val="BoldandItalics"/>
              </w:rPr>
              <w:t>accessories</w:t>
            </w:r>
            <w:r w:rsidRPr="00115C11">
              <w:t xml:space="preserve"> and </w:t>
            </w:r>
            <w:r w:rsidRPr="00115C11">
              <w:rPr>
                <w:rStyle w:val="BoldandItalics"/>
              </w:rPr>
              <w:t>configuration</w:t>
            </w:r>
            <w:r w:rsidRPr="00115C11">
              <w:t xml:space="preserve"> to be operat</w:t>
            </w:r>
            <w:r w:rsidRPr="00115C11">
              <w:t>ed are checked for serviceability in line with manufacturer specifications and statutory regulations</w:t>
            </w:r>
          </w:p>
          <w:p w:rsidR="00000000" w:rsidRPr="00115C11" w:rsidP="00115C11">
            <w:pPr>
              <w:pStyle w:val="List2"/>
            </w:pPr>
            <w:r w:rsidRPr="00115C11">
              <w:t>1.4.</w:t>
            </w:r>
            <w:r w:rsidRPr="00115C11">
              <w:tab/>
              <w:t xml:space="preserve">Logging sites and </w:t>
            </w:r>
            <w:r w:rsidRPr="00115C11">
              <w:rPr>
                <w:rStyle w:val="BoldandItalics"/>
              </w:rPr>
              <w:t>logs</w:t>
            </w:r>
            <w:r w:rsidRPr="00115C11">
              <w:t xml:space="preserve"> to be transported are identified from schedules, work orders and harvesting site personnel</w:t>
            </w:r>
          </w:p>
          <w:p w:rsidR="00000000" w:rsidRPr="00115C11" w:rsidP="00115C11">
            <w:pPr>
              <w:pStyle w:val="List2"/>
            </w:pPr>
            <w:r w:rsidRPr="00115C11">
              <w:t>1.5.</w:t>
            </w:r>
            <w:r w:rsidRPr="00115C11">
              <w:tab/>
              <w:t>Truck loads, transport routes a</w:t>
            </w:r>
            <w:r w:rsidRPr="00115C11">
              <w:t>nd timing with harvesting personnel are planned and permits obtained to follow statutory road regulations and road conditions</w:t>
            </w:r>
          </w:p>
          <w:p w:rsidR="00000000" w:rsidP="00115C11">
            <w:pPr>
              <w:pStyle w:val="List2"/>
              <w:rPr>
                <w:lang w:val="en-NZ"/>
              </w:rPr>
            </w:pPr>
            <w:r w:rsidRPr="00115C11">
              <w:t>1.6.</w:t>
            </w:r>
            <w:r w:rsidRPr="00115C11">
              <w:tab/>
            </w:r>
            <w:r w:rsidRPr="00115C11">
              <w:rPr>
                <w:rStyle w:val="BoldandItalics"/>
              </w:rPr>
              <w:t>Communication</w:t>
            </w:r>
            <w:r w:rsidRPr="00115C11">
              <w:t xml:space="preserve"> with others is established and maintained in line with OHS requirements</w:t>
            </w:r>
          </w:p>
        </w:tc>
      </w:tr>
      <w:tr w:rsidTr="00177695">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115C11">
            <w:pPr>
              <w:pStyle w:val="List"/>
              <w:rPr>
                <w:lang w:val="en-NZ"/>
              </w:rPr>
            </w:pPr>
            <w:r w:rsidRPr="00115C11">
              <w:t>2.</w:t>
            </w:r>
            <w:r w:rsidRPr="00115C11">
              <w:tab/>
              <w:t>Load and unload truck</w:t>
            </w:r>
          </w:p>
        </w:tc>
        <w:tc>
          <w:tcPr>
            <w:tcW w:w="5956" w:type="dxa"/>
            <w:tcBorders>
              <w:top w:val="nil"/>
              <w:left w:val="nil"/>
              <w:bottom w:val="nil"/>
              <w:right w:val="nil"/>
            </w:tcBorders>
            <w:tcMar>
              <w:top w:w="0" w:type="dxa"/>
              <w:left w:w="62" w:type="dxa"/>
              <w:bottom w:w="0" w:type="dxa"/>
              <w:right w:w="62" w:type="dxa"/>
            </w:tcMar>
          </w:tcPr>
          <w:p w:rsidR="00000000" w:rsidRPr="00115C11" w:rsidP="00115C11">
            <w:pPr>
              <w:pStyle w:val="List2"/>
            </w:pPr>
            <w:r w:rsidRPr="00115C11">
              <w:t>2.1.</w:t>
            </w:r>
            <w:r w:rsidRPr="00115C11">
              <w:tab/>
            </w:r>
            <w:r w:rsidRPr="00115C11">
              <w:t>Access is identified and manoeuvring approach planned for loading and unloading sites</w:t>
            </w:r>
          </w:p>
          <w:p w:rsidR="00000000" w:rsidRPr="00115C11" w:rsidP="00115C11">
            <w:pPr>
              <w:pStyle w:val="List2"/>
            </w:pPr>
            <w:r w:rsidRPr="00115C11">
              <w:t>2.2.</w:t>
            </w:r>
            <w:r w:rsidRPr="00115C11">
              <w:tab/>
              <w:t xml:space="preserve">Condition of roads and tracks are monitored and unexpected ground, water, vegetation or other </w:t>
            </w:r>
            <w:r w:rsidRPr="00115C11">
              <w:rPr>
                <w:rStyle w:val="BoldandItalics"/>
              </w:rPr>
              <w:t>environmental conditions</w:t>
            </w:r>
            <w:r w:rsidRPr="00115C11">
              <w:t xml:space="preserve"> are reported to appropriate personnel</w:t>
            </w:r>
          </w:p>
          <w:p w:rsidR="00000000" w:rsidRPr="00115C11" w:rsidP="00115C11">
            <w:pPr>
              <w:pStyle w:val="List2"/>
            </w:pPr>
            <w:r w:rsidRPr="00115C11">
              <w:t>2.3.</w:t>
            </w:r>
            <w:r w:rsidRPr="00115C11">
              <w:tab/>
              <w:t>Tru</w:t>
            </w:r>
            <w:r w:rsidRPr="00115C11">
              <w:t>ck and trailer are positioned to maintain load safety and security while loading occurs</w:t>
            </w:r>
          </w:p>
          <w:p w:rsidR="00000000" w:rsidRPr="00115C11" w:rsidP="00115C11">
            <w:pPr>
              <w:pStyle w:val="List2"/>
            </w:pPr>
            <w:r w:rsidRPr="00115C11">
              <w:t>2.4.</w:t>
            </w:r>
            <w:r w:rsidRPr="00115C11">
              <w:tab/>
              <w:t>Logs are assessed for weight, diameter, length and grade</w:t>
            </w:r>
          </w:p>
          <w:p w:rsidR="00000000" w:rsidRPr="00115C11" w:rsidP="00115C11">
            <w:pPr>
              <w:pStyle w:val="List2"/>
            </w:pPr>
            <w:r w:rsidRPr="00115C11">
              <w:t>2.5.</w:t>
            </w:r>
            <w:r w:rsidRPr="00115C11">
              <w:tab/>
            </w:r>
            <w:r w:rsidRPr="00115C11">
              <w:rPr>
                <w:rStyle w:val="BoldandItalics"/>
              </w:rPr>
              <w:t>Log positioning equipment</w:t>
            </w:r>
            <w:r w:rsidRPr="00115C11">
              <w:t xml:space="preserve"> is placed and checked or reset for planned loading</w:t>
            </w:r>
          </w:p>
          <w:p w:rsidR="00000000" w:rsidRPr="00115C11" w:rsidP="00115C11">
            <w:pPr>
              <w:pStyle w:val="List2"/>
            </w:pPr>
            <w:r w:rsidRPr="00115C11">
              <w:t>2.6.</w:t>
            </w:r>
            <w:r w:rsidRPr="00115C11">
              <w:tab/>
              <w:t>Log loading is unde</w:t>
            </w:r>
            <w:r w:rsidRPr="00115C11">
              <w:t xml:space="preserve">rtaken to ensure </w:t>
            </w:r>
            <w:r w:rsidRPr="00115C11">
              <w:rPr>
                <w:rStyle w:val="BoldandItalics"/>
              </w:rPr>
              <w:t>load build</w:t>
            </w:r>
            <w:r w:rsidRPr="00115C11">
              <w:t xml:space="preserve"> meets specifications, follows sequence and locations to minimise handling, stabilises the load and meets transport requirements</w:t>
            </w:r>
          </w:p>
          <w:p w:rsidR="00000000" w:rsidRPr="00115C11" w:rsidP="00115C11">
            <w:pPr>
              <w:pStyle w:val="List2"/>
            </w:pPr>
            <w:r w:rsidRPr="00115C11">
              <w:t>2.7.</w:t>
            </w:r>
            <w:r w:rsidRPr="00115C11">
              <w:tab/>
              <w:t xml:space="preserve">Logs are secured with sufficient </w:t>
            </w:r>
            <w:r w:rsidRPr="00115C11">
              <w:rPr>
                <w:rStyle w:val="BoldandItalics"/>
              </w:rPr>
              <w:t>securing devices</w:t>
            </w:r>
            <w:r w:rsidRPr="00115C11">
              <w:t xml:space="preserve"> to satisfy safety, job and regulatory require</w:t>
            </w:r>
            <w:r w:rsidRPr="00115C11">
              <w:t>ments</w:t>
            </w:r>
          </w:p>
          <w:p w:rsidR="00000000" w:rsidRPr="00115C11" w:rsidP="00115C11">
            <w:pPr>
              <w:pStyle w:val="List2"/>
            </w:pPr>
            <w:r w:rsidRPr="00115C11">
              <w:t>2.8.</w:t>
            </w:r>
            <w:r w:rsidRPr="00115C11">
              <w:tab/>
              <w:t>Load is inspected after transport for log movement and logs only supported by binders or chains</w:t>
            </w:r>
          </w:p>
          <w:p w:rsidR="00000000" w:rsidRPr="00115C11" w:rsidP="00115C11">
            <w:pPr>
              <w:pStyle w:val="List2"/>
            </w:pPr>
            <w:r w:rsidRPr="00115C11">
              <w:t>2.9.</w:t>
            </w:r>
            <w:r w:rsidRPr="00115C11">
              <w:tab/>
              <w:t xml:space="preserve">Safe unloading sequence is assessed and provisions are made to support logs that cannot be controlled </w:t>
            </w:r>
            <w:r w:rsidRPr="00115C11">
              <w:t>when released</w:t>
            </w:r>
          </w:p>
          <w:p w:rsidR="00000000" w:rsidP="00115C11">
            <w:pPr>
              <w:pStyle w:val="List2"/>
              <w:rPr>
                <w:lang w:val="en-NZ"/>
              </w:rPr>
            </w:pPr>
            <w:r w:rsidRPr="00115C11">
              <w:t>2.10.</w:t>
            </w:r>
            <w:r w:rsidRPr="00115C11">
              <w:tab/>
              <w:t>Binders and chains are</w:t>
            </w:r>
            <w:r w:rsidRPr="00115C11">
              <w:t xml:space="preserve"> released in correct sequence for truck, trailer and load configuration</w:t>
            </w:r>
          </w:p>
        </w:tc>
      </w:tr>
      <w:tr w:rsidTr="00177695">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115C11">
            <w:pPr>
              <w:pStyle w:val="List"/>
              <w:rPr>
                <w:lang w:val="en-NZ"/>
              </w:rPr>
            </w:pPr>
            <w:r w:rsidRPr="00115C11">
              <w:t>3.</w:t>
            </w:r>
            <w:r w:rsidRPr="00115C11">
              <w:tab/>
              <w:t>Transport logs</w:t>
            </w:r>
          </w:p>
        </w:tc>
        <w:tc>
          <w:tcPr>
            <w:tcW w:w="5956" w:type="dxa"/>
            <w:tcBorders>
              <w:top w:val="nil"/>
              <w:left w:val="nil"/>
              <w:bottom w:val="nil"/>
              <w:right w:val="nil"/>
            </w:tcBorders>
            <w:tcMar>
              <w:top w:w="0" w:type="dxa"/>
              <w:left w:w="62" w:type="dxa"/>
              <w:bottom w:w="0" w:type="dxa"/>
              <w:right w:w="62" w:type="dxa"/>
            </w:tcMar>
          </w:tcPr>
          <w:p w:rsidR="00000000" w:rsidRPr="00115C11" w:rsidP="00115C11">
            <w:pPr>
              <w:pStyle w:val="List2"/>
            </w:pPr>
            <w:r w:rsidRPr="00115C11">
              <w:t>3.1.</w:t>
            </w:r>
            <w:r w:rsidRPr="00115C11">
              <w:tab/>
              <w:t xml:space="preserve">Load is checked and </w:t>
            </w:r>
            <w:r w:rsidRPr="00115C11">
              <w:rPr>
                <w:rStyle w:val="BoldandItalics"/>
              </w:rPr>
              <w:t>trimmed</w:t>
            </w:r>
            <w:r w:rsidRPr="00115C11">
              <w:t xml:space="preserve"> to ensure safe transport with overhang warning devices fitted to follow road regulations</w:t>
            </w:r>
          </w:p>
          <w:p w:rsidR="00000000" w:rsidRPr="00115C11" w:rsidP="00115C11">
            <w:pPr>
              <w:pStyle w:val="List2"/>
            </w:pPr>
            <w:r w:rsidRPr="00115C11">
              <w:t>3.2.</w:t>
            </w:r>
            <w:r w:rsidRPr="00115C11">
              <w:tab/>
              <w:t>Engine is started with instruments and</w:t>
            </w:r>
            <w:r w:rsidRPr="00115C11">
              <w:t xml:space="preserve"> gauges monitored to ensure equipment operation is safe, in line with manufacturer specifications and safety rules</w:t>
            </w:r>
          </w:p>
          <w:p w:rsidR="00000000" w:rsidRPr="00115C11" w:rsidP="00115C11">
            <w:pPr>
              <w:pStyle w:val="List2"/>
            </w:pPr>
            <w:r w:rsidRPr="00115C11">
              <w:t>3.3.</w:t>
            </w:r>
            <w:r w:rsidRPr="00115C11">
              <w:tab/>
              <w:t xml:space="preserve">Truck is operated and driven to manufacturer specifications and legislative requirements using </w:t>
            </w:r>
            <w:r w:rsidRPr="00115C11">
              <w:rPr>
                <w:rStyle w:val="BoldandItalics"/>
              </w:rPr>
              <w:t>primary and subsidiary controls</w:t>
            </w:r>
            <w:r w:rsidRPr="00115C11">
              <w:t xml:space="preserve"> as approp</w:t>
            </w:r>
            <w:r w:rsidRPr="00115C11">
              <w:t>riate to conditions</w:t>
            </w:r>
          </w:p>
          <w:p w:rsidR="00000000" w:rsidRPr="00115C11" w:rsidP="00115C11">
            <w:pPr>
              <w:pStyle w:val="List2"/>
            </w:pPr>
            <w:r w:rsidRPr="00115C11">
              <w:t>3.4.</w:t>
            </w:r>
            <w:r w:rsidRPr="00115C11">
              <w:tab/>
              <w:t>Logs are transported following planned or modified route with consideration for road surfaces and conditions</w:t>
            </w:r>
          </w:p>
          <w:p w:rsidR="00000000" w:rsidRPr="00115C11" w:rsidP="00115C11">
            <w:pPr>
              <w:pStyle w:val="List2"/>
            </w:pPr>
            <w:r w:rsidRPr="00115C11">
              <w:t>3.5.</w:t>
            </w:r>
            <w:r w:rsidRPr="00115C11">
              <w:tab/>
              <w:t xml:space="preserve">Periodic load safety checks are conducted and load is </w:t>
            </w:r>
            <w:r w:rsidRPr="00115C11">
              <w:rPr>
                <w:rStyle w:val="BoldandItalics"/>
              </w:rPr>
              <w:t>re</w:t>
            </w:r>
            <w:r w:rsidRPr="00115C11">
              <w:t>-</w:t>
            </w:r>
            <w:r w:rsidRPr="00115C11">
              <w:rPr>
                <w:rStyle w:val="BoldandItalics"/>
              </w:rPr>
              <w:t>tensioned</w:t>
            </w:r>
            <w:r w:rsidRPr="00115C11">
              <w:t xml:space="preserve"> in line with statutory requirements and road condi</w:t>
            </w:r>
            <w:r w:rsidRPr="00115C11">
              <w:t>tions</w:t>
            </w:r>
          </w:p>
          <w:p w:rsidR="00000000" w:rsidRPr="00115C11" w:rsidP="00115C11">
            <w:pPr>
              <w:pStyle w:val="List2"/>
            </w:pPr>
            <w:r w:rsidRPr="00115C11">
              <w:t>3.6.</w:t>
            </w:r>
            <w:r w:rsidRPr="00115C11">
              <w:tab/>
              <w:t>Truck is monitored using gauges, warning devices and observation of performance to detect operating faults</w:t>
            </w:r>
          </w:p>
          <w:p w:rsidR="00000000" w:rsidRPr="00115C11" w:rsidP="00115C11">
            <w:pPr>
              <w:pStyle w:val="List2"/>
            </w:pPr>
            <w:r w:rsidRPr="00115C11">
              <w:t>3.7.</w:t>
            </w:r>
            <w:r w:rsidRPr="00115C11">
              <w:tab/>
              <w:t xml:space="preserve">Log shifting process and truck operations, including faults, are </w:t>
            </w:r>
            <w:r w:rsidRPr="00115C11">
              <w:rPr>
                <w:rStyle w:val="BoldandItalics"/>
              </w:rPr>
              <w:t>recorded and reported</w:t>
            </w:r>
          </w:p>
          <w:p w:rsidR="00000000" w:rsidRPr="00115C11" w:rsidP="00115C11">
            <w:pPr>
              <w:pStyle w:val="List2"/>
            </w:pPr>
            <w:r w:rsidRPr="00115C11">
              <w:t>3.8.</w:t>
            </w:r>
            <w:r w:rsidRPr="00115C11">
              <w:tab/>
              <w:t>Truck is parked to avoid site and equipme</w:t>
            </w:r>
            <w:r w:rsidRPr="00115C11">
              <w:t>nt hazards, engine is shutdown and truck is secured in line with manufacturer specifications</w:t>
            </w:r>
          </w:p>
        </w:tc>
      </w:tr>
    </w:tbl>
    <w:p w:rsidR="00177695" w:rsidP="00115C11">
      <w:pPr>
        <w:pStyle w:val="BodyText"/>
      </w:pPr>
    </w:p>
    <w:p w:rsidR="00177695" w:rsidP="00115C11">
      <w:pPr>
        <w:pStyle w:val="BodyText"/>
      </w:pPr>
    </w:p>
    <w:p w:rsidR="00000000" w:rsidRPr="00115C11" w:rsidP="00115C11">
      <w:pPr>
        <w:pStyle w:val="Heading1"/>
      </w:pPr>
      <w:bookmarkStart w:id="9" w:name="O_259222"/>
      <w:bookmarkEnd w:id="9"/>
      <w:r w:rsidRPr="00115C11">
        <w:t>Required Skills and Knowledge</w:t>
      </w:r>
    </w:p>
    <w:tbl>
      <w:tblPr>
        <w:tblW w:w="0" w:type="auto"/>
        <w:tblLayout w:type="fixed"/>
        <w:tblCellMar>
          <w:left w:w="62" w:type="dxa"/>
          <w:right w:w="62" w:type="dxa"/>
        </w:tblCellMar>
        <w:tblLook w:val="0000"/>
      </w:tblPr>
      <w:tblGrid>
        <w:gridCol w:w="8522"/>
      </w:tblGrid>
      <w:tr w:rsidTr="0017769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rPr>
                <w:rStyle w:val="SpecialBold"/>
              </w:rPr>
              <w:t>REQUIRED SKILLS AND KNOWLEDGE</w:t>
            </w:r>
          </w:p>
        </w:tc>
      </w:tr>
      <w:tr w:rsidTr="001776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t>This describes the essential skills and knowledge and their level required for this unit.</w:t>
            </w:r>
          </w:p>
        </w:tc>
      </w:tr>
      <w:tr w:rsidTr="001776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rPr>
                <w:rStyle w:val="SpecialBold"/>
              </w:rPr>
              <w:t>Required skills</w:t>
            </w:r>
          </w:p>
        </w:tc>
      </w:tr>
      <w:tr w:rsidTr="001776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15C11" w:rsidP="00115C11">
            <w:pPr>
              <w:pStyle w:val="ListBullet"/>
            </w:pPr>
            <w:r w:rsidRPr="00115C11">
              <w:t>Technical skills sufficient to use and maintain relevant tools, machinery and equipment; efficiently and safely shift forestry logs using trucks</w:t>
            </w:r>
          </w:p>
          <w:p w:rsidR="00000000" w:rsidRPr="00115C11" w:rsidP="00115C11">
            <w:pPr>
              <w:pStyle w:val="ListBullet"/>
            </w:pPr>
            <w:r w:rsidRPr="00115C11">
              <w:t>Co</w:t>
            </w:r>
            <w:r w:rsidRPr="00115C11">
              <w:t>mmunication skills sufficient to use appropriate communication and interpersonal techniques with colleagues and others</w:t>
            </w:r>
          </w:p>
          <w:p w:rsidR="00000000" w:rsidRPr="00115C11" w:rsidP="00115C11">
            <w:pPr>
              <w:pStyle w:val="ListBullet"/>
            </w:pPr>
            <w:r w:rsidRPr="00115C11">
              <w:t xml:space="preserve">Literacy skills sufficient to record and report workplace information; maintain </w:t>
            </w:r>
            <w:r w:rsidRPr="00115C11">
              <w:t>documentation</w:t>
            </w:r>
          </w:p>
          <w:p w:rsidR="00000000" w:rsidRPr="00115C11" w:rsidP="00115C11">
            <w:pPr>
              <w:pStyle w:val="ListBullet"/>
            </w:pPr>
            <w:r w:rsidRPr="00115C11">
              <w:t>Numeracy skills sufficient to measure, estimate and calculate time required to complete a task</w:t>
            </w:r>
          </w:p>
          <w:p w:rsidR="00000000" w:rsidP="00115C11">
            <w:pPr>
              <w:pStyle w:val="ListBullet"/>
              <w:rPr>
                <w:lang w:val="en-NZ"/>
              </w:rPr>
            </w:pPr>
            <w:r w:rsidRPr="00115C11">
              <w:t xml:space="preserve">Problem solving skills sufficient to identify problems and equipment faults; demonstrate appropriate response procedures </w:t>
            </w:r>
          </w:p>
        </w:tc>
      </w:tr>
      <w:tr w:rsidTr="001776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rPr>
                <w:rStyle w:val="SpecialBold"/>
              </w:rPr>
              <w:t>Required knowledge</w:t>
            </w:r>
          </w:p>
        </w:tc>
      </w:tr>
      <w:tr w:rsidTr="001776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15C11" w:rsidP="00115C11">
            <w:pPr>
              <w:pStyle w:val="ListBullet"/>
            </w:pPr>
            <w:r w:rsidRPr="00115C11">
              <w:t>Applicable common</w:t>
            </w:r>
            <w:r w:rsidRPr="00115C11">
              <w:t>wealth, state or territory legislation, regulations, standards, codes of practice and established safe practices relevant to the full range of processes for shifting forestry logs using trucks</w:t>
            </w:r>
          </w:p>
          <w:p w:rsidR="00000000" w:rsidRPr="00115C11" w:rsidP="00115C11">
            <w:pPr>
              <w:pStyle w:val="ListBullet"/>
            </w:pPr>
            <w:r w:rsidRPr="00115C11">
              <w:t>Environmental protection requirements, including the safe dispo</w:t>
            </w:r>
            <w:r w:rsidRPr="00115C11">
              <w:t>sal of waste material, and the minimisation of carbon emissions</w:t>
            </w:r>
          </w:p>
          <w:p w:rsidR="00000000" w:rsidRPr="00115C11" w:rsidP="00115C11">
            <w:pPr>
              <w:pStyle w:val="ListBullet"/>
            </w:pPr>
            <w:r w:rsidRPr="00115C11">
              <w:t>Organisational and site standards, requirements, policies and procedures for shifting forestry logs using trucks</w:t>
            </w:r>
          </w:p>
          <w:p w:rsidR="00000000" w:rsidRPr="00115C11" w:rsidP="00115C11">
            <w:pPr>
              <w:pStyle w:val="ListBullet"/>
            </w:pPr>
            <w:r w:rsidRPr="00115C11">
              <w:t>Environmental risks and hazards</w:t>
            </w:r>
          </w:p>
          <w:p w:rsidR="00000000" w:rsidRPr="00115C11" w:rsidP="00115C11">
            <w:pPr>
              <w:pStyle w:val="ListBullet"/>
            </w:pPr>
            <w:r w:rsidRPr="00115C11">
              <w:t>Using energy effectively and efficiently</w:t>
            </w:r>
          </w:p>
          <w:p w:rsidR="00000000" w:rsidRPr="00115C11" w:rsidP="00115C11">
            <w:pPr>
              <w:pStyle w:val="ListBullet"/>
            </w:pPr>
            <w:r w:rsidRPr="00115C11">
              <w:t>Applic</w:t>
            </w:r>
            <w:r w:rsidRPr="00115C11">
              <w:t xml:space="preserve">able fall from heights regulations and compliance requirements </w:t>
            </w:r>
          </w:p>
          <w:p w:rsidR="00000000" w:rsidRPr="00115C11" w:rsidP="00115C11">
            <w:pPr>
              <w:pStyle w:val="ListBullet"/>
            </w:pPr>
            <w:r w:rsidRPr="00115C11">
              <w:t>Log shifting equipment and techniques</w:t>
            </w:r>
          </w:p>
          <w:p w:rsidR="00000000" w:rsidRPr="00115C11" w:rsidP="00115C11">
            <w:pPr>
              <w:pStyle w:val="ListBullet"/>
            </w:pPr>
            <w:r w:rsidRPr="00115C11">
              <w:t>Scheduling and routing procedures</w:t>
            </w:r>
          </w:p>
          <w:p w:rsidR="00000000" w:rsidRPr="00115C11" w:rsidP="00115C11">
            <w:pPr>
              <w:pStyle w:val="ListBullet"/>
            </w:pPr>
            <w:r w:rsidRPr="00115C11">
              <w:t>Truck and equipment capabilities and capacities</w:t>
            </w:r>
          </w:p>
          <w:p w:rsidR="00000000" w:rsidRPr="00115C11" w:rsidP="00115C11">
            <w:pPr>
              <w:pStyle w:val="ListBullet"/>
            </w:pPr>
            <w:r w:rsidRPr="00115C11">
              <w:t>Statutory road regulations</w:t>
            </w:r>
          </w:p>
          <w:p w:rsidR="00000000" w:rsidRPr="00115C11" w:rsidP="00115C11">
            <w:pPr>
              <w:pStyle w:val="ListBullet"/>
            </w:pPr>
            <w:r w:rsidRPr="00115C11">
              <w:t>Log loading and unloading methods</w:t>
            </w:r>
          </w:p>
          <w:p w:rsidR="00000000" w:rsidRPr="00115C11" w:rsidP="00115C11">
            <w:pPr>
              <w:pStyle w:val="ListBullet"/>
            </w:pPr>
            <w:r w:rsidRPr="00115C11">
              <w:t>Established communication channels and protocols</w:t>
            </w:r>
          </w:p>
          <w:p w:rsidR="00000000" w:rsidRPr="00115C11" w:rsidP="00115C11">
            <w:pPr>
              <w:pStyle w:val="ListBullet"/>
            </w:pPr>
            <w:r w:rsidRPr="00115C11">
              <w:t>Problem identification and resolution strategies, and common fault finding techniques</w:t>
            </w:r>
          </w:p>
          <w:p w:rsidR="00000000" w:rsidRPr="00115C11" w:rsidP="00115C11">
            <w:pPr>
              <w:pStyle w:val="ListBullet"/>
            </w:pPr>
            <w:r w:rsidRPr="00115C11">
              <w:t>Types of tools and equipment, and procedures for their safe use and maintenance</w:t>
            </w:r>
          </w:p>
          <w:p w:rsidR="00000000" w:rsidRPr="00115C11" w:rsidP="00115C11">
            <w:pPr>
              <w:pStyle w:val="ListBullet"/>
            </w:pPr>
            <w:r w:rsidRPr="00115C11">
              <w:t>Appropriate mathematical procedures for e</w:t>
            </w:r>
            <w:r w:rsidRPr="00115C11">
              <w:t>stimating and measuring, including calculating time to complete tasks</w:t>
            </w:r>
          </w:p>
          <w:p w:rsidR="00000000" w:rsidRPr="00115C11" w:rsidP="00115C11">
            <w:pPr>
              <w:pStyle w:val="ListBullet"/>
            </w:pPr>
            <w:r w:rsidRPr="00115C11">
              <w:t>Procedures for recording and reporting workplace information</w:t>
            </w:r>
          </w:p>
        </w:tc>
      </w:tr>
    </w:tbl>
    <w:p w:rsidR="00177695" w:rsidP="00115C11">
      <w:pPr>
        <w:pStyle w:val="BodyText"/>
      </w:pPr>
    </w:p>
    <w:p w:rsidR="00177695" w:rsidP="00115C11">
      <w:pPr>
        <w:pStyle w:val="BodyText"/>
      </w:pPr>
    </w:p>
    <w:p w:rsidR="00000000" w:rsidRPr="00115C11" w:rsidP="00115C11">
      <w:pPr>
        <w:pStyle w:val="AllowPageBreak"/>
      </w:pPr>
    </w:p>
    <w:p w:rsidR="00000000" w:rsidRPr="00115C11" w:rsidP="00115C11">
      <w:pPr>
        <w:pStyle w:val="Heading1"/>
      </w:pPr>
      <w:bookmarkStart w:id="10" w:name="O_243256"/>
      <w:bookmarkEnd w:id="10"/>
      <w:r w:rsidRPr="00115C11">
        <w:t>Evidence Guide</w:t>
      </w:r>
    </w:p>
    <w:tbl>
      <w:tblPr>
        <w:tblW w:w="9570" w:type="dxa"/>
        <w:tblLayout w:type="fixed"/>
        <w:tblCellMar>
          <w:left w:w="62" w:type="dxa"/>
          <w:right w:w="62" w:type="dxa"/>
        </w:tblCellMar>
        <w:tblLook w:val="0000"/>
      </w:tblPr>
      <w:tblGrid>
        <w:gridCol w:w="3908"/>
        <w:gridCol w:w="5662"/>
      </w:tblGrid>
      <w:tr w:rsidTr="00177695">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rPr>
                <w:rStyle w:val="SpecialBold"/>
              </w:rPr>
              <w:t>EVIDENCE GUIDE</w:t>
            </w:r>
          </w:p>
        </w:tc>
      </w:tr>
      <w:tr w:rsidTr="0017769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t>The evidence guide provides advice on assessment and must be read in conjunction with the performance criteria, required skills and knowledge, range statement and the Assessment Guidelines for the Training Package.</w:t>
            </w:r>
          </w:p>
        </w:tc>
      </w:tr>
      <w:tr w:rsidTr="0017769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t>A person who demonstrates competency in this unit must be able to provide evidence that they can safely and efficiently shift forestry logs using trucks in line with organisational requirements</w:t>
            </w:r>
          </w:p>
        </w:tc>
      </w:tr>
      <w:tr w:rsidTr="0017769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rPr>
                <w:rStyle w:val="SpecialBold"/>
              </w:rPr>
              <w:t>Critical aspects for assessment and evidence required to demo</w:t>
            </w:r>
            <w:r w:rsidRPr="00115C11">
              <w:rPr>
                <w:rStyle w:val="SpecialBold"/>
              </w:rPr>
              <w:t>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15C11" w:rsidP="00115C11">
            <w:pPr>
              <w:pStyle w:val="BodyText"/>
            </w:pPr>
            <w:r w:rsidRPr="00115C11">
              <w:t xml:space="preserve">The evidence required to demonstrate competency in this unit must be relevant to, and satisfy, all of the requirements of the elements of this unit and include demonstration of: </w:t>
            </w:r>
          </w:p>
          <w:p w:rsidR="00000000" w:rsidRPr="00115C11" w:rsidP="00115C11">
            <w:pPr>
              <w:pStyle w:val="ListBullet"/>
            </w:pPr>
            <w:r w:rsidRPr="00115C11">
              <w:t xml:space="preserve">following applicable commonwealth, state or </w:t>
            </w:r>
            <w:r w:rsidRPr="00115C11">
              <w:t>territory legislative and regulatory requirements and codes of practice relevant to shifting forestry logs using trucks</w:t>
            </w:r>
          </w:p>
          <w:p w:rsidR="00000000" w:rsidRPr="00115C11" w:rsidP="00115C11">
            <w:pPr>
              <w:pStyle w:val="ListBullet"/>
            </w:pPr>
            <w:r w:rsidRPr="00115C11">
              <w:t>following organisational policies and procedures relevant to shifting forestry logs using trucks</w:t>
            </w:r>
          </w:p>
          <w:p w:rsidR="00000000" w:rsidRPr="00115C11" w:rsidP="00115C11">
            <w:pPr>
              <w:pStyle w:val="ListBullet"/>
            </w:pPr>
            <w:r w:rsidRPr="00115C11">
              <w:t>shifting forestry logs using trucks for</w:t>
            </w:r>
            <w:r w:rsidRPr="00115C11">
              <w:t xml:space="preserve"> production and output activities in line with enterprise requirements</w:t>
            </w:r>
          </w:p>
          <w:p w:rsidR="00000000" w:rsidP="00115C11">
            <w:pPr>
              <w:pStyle w:val="ListBullet"/>
              <w:rPr>
                <w:lang w:val="en-NZ"/>
              </w:rPr>
            </w:pPr>
            <w:r w:rsidRPr="00115C11">
              <w:t>coordinating personnel to follow procedures for shifting forestry logs using trucks</w:t>
            </w:r>
          </w:p>
        </w:tc>
      </w:tr>
      <w:tr w:rsidTr="0017769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15C11" w:rsidP="00115C11">
            <w:pPr>
              <w:pStyle w:val="ListBullet"/>
            </w:pPr>
            <w:r w:rsidRPr="00115C11">
              <w:t>Competency is to be assessed in the workplace or realistically simulated workplace</w:t>
            </w:r>
          </w:p>
          <w:p w:rsidR="00000000" w:rsidRPr="00115C11" w:rsidP="00115C11">
            <w:pPr>
              <w:pStyle w:val="ListBullet"/>
            </w:pPr>
            <w:r w:rsidRPr="00115C11">
              <w:t>Assessment is to occur under standard and authorised work practices, safety requirements and environmental constraints</w:t>
            </w:r>
          </w:p>
          <w:p w:rsidR="00000000" w:rsidRPr="00115C11" w:rsidP="00115C11">
            <w:pPr>
              <w:pStyle w:val="ListBullet"/>
            </w:pPr>
            <w:r w:rsidRPr="00115C11">
              <w:t>Assessment of required knowledge, other than confirmat</w:t>
            </w:r>
            <w:r w:rsidRPr="00115C11">
              <w:t>ory questions, will usually be conducted in an off-site context</w:t>
            </w:r>
          </w:p>
          <w:p w:rsidR="00000000" w:rsidRPr="00115C11" w:rsidP="00115C11">
            <w:pPr>
              <w:pStyle w:val="ListBullet"/>
            </w:pPr>
            <w:r w:rsidRPr="00115C11">
              <w:t>Assessment is to follow relevant regulatory or Australian Standards requirements</w:t>
            </w:r>
          </w:p>
          <w:p w:rsidR="00000000" w:rsidRPr="00115C11" w:rsidP="00115C11">
            <w:pPr>
              <w:pStyle w:val="ListBullet"/>
            </w:pPr>
            <w:r w:rsidRPr="00115C11">
              <w:t>The following resources should be made available:</w:t>
            </w:r>
          </w:p>
          <w:p w:rsidR="00000000" w:rsidRPr="00115C11" w:rsidP="00115C11">
            <w:pPr>
              <w:pStyle w:val="ListBullet3"/>
            </w:pPr>
            <w:r w:rsidRPr="00115C11">
              <w:t>workplace location or simulated workplace</w:t>
            </w:r>
          </w:p>
          <w:p w:rsidR="00000000" w:rsidRPr="00115C11" w:rsidP="00115C11">
            <w:pPr>
              <w:pStyle w:val="ListBullet3"/>
            </w:pPr>
            <w:r w:rsidRPr="00115C11">
              <w:t>materials and equipment relevant to undertaking work applicable to this unit</w:t>
            </w:r>
          </w:p>
          <w:p w:rsidR="00000000" w:rsidP="00115C11">
            <w:pPr>
              <w:pStyle w:val="ListBullet3"/>
              <w:rPr>
                <w:lang w:val="en-NZ"/>
              </w:rPr>
            </w:pPr>
            <w:r w:rsidRPr="00115C11">
              <w:t>specifications and work instructions</w:t>
            </w:r>
          </w:p>
        </w:tc>
      </w:tr>
      <w:tr w:rsidTr="0017769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15C11" w:rsidP="00115C11">
            <w:pPr>
              <w:pStyle w:val="ListBullet"/>
            </w:pPr>
            <w:r w:rsidRPr="00115C11">
              <w:t>Assessment must satisfy the endorsed Assessment Guidelines of the FPI11 Training Package</w:t>
            </w:r>
          </w:p>
          <w:p w:rsidR="00000000" w:rsidRPr="00115C11" w:rsidP="00115C11">
            <w:pPr>
              <w:pStyle w:val="ListBullet"/>
            </w:pPr>
            <w:r w:rsidRPr="00115C11">
              <w:t>Assessment methods must confir</w:t>
            </w:r>
            <w:r w:rsidRPr="00115C11">
              <w:t>m consistency and accuracy of performance (over time and in a range of workplace relevant contexts) together with application of required knowledge</w:t>
            </w:r>
          </w:p>
          <w:p w:rsidR="00000000" w:rsidRPr="00115C11" w:rsidP="00115C11">
            <w:pPr>
              <w:pStyle w:val="ListBullet"/>
            </w:pPr>
            <w:r w:rsidRPr="00115C11">
              <w:t>Assessment must be by direct observation of tasks, with questioning on required knowledge and it must also reinforce the integration of employability skills</w:t>
            </w:r>
          </w:p>
          <w:p w:rsidR="00000000" w:rsidRPr="00115C11" w:rsidP="00115C11">
            <w:pPr>
              <w:pStyle w:val="ListBullet"/>
            </w:pPr>
            <w:r w:rsidRPr="00115C11">
              <w:t>Assessment methods must confirm the ability to access and correctly interpret and apply the require</w:t>
            </w:r>
            <w:r w:rsidRPr="00115C11">
              <w:t>d knowledge</w:t>
            </w:r>
          </w:p>
          <w:p w:rsidR="00000000" w:rsidRPr="00115C11" w:rsidP="00115C11">
            <w:pPr>
              <w:pStyle w:val="ListBullet"/>
            </w:pPr>
            <w:r w:rsidRPr="00115C11">
              <w:t>Assessment may be applied under project-related conditions (real or simulated) and require evidence of process</w:t>
            </w:r>
          </w:p>
          <w:p w:rsidR="00000000" w:rsidRPr="00115C11" w:rsidP="00115C11">
            <w:pPr>
              <w:pStyle w:val="ListBullet"/>
            </w:pPr>
            <w:r w:rsidRPr="00115C11">
              <w:t>Assessment must confirm a reasonable inference that competency is able not only to be satisfied under the particular circumstance, bu</w:t>
            </w:r>
            <w:r w:rsidRPr="00115C11">
              <w:t>t is able to be transferred to other circumstances</w:t>
            </w:r>
          </w:p>
          <w:p w:rsidR="00000000" w:rsidRPr="00115C11" w:rsidP="00115C11">
            <w:pPr>
              <w:pStyle w:val="ListBullet"/>
            </w:pPr>
            <w:r w:rsidRPr="00115C11">
              <w:t>Assessment may be in conjunction with assessment of other units of competency</w:t>
            </w:r>
          </w:p>
          <w:p w:rsidR="00000000" w:rsidRPr="00115C11" w:rsidP="00115C11">
            <w:pPr>
              <w:pStyle w:val="ListBullet"/>
            </w:pPr>
            <w:r w:rsidRPr="00115C11">
              <w:t>The assessment environment should not disadvantage the candidate</w:t>
            </w:r>
          </w:p>
          <w:p w:rsidR="00000000" w:rsidRPr="00115C11" w:rsidP="00115C11">
            <w:pPr>
              <w:pStyle w:val="ListBullet"/>
            </w:pPr>
            <w:r w:rsidRPr="00115C11">
              <w:t>Assessment practices should take into account any relevant lan</w:t>
            </w:r>
            <w:r w:rsidRPr="00115C11">
              <w:t>guage or cultural issues related to Aboriginality, gender or language backgrounds other than English</w:t>
            </w:r>
          </w:p>
          <w:p w:rsidR="00000000" w:rsidRPr="00115C11" w:rsidP="00115C11">
            <w:pPr>
              <w:pStyle w:val="ListBullet"/>
            </w:pPr>
            <w:r w:rsidRPr="00115C11">
              <w:t>Where the participant has a disability, reasonable adjustment may be applied during assessment</w:t>
            </w:r>
          </w:p>
          <w:p w:rsidR="00000000" w:rsidRPr="00115C11" w:rsidP="00115C11">
            <w:pPr>
              <w:pStyle w:val="ListBullet"/>
            </w:pPr>
            <w:r w:rsidRPr="00115C11">
              <w:t xml:space="preserve">Language and literacy demands of the assessment task should </w:t>
            </w:r>
            <w:r w:rsidRPr="00115C11">
              <w:t>not be higher than those of the work role</w:t>
            </w:r>
          </w:p>
        </w:tc>
      </w:tr>
    </w:tbl>
    <w:p w:rsidR="00177695" w:rsidP="00115C11">
      <w:pPr>
        <w:pStyle w:val="BodyText"/>
      </w:pPr>
    </w:p>
    <w:p w:rsidR="00177695" w:rsidP="00115C11">
      <w:pPr>
        <w:pStyle w:val="BodyText"/>
      </w:pPr>
    </w:p>
    <w:p w:rsidR="00000000" w:rsidRPr="00115C11" w:rsidP="00115C11">
      <w:pPr>
        <w:pStyle w:val="Heading1"/>
      </w:pPr>
      <w:bookmarkStart w:id="11" w:name="O_251239"/>
      <w:bookmarkEnd w:id="11"/>
      <w:r w:rsidRPr="00115C11">
        <w:t>Range Statement</w:t>
      </w:r>
    </w:p>
    <w:tbl>
      <w:tblPr>
        <w:tblW w:w="0" w:type="auto"/>
        <w:tblLayout w:type="fixed"/>
        <w:tblCellMar>
          <w:left w:w="62" w:type="dxa"/>
          <w:right w:w="62" w:type="dxa"/>
        </w:tblCellMar>
        <w:tblLook w:val="0000"/>
      </w:tblPr>
      <w:tblGrid>
        <w:gridCol w:w="3520"/>
        <w:gridCol w:w="5002"/>
      </w:tblGrid>
      <w:tr w:rsidTr="00177695">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rPr>
                <w:rStyle w:val="SpecialBold"/>
              </w:rPr>
              <w:t>RANGE STATEMENT</w:t>
            </w:r>
          </w:p>
        </w:tc>
      </w:tr>
      <w:tr w:rsidTr="0017769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t xml:space="preserve">The range statement relates to the unit of competency as a whole. It allows for different work environments and situations that may affect </w:t>
            </w:r>
            <w:r w:rsidRPr="00115C11">
              <w:t>performance. Bold italicised wording, if used in the performance criteria, is detailed below. Essential operating conditions that may be present with training and assessment (depending on the work situation, needs of the candidate, accessibility of the ite</w:t>
            </w:r>
            <w:r w:rsidRPr="00115C11">
              <w:t>m, and local industry and regional contexts) may also be included.</w:t>
            </w:r>
          </w:p>
        </w:tc>
      </w:tr>
      <w:tr w:rsidTr="00177695">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rPr>
                <w:rStyle w:val="SpecialBold"/>
              </w:rPr>
              <w:t>OHS requirements</w:t>
            </w:r>
            <w:r w:rsidRPr="00115C11">
              <w:t>:</w:t>
            </w:r>
          </w:p>
        </w:tc>
        <w:tc>
          <w:tcPr>
            <w:tcW w:w="5002" w:type="dxa"/>
            <w:tcBorders>
              <w:top w:val="nil"/>
              <w:left w:val="nil"/>
              <w:bottom w:val="nil"/>
              <w:right w:val="nil"/>
            </w:tcBorders>
            <w:tcMar>
              <w:top w:w="0" w:type="dxa"/>
              <w:left w:w="62" w:type="dxa"/>
              <w:bottom w:w="0" w:type="dxa"/>
              <w:right w:w="62" w:type="dxa"/>
            </w:tcMar>
          </w:tcPr>
          <w:p w:rsidR="00000000" w:rsidRPr="00115C11" w:rsidP="00115C11">
            <w:pPr>
              <w:pStyle w:val="BodyText"/>
            </w:pPr>
            <w:r w:rsidRPr="00115C11">
              <w:t>are to be in line with applicable commonwealth, state or territory legislation and regulations, and organisational safety policies and procedures, and may include:</w:t>
            </w:r>
          </w:p>
          <w:p w:rsidR="00000000" w:rsidRPr="00115C11" w:rsidP="00115C11">
            <w:pPr>
              <w:pStyle w:val="ListBullet"/>
            </w:pPr>
            <w:r w:rsidRPr="00115C11">
              <w:t>pers</w:t>
            </w:r>
            <w:r w:rsidRPr="00115C11">
              <w:t>onal protective equipment and clothing</w:t>
            </w:r>
          </w:p>
          <w:p w:rsidR="00000000" w:rsidRPr="00115C11" w:rsidP="00115C11">
            <w:pPr>
              <w:pStyle w:val="ListBullet"/>
            </w:pPr>
            <w:r w:rsidRPr="00115C11">
              <w:t>safety equipment</w:t>
            </w:r>
          </w:p>
          <w:p w:rsidR="00000000" w:rsidRPr="00115C11" w:rsidP="00115C11">
            <w:pPr>
              <w:pStyle w:val="ListBullet"/>
            </w:pPr>
            <w:r w:rsidRPr="00115C11">
              <w:t>first aid equipment</w:t>
            </w:r>
          </w:p>
          <w:p w:rsidR="00000000" w:rsidRPr="00115C11" w:rsidP="00115C11">
            <w:pPr>
              <w:pStyle w:val="ListBullet"/>
            </w:pPr>
            <w:r w:rsidRPr="00115C11">
              <w:t>fire fighting equipment</w:t>
            </w:r>
          </w:p>
          <w:p w:rsidR="00000000" w:rsidRPr="00115C11" w:rsidP="00115C11">
            <w:pPr>
              <w:pStyle w:val="ListBullet"/>
            </w:pPr>
            <w:r w:rsidRPr="00115C11">
              <w:t>hazard and risk control</w:t>
            </w:r>
          </w:p>
          <w:p w:rsidR="00000000" w:rsidRPr="00115C11" w:rsidP="00115C11">
            <w:pPr>
              <w:pStyle w:val="ListBullet"/>
            </w:pPr>
            <w:r w:rsidRPr="00115C11">
              <w:t>fatigue management</w:t>
            </w:r>
          </w:p>
          <w:p w:rsidR="00000000" w:rsidRPr="00115C11" w:rsidP="00115C11">
            <w:pPr>
              <w:pStyle w:val="ListBullet"/>
            </w:pPr>
            <w:r w:rsidRPr="00115C11">
              <w:t>elimination of hazardous materials and substances</w:t>
            </w:r>
          </w:p>
          <w:p w:rsidR="00000000" w:rsidRPr="00115C11" w:rsidP="00115C11">
            <w:pPr>
              <w:pStyle w:val="ListBullet"/>
            </w:pPr>
            <w:r w:rsidRPr="00115C11">
              <w:t>safe forest practices, including required actions relating to forest fire</w:t>
            </w:r>
          </w:p>
          <w:p w:rsidR="00000000" w:rsidP="00115C11">
            <w:pPr>
              <w:pStyle w:val="ListBullet"/>
              <w:rPr>
                <w:lang w:val="en-NZ"/>
              </w:rPr>
            </w:pPr>
            <w:r w:rsidRPr="00115C11">
              <w:t>manual handling including shifting, lifting and carrying</w:t>
            </w:r>
          </w:p>
        </w:tc>
      </w:tr>
      <w:tr w:rsidTr="00177695">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rPr>
                <w:rStyle w:val="SpecialBold"/>
              </w:rPr>
              <w:t>Environmental requirements may include</w:t>
            </w:r>
            <w:r w:rsidRPr="00115C11">
              <w:t>:</w:t>
            </w:r>
          </w:p>
        </w:tc>
        <w:tc>
          <w:tcPr>
            <w:tcW w:w="5002" w:type="dxa"/>
            <w:tcBorders>
              <w:top w:val="nil"/>
              <w:left w:val="nil"/>
              <w:bottom w:val="nil"/>
              <w:right w:val="nil"/>
            </w:tcBorders>
            <w:tcMar>
              <w:top w:w="0" w:type="dxa"/>
              <w:left w:w="62" w:type="dxa"/>
              <w:bottom w:w="0" w:type="dxa"/>
              <w:right w:w="62" w:type="dxa"/>
            </w:tcMar>
          </w:tcPr>
          <w:p w:rsidR="00000000" w:rsidRPr="00115C11" w:rsidP="00115C11">
            <w:pPr>
              <w:pStyle w:val="ListBullet"/>
            </w:pPr>
            <w:r w:rsidRPr="00115C11">
              <w:t>legislation</w:t>
            </w:r>
          </w:p>
          <w:p w:rsidR="00000000" w:rsidRPr="00115C11" w:rsidP="00115C11">
            <w:pPr>
              <w:pStyle w:val="ListBullet"/>
            </w:pPr>
            <w:r w:rsidRPr="00115C11">
              <w:t>organisational policies and procedures</w:t>
            </w:r>
          </w:p>
          <w:p w:rsidR="00000000" w:rsidP="00115C11">
            <w:pPr>
              <w:pStyle w:val="ListBullet"/>
              <w:rPr>
                <w:lang w:val="en-NZ"/>
              </w:rPr>
            </w:pPr>
            <w:r w:rsidRPr="00115C11">
              <w:t>workplace practices</w:t>
            </w:r>
          </w:p>
        </w:tc>
      </w:tr>
      <w:tr w:rsidTr="00177695">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rPr>
                <w:rStyle w:val="SpecialBold"/>
              </w:rPr>
              <w:t>Legislative</w:t>
            </w:r>
            <w:r w:rsidRPr="00115C11">
              <w:rPr>
                <w:rStyle w:val="SpecialBold"/>
              </w:rPr>
              <w:t xml:space="preserve"> requirements</w:t>
            </w:r>
            <w:r w:rsidRPr="00115C11">
              <w:t>:</w:t>
            </w:r>
          </w:p>
        </w:tc>
        <w:tc>
          <w:tcPr>
            <w:tcW w:w="5002" w:type="dxa"/>
            <w:tcBorders>
              <w:top w:val="nil"/>
              <w:left w:val="nil"/>
              <w:bottom w:val="nil"/>
              <w:right w:val="nil"/>
            </w:tcBorders>
            <w:tcMar>
              <w:top w:w="0" w:type="dxa"/>
              <w:left w:w="62" w:type="dxa"/>
              <w:bottom w:w="0" w:type="dxa"/>
              <w:right w:w="62" w:type="dxa"/>
            </w:tcMar>
          </w:tcPr>
          <w:p w:rsidR="00000000" w:rsidRPr="00115C11" w:rsidP="00115C11">
            <w:pPr>
              <w:pStyle w:val="BodyText"/>
            </w:pPr>
            <w:r w:rsidRPr="00115C11">
              <w:t>are to be in line with applicable commonwealth, state or territory legislation, regulations, certification requirements and codes of practice and may include:</w:t>
            </w:r>
          </w:p>
          <w:p w:rsidR="00000000" w:rsidRPr="00115C11" w:rsidP="00115C11">
            <w:pPr>
              <w:pStyle w:val="ListBullet"/>
            </w:pPr>
            <w:r w:rsidRPr="00115C11">
              <w:t>award and enterprise agreements</w:t>
            </w:r>
          </w:p>
          <w:p w:rsidR="00000000" w:rsidRPr="00115C11" w:rsidP="00115C11">
            <w:pPr>
              <w:pStyle w:val="ListBullet"/>
            </w:pPr>
            <w:r w:rsidRPr="00115C11">
              <w:t>industrial relations</w:t>
            </w:r>
          </w:p>
          <w:p w:rsidR="00000000" w:rsidRPr="00115C11" w:rsidP="00115C11">
            <w:pPr>
              <w:pStyle w:val="ListBullet"/>
            </w:pPr>
            <w:r w:rsidRPr="00115C11">
              <w:t>Australian Standards</w:t>
            </w:r>
          </w:p>
          <w:p w:rsidR="00000000" w:rsidRPr="00115C11" w:rsidP="00115C11">
            <w:pPr>
              <w:pStyle w:val="ListBullet"/>
            </w:pPr>
            <w:r w:rsidRPr="00115C11">
              <w:t>confidentiality and privacy</w:t>
            </w:r>
          </w:p>
          <w:p w:rsidR="00000000" w:rsidRPr="00115C11" w:rsidP="00115C11">
            <w:pPr>
              <w:pStyle w:val="ListBullet"/>
            </w:pPr>
            <w:r w:rsidRPr="00115C11">
              <w:t>OHS</w:t>
            </w:r>
          </w:p>
          <w:p w:rsidR="00000000" w:rsidRPr="00115C11" w:rsidP="00115C11">
            <w:pPr>
              <w:pStyle w:val="ListBullet"/>
            </w:pPr>
            <w:r w:rsidRPr="00115C11">
              <w:t>the environment</w:t>
            </w:r>
          </w:p>
          <w:p w:rsidR="00000000" w:rsidRPr="00115C11" w:rsidP="00115C11">
            <w:pPr>
              <w:pStyle w:val="ListBullet"/>
            </w:pPr>
            <w:r w:rsidRPr="00115C11">
              <w:t>equal opportunity</w:t>
            </w:r>
          </w:p>
          <w:p w:rsidR="00000000" w:rsidRPr="00115C11" w:rsidP="00115C11">
            <w:pPr>
              <w:pStyle w:val="ListBullet"/>
            </w:pPr>
            <w:r w:rsidRPr="00115C11">
              <w:t>anti-discrimination</w:t>
            </w:r>
          </w:p>
          <w:p w:rsidR="00000000" w:rsidRPr="00115C11" w:rsidP="00115C11">
            <w:pPr>
              <w:pStyle w:val="ListBullet"/>
            </w:pPr>
            <w:r w:rsidRPr="00115C11">
              <w:t>relevant industry codes of practice</w:t>
            </w:r>
          </w:p>
          <w:p w:rsidR="00000000" w:rsidP="00115C11">
            <w:pPr>
              <w:pStyle w:val="ListBullet"/>
              <w:rPr>
                <w:lang w:val="en-NZ"/>
              </w:rPr>
            </w:pPr>
            <w:r w:rsidRPr="00115C11">
              <w:t>duty of care</w:t>
            </w:r>
          </w:p>
        </w:tc>
      </w:tr>
      <w:tr w:rsidTr="00177695">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rPr>
                <w:rStyle w:val="SpecialBold"/>
              </w:rPr>
              <w:t>Organisational requirements</w:t>
            </w:r>
            <w:r w:rsidRPr="00115C11">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115C11" w:rsidP="00115C11">
            <w:pPr>
              <w:pStyle w:val="ListBullet"/>
            </w:pPr>
            <w:r w:rsidRPr="00115C11">
              <w:t xml:space="preserve">legal </w:t>
            </w:r>
          </w:p>
          <w:p w:rsidR="00000000" w:rsidRPr="00115C11" w:rsidP="00115C11">
            <w:pPr>
              <w:pStyle w:val="ListBullet"/>
            </w:pPr>
            <w:r w:rsidRPr="00115C11">
              <w:t>organisational and site guidelines</w:t>
            </w:r>
          </w:p>
          <w:p w:rsidR="00000000" w:rsidRPr="00115C11" w:rsidP="00115C11">
            <w:pPr>
              <w:pStyle w:val="ListBullet"/>
            </w:pPr>
            <w:r w:rsidRPr="00115C11">
              <w:t>policies and procedures relating to own role and responsibility</w:t>
            </w:r>
          </w:p>
          <w:p w:rsidR="00000000" w:rsidRPr="00115C11" w:rsidP="00115C11">
            <w:pPr>
              <w:pStyle w:val="ListBullet"/>
            </w:pPr>
            <w:r w:rsidRPr="00115C11">
              <w:t>quality assurance</w:t>
            </w:r>
          </w:p>
          <w:p w:rsidR="00000000" w:rsidRPr="00115C11" w:rsidP="00115C11">
            <w:pPr>
              <w:pStyle w:val="ListBullet"/>
            </w:pPr>
            <w:r w:rsidRPr="00115C11">
              <w:t>procedural manuals</w:t>
            </w:r>
          </w:p>
          <w:p w:rsidR="00000000" w:rsidRPr="00115C11" w:rsidP="00115C11">
            <w:pPr>
              <w:pStyle w:val="ListBullet"/>
            </w:pPr>
            <w:r w:rsidRPr="00115C11">
              <w:t>quality and continuous improvement processes and standards</w:t>
            </w:r>
          </w:p>
          <w:p w:rsidR="00000000" w:rsidRPr="00115C11" w:rsidP="00115C11">
            <w:pPr>
              <w:pStyle w:val="ListBullet"/>
            </w:pPr>
            <w:r w:rsidRPr="00115C11">
              <w:t>OHS, emergency and evacuation procedures</w:t>
            </w:r>
          </w:p>
          <w:p w:rsidR="00000000" w:rsidRPr="00115C11" w:rsidP="00115C11">
            <w:pPr>
              <w:pStyle w:val="ListBullet"/>
            </w:pPr>
            <w:r w:rsidRPr="00115C11">
              <w:t>ethical standards</w:t>
            </w:r>
          </w:p>
          <w:p w:rsidR="00000000" w:rsidRPr="00115C11" w:rsidP="00115C11">
            <w:pPr>
              <w:pStyle w:val="ListBullet"/>
            </w:pPr>
            <w:r w:rsidRPr="00115C11">
              <w:t>recording and reporting requirements</w:t>
            </w:r>
          </w:p>
          <w:p w:rsidR="00000000" w:rsidRPr="00115C11" w:rsidP="00115C11">
            <w:pPr>
              <w:pStyle w:val="ListBullet"/>
            </w:pPr>
            <w:r w:rsidRPr="00115C11">
              <w:t>equipment use, maintenance and storage requirements</w:t>
            </w:r>
          </w:p>
          <w:p w:rsidR="00000000" w:rsidP="00115C11">
            <w:pPr>
              <w:pStyle w:val="ListBullet"/>
              <w:rPr>
                <w:lang w:val="en-NZ"/>
              </w:rPr>
            </w:pPr>
            <w:r w:rsidRPr="00115C11">
              <w:t>environmental management requirements (waste minimisation and disposal, recycling and re-use guidelines)</w:t>
            </w:r>
          </w:p>
        </w:tc>
      </w:tr>
      <w:tr w:rsidTr="00177695">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rPr>
                <w:rStyle w:val="SpecialBold"/>
              </w:rPr>
              <w:t>Work order</w:t>
            </w:r>
            <w:r w:rsidRPr="00115C11">
              <w:t xml:space="preserve"> is to include:</w:t>
            </w:r>
          </w:p>
        </w:tc>
        <w:tc>
          <w:tcPr>
            <w:tcW w:w="5002" w:type="dxa"/>
            <w:tcBorders>
              <w:top w:val="nil"/>
              <w:left w:val="nil"/>
              <w:bottom w:val="nil"/>
              <w:right w:val="nil"/>
            </w:tcBorders>
            <w:tcMar>
              <w:top w:w="0" w:type="dxa"/>
              <w:left w:w="62" w:type="dxa"/>
              <w:bottom w:w="0" w:type="dxa"/>
              <w:right w:w="62" w:type="dxa"/>
            </w:tcMar>
          </w:tcPr>
          <w:p w:rsidR="00000000" w:rsidRPr="00115C11" w:rsidP="00115C11">
            <w:pPr>
              <w:pStyle w:val="ListBullet"/>
            </w:pPr>
            <w:r w:rsidRPr="00115C11">
              <w:t>instructions for equipment allocation and usage</w:t>
            </w:r>
          </w:p>
          <w:p w:rsidR="00000000" w:rsidRPr="00115C11" w:rsidP="00115C11">
            <w:pPr>
              <w:pStyle w:val="ListBullet"/>
            </w:pPr>
            <w:r w:rsidRPr="00115C11">
              <w:t xml:space="preserve">location </w:t>
            </w:r>
          </w:p>
          <w:p w:rsidR="00000000" w:rsidRPr="00115C11" w:rsidP="00115C11">
            <w:pPr>
              <w:pStyle w:val="ListBullet"/>
            </w:pPr>
            <w:r w:rsidRPr="00115C11">
              <w:t>intended acti</w:t>
            </w:r>
            <w:r w:rsidRPr="00115C11">
              <w:t>vity to designated personnel</w:t>
            </w:r>
          </w:p>
          <w:p w:rsidR="00000000" w:rsidRPr="00115C11" w:rsidP="00115C11">
            <w:pPr>
              <w:pStyle w:val="BodyText"/>
            </w:pPr>
            <w:r w:rsidRPr="00115C11">
              <w:t>and may also include:</w:t>
            </w:r>
          </w:p>
          <w:p w:rsidR="00000000" w:rsidRPr="00115C11" w:rsidP="00115C11">
            <w:pPr>
              <w:pStyle w:val="ListBullet"/>
            </w:pPr>
            <w:r w:rsidRPr="00115C11">
              <w:t>instructions for the environmental monitoring of work and procedures</w:t>
            </w:r>
          </w:p>
          <w:p w:rsidR="00000000" w:rsidP="00115C11">
            <w:pPr>
              <w:pStyle w:val="ListBullet"/>
              <w:rPr>
                <w:lang w:val="en-NZ"/>
              </w:rPr>
            </w:pPr>
            <w:r w:rsidRPr="00115C11">
              <w:t>environmental care requirements relevant to the work</w:t>
            </w:r>
          </w:p>
        </w:tc>
      </w:tr>
      <w:tr w:rsidTr="00177695">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rPr>
                <w:rStyle w:val="SpecialBold"/>
              </w:rPr>
              <w:t>Appropriate personnel</w:t>
            </w:r>
            <w:r w:rsidRPr="00115C11">
              <w:t xml:space="preserve"> may include: </w:t>
            </w:r>
          </w:p>
        </w:tc>
        <w:tc>
          <w:tcPr>
            <w:tcW w:w="5002" w:type="dxa"/>
            <w:tcBorders>
              <w:top w:val="nil"/>
              <w:left w:val="nil"/>
              <w:bottom w:val="nil"/>
              <w:right w:val="nil"/>
            </w:tcBorders>
            <w:tcMar>
              <w:top w:w="0" w:type="dxa"/>
              <w:left w:w="62" w:type="dxa"/>
              <w:bottom w:w="0" w:type="dxa"/>
              <w:right w:w="62" w:type="dxa"/>
            </w:tcMar>
          </w:tcPr>
          <w:p w:rsidR="00000000" w:rsidRPr="00115C11" w:rsidP="00115C11">
            <w:pPr>
              <w:pStyle w:val="ListBullet"/>
            </w:pPr>
            <w:r w:rsidRPr="00115C11">
              <w:t>supervisors</w:t>
            </w:r>
          </w:p>
          <w:p w:rsidR="00000000" w:rsidRPr="00115C11" w:rsidP="00115C11">
            <w:pPr>
              <w:pStyle w:val="ListBullet"/>
            </w:pPr>
            <w:r w:rsidRPr="00115C11">
              <w:t>suppliers</w:t>
            </w:r>
          </w:p>
          <w:p w:rsidR="00000000" w:rsidRPr="00115C11" w:rsidP="00115C11">
            <w:pPr>
              <w:pStyle w:val="ListBullet"/>
            </w:pPr>
            <w:r w:rsidRPr="00115C11">
              <w:t>clients</w:t>
            </w:r>
          </w:p>
          <w:p w:rsidR="00000000" w:rsidRPr="00115C11" w:rsidP="00115C11">
            <w:pPr>
              <w:pStyle w:val="ListBullet"/>
            </w:pPr>
            <w:r w:rsidRPr="00115C11">
              <w:t>colleagues</w:t>
            </w:r>
          </w:p>
          <w:p w:rsidR="00000000" w:rsidP="00115C11">
            <w:pPr>
              <w:pStyle w:val="ListBullet"/>
              <w:rPr>
                <w:lang w:val="en-NZ"/>
              </w:rPr>
            </w:pPr>
            <w:r w:rsidRPr="00115C11">
              <w:t>managers</w:t>
            </w:r>
          </w:p>
        </w:tc>
      </w:tr>
      <w:tr w:rsidTr="00177695">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rPr>
                <w:rStyle w:val="SpecialBold"/>
              </w:rPr>
              <w:t>Truck</w:t>
            </w:r>
            <w:r w:rsidRPr="00115C11">
              <w:t xml:space="preserve"> may include: </w:t>
            </w:r>
          </w:p>
        </w:tc>
        <w:tc>
          <w:tcPr>
            <w:tcW w:w="5002" w:type="dxa"/>
            <w:tcBorders>
              <w:top w:val="nil"/>
              <w:left w:val="nil"/>
              <w:bottom w:val="nil"/>
              <w:right w:val="nil"/>
            </w:tcBorders>
            <w:tcMar>
              <w:top w:w="0" w:type="dxa"/>
              <w:left w:w="62" w:type="dxa"/>
              <w:bottom w:w="0" w:type="dxa"/>
              <w:right w:w="62" w:type="dxa"/>
            </w:tcMar>
          </w:tcPr>
          <w:p w:rsidR="00000000" w:rsidRPr="00115C11" w:rsidP="00115C11">
            <w:pPr>
              <w:pStyle w:val="ListBullet"/>
            </w:pPr>
            <w:r w:rsidRPr="00115C11">
              <w:t>rigid or articulated timber trucks, including:</w:t>
            </w:r>
          </w:p>
          <w:p w:rsidR="00000000" w:rsidRPr="00115C11" w:rsidP="00115C11">
            <w:pPr>
              <w:pStyle w:val="ListBullet2"/>
            </w:pPr>
            <w:r w:rsidRPr="00115C11">
              <w:t>semi-trailers</w:t>
            </w:r>
          </w:p>
          <w:p w:rsidR="00000000" w:rsidRPr="00115C11" w:rsidP="00115C11">
            <w:pPr>
              <w:pStyle w:val="ListBullet2"/>
            </w:pPr>
            <w:r w:rsidRPr="00115C11">
              <w:t>jinkers</w:t>
            </w:r>
          </w:p>
          <w:p w:rsidR="00000000" w:rsidRPr="00115C11" w:rsidP="00115C11">
            <w:pPr>
              <w:pStyle w:val="ListBullet2"/>
            </w:pPr>
            <w:r w:rsidRPr="00115C11">
              <w:t>quad-dogs</w:t>
            </w:r>
          </w:p>
          <w:p w:rsidR="00000000" w:rsidRPr="00115C11" w:rsidP="00115C11">
            <w:pPr>
              <w:pStyle w:val="ListBullet2"/>
            </w:pPr>
            <w:r w:rsidRPr="00115C11">
              <w:t>B doubles</w:t>
            </w:r>
          </w:p>
          <w:p w:rsidR="00000000" w:rsidP="00115C11">
            <w:pPr>
              <w:pStyle w:val="ListBullet2"/>
              <w:rPr>
                <w:lang w:val="en-NZ"/>
              </w:rPr>
            </w:pPr>
            <w:r w:rsidRPr="00115C11">
              <w:t>two-bay skeletal trucks</w:t>
            </w:r>
          </w:p>
        </w:tc>
      </w:tr>
      <w:tr w:rsidTr="00177695">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rPr>
                <w:rStyle w:val="SpecialBold"/>
              </w:rPr>
              <w:t>Ancillary equipment</w:t>
            </w:r>
            <w:r w:rsidRPr="00115C11">
              <w:t xml:space="preserve"> may include: </w:t>
            </w:r>
          </w:p>
        </w:tc>
        <w:tc>
          <w:tcPr>
            <w:tcW w:w="5002" w:type="dxa"/>
            <w:tcBorders>
              <w:top w:val="nil"/>
              <w:left w:val="nil"/>
              <w:bottom w:val="nil"/>
              <w:right w:val="nil"/>
            </w:tcBorders>
            <w:tcMar>
              <w:top w:w="0" w:type="dxa"/>
              <w:left w:w="62" w:type="dxa"/>
              <w:bottom w:w="0" w:type="dxa"/>
              <w:right w:w="62" w:type="dxa"/>
            </w:tcMar>
          </w:tcPr>
          <w:p w:rsidR="00000000" w:rsidRPr="00115C11" w:rsidP="00115C11">
            <w:pPr>
              <w:pStyle w:val="ListBullet"/>
            </w:pPr>
            <w:r w:rsidRPr="00115C11">
              <w:t>safety fittings</w:t>
            </w:r>
          </w:p>
          <w:p w:rsidR="00000000" w:rsidRPr="00115C11" w:rsidP="00115C11">
            <w:pPr>
              <w:pStyle w:val="ListBullet"/>
            </w:pPr>
            <w:r w:rsidRPr="00115C11">
              <w:t>headache boards</w:t>
            </w:r>
          </w:p>
          <w:p w:rsidR="00000000" w:rsidP="00115C11">
            <w:pPr>
              <w:pStyle w:val="ListBullet"/>
              <w:rPr>
                <w:lang w:val="en-NZ"/>
              </w:rPr>
            </w:pPr>
            <w:r w:rsidRPr="00115C11">
              <w:t>cab guards</w:t>
            </w:r>
          </w:p>
        </w:tc>
      </w:tr>
      <w:tr w:rsidTr="00177695">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rPr>
                <w:rStyle w:val="SpecialBold"/>
              </w:rPr>
              <w:t>Accessories</w:t>
            </w:r>
            <w:r w:rsidRPr="00115C11">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115C11" w:rsidP="00115C11">
            <w:pPr>
              <w:pStyle w:val="ListBullet"/>
            </w:pPr>
            <w:r w:rsidRPr="00115C11">
              <w:t>tools</w:t>
            </w:r>
          </w:p>
          <w:p w:rsidR="00000000" w:rsidRPr="00115C11" w:rsidP="00115C11">
            <w:pPr>
              <w:pStyle w:val="ListBullet"/>
            </w:pPr>
            <w:r w:rsidRPr="00115C11">
              <w:t>records</w:t>
            </w:r>
          </w:p>
          <w:p w:rsidR="00000000" w:rsidRPr="00115C11" w:rsidP="00115C11">
            <w:pPr>
              <w:pStyle w:val="ListBullet"/>
            </w:pPr>
            <w:r w:rsidRPr="00115C11">
              <w:t>first aid kits</w:t>
            </w:r>
          </w:p>
          <w:p w:rsidR="00000000" w:rsidRPr="00115C11" w:rsidP="00115C11">
            <w:pPr>
              <w:pStyle w:val="ListBullet"/>
            </w:pPr>
            <w:r w:rsidRPr="00115C11">
              <w:t>fire extinguishers</w:t>
            </w:r>
          </w:p>
          <w:p w:rsidR="00000000" w:rsidRPr="00115C11" w:rsidP="00115C11">
            <w:pPr>
              <w:pStyle w:val="ListBullet"/>
            </w:pPr>
            <w:r w:rsidRPr="00115C11">
              <w:t>binders</w:t>
            </w:r>
          </w:p>
          <w:p w:rsidR="00000000" w:rsidRPr="00115C11" w:rsidP="00115C11">
            <w:pPr>
              <w:pStyle w:val="ListBullet"/>
            </w:pPr>
            <w:r w:rsidRPr="00115C11">
              <w:t>chains</w:t>
            </w:r>
          </w:p>
          <w:p w:rsidR="00000000" w:rsidP="00115C11">
            <w:pPr>
              <w:pStyle w:val="ListBullet"/>
              <w:rPr>
                <w:lang w:val="en-NZ"/>
              </w:rPr>
            </w:pPr>
            <w:r w:rsidRPr="00115C11">
              <w:t>personal protective equipment</w:t>
            </w:r>
          </w:p>
        </w:tc>
      </w:tr>
      <w:tr w:rsidTr="00177695">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rPr>
                <w:rStyle w:val="SpecialBold"/>
              </w:rPr>
              <w:t>Configuration</w:t>
            </w:r>
            <w:r w:rsidRPr="00115C11">
              <w:t xml:space="preserve"> is to include:</w:t>
            </w:r>
          </w:p>
        </w:tc>
        <w:tc>
          <w:tcPr>
            <w:tcW w:w="5002" w:type="dxa"/>
            <w:tcBorders>
              <w:top w:val="nil"/>
              <w:left w:val="nil"/>
              <w:bottom w:val="nil"/>
              <w:right w:val="nil"/>
            </w:tcBorders>
            <w:tcMar>
              <w:top w:w="0" w:type="dxa"/>
              <w:left w:w="62" w:type="dxa"/>
              <w:bottom w:w="0" w:type="dxa"/>
              <w:right w:w="62" w:type="dxa"/>
            </w:tcMar>
          </w:tcPr>
          <w:p w:rsidR="00000000" w:rsidP="00115C11">
            <w:pPr>
              <w:pStyle w:val="ListBullet"/>
              <w:rPr>
                <w:lang w:val="en-NZ"/>
              </w:rPr>
            </w:pPr>
            <w:r w:rsidRPr="00115C11">
              <w:t>truck and trailer combination</w:t>
            </w:r>
          </w:p>
        </w:tc>
      </w:tr>
      <w:tr w:rsidTr="00177695">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rPr>
                <w:rStyle w:val="SpecialBold"/>
              </w:rPr>
              <w:t>Logs</w:t>
            </w:r>
            <w:r w:rsidRPr="00115C11">
              <w:t xml:space="preserve"> are to include:</w:t>
            </w:r>
          </w:p>
        </w:tc>
        <w:tc>
          <w:tcPr>
            <w:tcW w:w="5002" w:type="dxa"/>
            <w:tcBorders>
              <w:top w:val="nil"/>
              <w:left w:val="nil"/>
              <w:bottom w:val="nil"/>
              <w:right w:val="nil"/>
            </w:tcBorders>
            <w:tcMar>
              <w:top w:w="0" w:type="dxa"/>
              <w:left w:w="62" w:type="dxa"/>
              <w:bottom w:w="0" w:type="dxa"/>
              <w:right w:w="62" w:type="dxa"/>
            </w:tcMar>
          </w:tcPr>
          <w:p w:rsidR="00000000" w:rsidRPr="00115C11" w:rsidP="00115C11">
            <w:pPr>
              <w:pStyle w:val="BodyText"/>
            </w:pPr>
            <w:r w:rsidRPr="00115C11">
              <w:t>assessment of:</w:t>
            </w:r>
          </w:p>
          <w:p w:rsidR="00000000" w:rsidRPr="00115C11" w:rsidP="00115C11">
            <w:pPr>
              <w:pStyle w:val="ListBullet"/>
            </w:pPr>
            <w:r w:rsidRPr="00115C11">
              <w:t>diameter range</w:t>
            </w:r>
          </w:p>
          <w:p w:rsidR="00000000" w:rsidRPr="00115C11" w:rsidP="00115C11">
            <w:pPr>
              <w:pStyle w:val="ListBullet"/>
            </w:pPr>
            <w:r w:rsidRPr="00115C11">
              <w:t>curvature</w:t>
            </w:r>
          </w:p>
          <w:p w:rsidR="00000000" w:rsidRPr="00115C11" w:rsidP="00115C11">
            <w:pPr>
              <w:pStyle w:val="ListBullet"/>
            </w:pPr>
            <w:r w:rsidRPr="00115C11">
              <w:t xml:space="preserve">faults </w:t>
            </w:r>
          </w:p>
          <w:p w:rsidR="00000000" w:rsidP="00115C11">
            <w:pPr>
              <w:pStyle w:val="ListBullet"/>
              <w:rPr>
                <w:lang w:val="en-NZ"/>
              </w:rPr>
            </w:pPr>
            <w:r w:rsidRPr="00115C11">
              <w:t>length</w:t>
            </w:r>
          </w:p>
        </w:tc>
      </w:tr>
      <w:tr w:rsidTr="00177695">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rPr>
                <w:rStyle w:val="SpecialBold"/>
              </w:rPr>
              <w:t>Communication</w:t>
            </w:r>
            <w:r w:rsidRPr="00115C11">
              <w:t xml:space="preserve"> may include: </w:t>
            </w:r>
          </w:p>
        </w:tc>
        <w:tc>
          <w:tcPr>
            <w:tcW w:w="5002" w:type="dxa"/>
            <w:tcBorders>
              <w:top w:val="nil"/>
              <w:left w:val="nil"/>
              <w:bottom w:val="nil"/>
              <w:right w:val="nil"/>
            </w:tcBorders>
            <w:tcMar>
              <w:top w:w="0" w:type="dxa"/>
              <w:left w:w="62" w:type="dxa"/>
              <w:bottom w:w="0" w:type="dxa"/>
              <w:right w:w="62" w:type="dxa"/>
            </w:tcMar>
          </w:tcPr>
          <w:p w:rsidR="00000000" w:rsidRPr="00115C11" w:rsidP="00115C11">
            <w:pPr>
              <w:pStyle w:val="ListBullet"/>
            </w:pPr>
            <w:r w:rsidRPr="00115C11">
              <w:t>verbal and non-verbal language</w:t>
            </w:r>
          </w:p>
          <w:p w:rsidR="00000000" w:rsidRPr="00115C11" w:rsidP="00115C11">
            <w:pPr>
              <w:pStyle w:val="ListBullet"/>
            </w:pPr>
            <w:r w:rsidRPr="00115C11">
              <w:t>constructive feedback</w:t>
            </w:r>
          </w:p>
          <w:p w:rsidR="00000000" w:rsidRPr="00115C11" w:rsidP="00115C11">
            <w:pPr>
              <w:pStyle w:val="ListBullet"/>
            </w:pPr>
            <w:r w:rsidRPr="00115C11">
              <w:t>active listening</w:t>
            </w:r>
          </w:p>
          <w:p w:rsidR="00000000" w:rsidRPr="00115C11" w:rsidP="00115C11">
            <w:pPr>
              <w:pStyle w:val="ListBullet"/>
            </w:pPr>
            <w:r w:rsidRPr="00115C11">
              <w:t>questioning to clarify and confirm understanding</w:t>
            </w:r>
          </w:p>
          <w:p w:rsidR="00000000" w:rsidRPr="00115C11" w:rsidP="00115C11">
            <w:pPr>
              <w:pStyle w:val="ListBullet"/>
            </w:pPr>
            <w:r w:rsidRPr="00115C11">
              <w:t>use of positive, confident and cooperative language</w:t>
            </w:r>
          </w:p>
          <w:p w:rsidR="00000000" w:rsidRPr="00115C11" w:rsidP="00115C11">
            <w:pPr>
              <w:pStyle w:val="ListBullet"/>
            </w:pPr>
            <w:r w:rsidRPr="00115C11">
              <w:t>use of language and concepts appropriate to individual social and cultural differenc</w:t>
            </w:r>
            <w:r w:rsidRPr="00115C11">
              <w:t>es</w:t>
            </w:r>
          </w:p>
          <w:p w:rsidR="00000000" w:rsidP="00115C11">
            <w:pPr>
              <w:pStyle w:val="ListBullet"/>
              <w:rPr>
                <w:lang w:val="en-NZ"/>
              </w:rPr>
            </w:pPr>
            <w:r w:rsidRPr="00115C11">
              <w:t xml:space="preserve">control of tone of voice </w:t>
            </w:r>
          </w:p>
        </w:tc>
      </w:tr>
      <w:tr w:rsidTr="00177695">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rPr>
                <w:rStyle w:val="SpecialBold"/>
              </w:rPr>
              <w:t>Environmental conditions</w:t>
            </w:r>
            <w:r w:rsidRPr="00115C11">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115C11" w:rsidP="00115C11">
            <w:pPr>
              <w:pStyle w:val="ListBullet"/>
            </w:pPr>
            <w:r w:rsidRPr="00115C11">
              <w:t>ground growth</w:t>
            </w:r>
          </w:p>
          <w:p w:rsidR="00000000" w:rsidRPr="00115C11" w:rsidP="00115C11">
            <w:pPr>
              <w:pStyle w:val="ListBullet"/>
            </w:pPr>
            <w:r w:rsidRPr="00115C11">
              <w:t>canopy</w:t>
            </w:r>
          </w:p>
          <w:p w:rsidR="00000000" w:rsidRPr="00115C11" w:rsidP="00115C11">
            <w:pPr>
              <w:pStyle w:val="ListBullet"/>
            </w:pPr>
            <w:r w:rsidRPr="00115C11">
              <w:t>general forest lean</w:t>
            </w:r>
          </w:p>
          <w:p w:rsidR="00000000" w:rsidRPr="00115C11" w:rsidP="00115C11">
            <w:pPr>
              <w:pStyle w:val="ListBullet"/>
            </w:pPr>
            <w:r w:rsidRPr="00115C11">
              <w:t>fallen trees</w:t>
            </w:r>
          </w:p>
          <w:p w:rsidR="00000000" w:rsidRPr="00115C11" w:rsidP="00115C11">
            <w:pPr>
              <w:pStyle w:val="ListBullet"/>
            </w:pPr>
            <w:r w:rsidRPr="00115C11">
              <w:t>ground slope</w:t>
            </w:r>
          </w:p>
          <w:p w:rsidR="00000000" w:rsidRPr="00115C11" w:rsidP="00115C11">
            <w:pPr>
              <w:pStyle w:val="ListBullet"/>
            </w:pPr>
            <w:r w:rsidRPr="00115C11">
              <w:t>soil and water protection</w:t>
            </w:r>
          </w:p>
          <w:p w:rsidR="00000000" w:rsidP="00115C11">
            <w:pPr>
              <w:pStyle w:val="ListBullet"/>
              <w:rPr>
                <w:lang w:val="en-NZ"/>
              </w:rPr>
            </w:pPr>
            <w:r w:rsidRPr="00115C11">
              <w:t>ground hazards and obstacles</w:t>
            </w:r>
          </w:p>
        </w:tc>
      </w:tr>
      <w:tr w:rsidTr="00177695">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rPr>
                <w:rStyle w:val="SpecialBold"/>
              </w:rPr>
              <w:t>Log positioning equipment</w:t>
            </w:r>
            <w:r w:rsidRPr="00115C11">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115C11" w:rsidP="00115C11">
            <w:pPr>
              <w:pStyle w:val="ListBullet"/>
            </w:pPr>
            <w:r w:rsidRPr="00115C11">
              <w:t>bolsters</w:t>
            </w:r>
          </w:p>
          <w:p w:rsidR="00000000" w:rsidRPr="00115C11" w:rsidP="00115C11">
            <w:pPr>
              <w:pStyle w:val="ListBullet"/>
            </w:pPr>
            <w:r w:rsidRPr="00115C11">
              <w:t>slippers</w:t>
            </w:r>
          </w:p>
          <w:p w:rsidR="00000000" w:rsidRPr="00115C11" w:rsidP="00115C11">
            <w:pPr>
              <w:pStyle w:val="ListBullet"/>
            </w:pPr>
            <w:r w:rsidRPr="00115C11">
              <w:t>stanchions</w:t>
            </w:r>
          </w:p>
          <w:p w:rsidR="00000000" w:rsidP="00115C11">
            <w:pPr>
              <w:pStyle w:val="ListBullet"/>
              <w:rPr>
                <w:lang w:val="en-NZ"/>
              </w:rPr>
            </w:pPr>
            <w:r w:rsidRPr="00115C11">
              <w:t>chocks</w:t>
            </w:r>
          </w:p>
        </w:tc>
      </w:tr>
      <w:tr w:rsidTr="00177695">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rPr>
                <w:rStyle w:val="SpecialBold"/>
              </w:rPr>
              <w:t>Load build</w:t>
            </w:r>
            <w:r w:rsidRPr="00115C11">
              <w:t xml:space="preserve"> is to include:</w:t>
            </w:r>
          </w:p>
        </w:tc>
        <w:tc>
          <w:tcPr>
            <w:tcW w:w="5002" w:type="dxa"/>
            <w:tcBorders>
              <w:top w:val="nil"/>
              <w:left w:val="nil"/>
              <w:bottom w:val="nil"/>
              <w:right w:val="nil"/>
            </w:tcBorders>
            <w:tcMar>
              <w:top w:w="0" w:type="dxa"/>
              <w:left w:w="62" w:type="dxa"/>
              <w:bottom w:w="0" w:type="dxa"/>
              <w:right w:w="62" w:type="dxa"/>
            </w:tcMar>
          </w:tcPr>
          <w:p w:rsidR="00000000" w:rsidRPr="00115C11" w:rsidP="00115C11">
            <w:pPr>
              <w:pStyle w:val="ListBullet"/>
            </w:pPr>
            <w:r w:rsidRPr="00115C11">
              <w:t>positioning of logs on truck so as to avoid:</w:t>
            </w:r>
          </w:p>
          <w:p w:rsidR="00000000" w:rsidRPr="00115C11" w:rsidP="00115C11">
            <w:pPr>
              <w:pStyle w:val="ListBullet2"/>
            </w:pPr>
            <w:r w:rsidRPr="00115C11">
              <w:t>uneven weight distribution</w:t>
            </w:r>
          </w:p>
          <w:p w:rsidR="00000000" w:rsidRPr="00115C11" w:rsidP="00115C11">
            <w:pPr>
              <w:pStyle w:val="ListBullet2"/>
            </w:pPr>
            <w:r w:rsidRPr="00115C11">
              <w:t>instability or uncontrolled collapse of the load during loading or unloading</w:t>
            </w:r>
          </w:p>
          <w:p w:rsidR="00000000" w:rsidRPr="00115C11" w:rsidP="00115C11">
            <w:pPr>
              <w:pStyle w:val="ListBullet2"/>
            </w:pPr>
            <w:r w:rsidRPr="00115C11">
              <w:t>overhang</w:t>
            </w:r>
          </w:p>
          <w:p w:rsidR="00000000" w:rsidRPr="00115C11" w:rsidP="00115C11">
            <w:pPr>
              <w:pStyle w:val="ListBullet"/>
            </w:pPr>
            <w:r w:rsidRPr="00115C11">
              <w:t>requirements for trailer rigidity</w:t>
            </w:r>
          </w:p>
          <w:p w:rsidR="00000000" w:rsidRPr="00115C11" w:rsidP="00115C11">
            <w:pPr>
              <w:pStyle w:val="ListBullet"/>
            </w:pPr>
            <w:r w:rsidRPr="00115C11">
              <w:t>turning clearance</w:t>
            </w:r>
          </w:p>
          <w:p w:rsidR="00000000" w:rsidRPr="00115C11" w:rsidP="00115C11">
            <w:pPr>
              <w:pStyle w:val="ListBullet"/>
            </w:pPr>
            <w:r w:rsidRPr="00115C11">
              <w:t>projection above stanchions</w:t>
            </w:r>
          </w:p>
          <w:p w:rsidR="00000000" w:rsidRPr="00115C11" w:rsidP="00115C11">
            <w:pPr>
              <w:pStyle w:val="ListBullet"/>
            </w:pPr>
            <w:r w:rsidRPr="00115C11">
              <w:t>crowning</w:t>
            </w:r>
          </w:p>
          <w:p w:rsidR="00000000" w:rsidRPr="00115C11" w:rsidP="00115C11">
            <w:pPr>
              <w:pStyle w:val="ListBullet"/>
            </w:pPr>
            <w:r w:rsidRPr="00115C11">
              <w:t>weight distribution on truck and trailer axles</w:t>
            </w:r>
          </w:p>
          <w:p w:rsidR="00000000" w:rsidP="00115C11">
            <w:pPr>
              <w:pStyle w:val="ListBullet"/>
              <w:rPr>
                <w:lang w:val="en-NZ"/>
              </w:rPr>
            </w:pPr>
            <w:r w:rsidRPr="00115C11">
              <w:t>contact with bolsters, stanchions and other logs</w:t>
            </w:r>
          </w:p>
        </w:tc>
      </w:tr>
      <w:tr w:rsidTr="00177695">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rPr>
                <w:rStyle w:val="SpecialBold"/>
              </w:rPr>
              <w:t>Securing devices</w:t>
            </w:r>
            <w:r w:rsidRPr="00115C11">
              <w:t xml:space="preserve"> are to include:</w:t>
            </w:r>
          </w:p>
        </w:tc>
        <w:tc>
          <w:tcPr>
            <w:tcW w:w="5002" w:type="dxa"/>
            <w:tcBorders>
              <w:top w:val="nil"/>
              <w:left w:val="nil"/>
              <w:bottom w:val="nil"/>
              <w:right w:val="nil"/>
            </w:tcBorders>
            <w:tcMar>
              <w:top w:w="0" w:type="dxa"/>
              <w:left w:w="62" w:type="dxa"/>
              <w:bottom w:w="0" w:type="dxa"/>
              <w:right w:w="62" w:type="dxa"/>
            </w:tcMar>
          </w:tcPr>
          <w:p w:rsidR="00000000" w:rsidRPr="00115C11" w:rsidP="00115C11">
            <w:pPr>
              <w:pStyle w:val="ListBullet"/>
            </w:pPr>
            <w:r w:rsidRPr="00115C11">
              <w:t>chains</w:t>
            </w:r>
          </w:p>
          <w:p w:rsidR="00000000" w:rsidRPr="00115C11" w:rsidP="00115C11">
            <w:pPr>
              <w:pStyle w:val="ListBullet"/>
            </w:pPr>
            <w:r w:rsidRPr="00115C11">
              <w:t>binders</w:t>
            </w:r>
          </w:p>
          <w:p w:rsidR="00000000" w:rsidP="00115C11">
            <w:pPr>
              <w:pStyle w:val="ListBullet"/>
              <w:rPr>
                <w:lang w:val="en-NZ"/>
              </w:rPr>
            </w:pPr>
            <w:r w:rsidRPr="00115C11">
              <w:t>other tensioning devices</w:t>
            </w:r>
          </w:p>
        </w:tc>
      </w:tr>
      <w:tr w:rsidTr="00177695">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rPr>
                <w:rStyle w:val="SpecialBold"/>
              </w:rPr>
              <w:t>Trimming</w:t>
            </w:r>
            <w:r w:rsidRPr="00115C11">
              <w:t xml:space="preserve"> </w:t>
            </w:r>
          </w:p>
        </w:tc>
        <w:tc>
          <w:tcPr>
            <w:tcW w:w="5002" w:type="dxa"/>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t>is the process of preparing the truck and load for safe transport</w:t>
            </w:r>
          </w:p>
        </w:tc>
      </w:tr>
      <w:tr w:rsidTr="00177695">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rPr>
                <w:rStyle w:val="SpecialBold"/>
              </w:rPr>
              <w:t>Primary controls</w:t>
            </w:r>
            <w:r w:rsidRPr="00115C11">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115C11" w:rsidP="00115C11">
            <w:pPr>
              <w:pStyle w:val="ListBullet"/>
            </w:pPr>
            <w:r w:rsidRPr="00115C11">
              <w:t>power</w:t>
            </w:r>
          </w:p>
          <w:p w:rsidR="00000000" w:rsidRPr="00115C11" w:rsidP="00115C11">
            <w:pPr>
              <w:pStyle w:val="ListBullet"/>
            </w:pPr>
            <w:r w:rsidRPr="00115C11">
              <w:t>brakes</w:t>
            </w:r>
          </w:p>
          <w:p w:rsidR="00000000" w:rsidRPr="00115C11" w:rsidP="00115C11">
            <w:pPr>
              <w:pStyle w:val="ListBullet"/>
            </w:pPr>
            <w:r w:rsidRPr="00115C11">
              <w:t>steering</w:t>
            </w:r>
          </w:p>
          <w:p w:rsidR="00000000" w:rsidRPr="00115C11" w:rsidP="00115C11">
            <w:pPr>
              <w:pStyle w:val="ListBullet"/>
            </w:pPr>
            <w:r w:rsidRPr="00115C11">
              <w:t>speed</w:t>
            </w:r>
          </w:p>
          <w:p w:rsidR="00000000" w:rsidRPr="00115C11" w:rsidP="00115C11">
            <w:pPr>
              <w:pStyle w:val="ListBullet"/>
            </w:pPr>
            <w:r w:rsidRPr="00115C11">
              <w:t>position</w:t>
            </w:r>
          </w:p>
          <w:p w:rsidR="00000000" w:rsidRPr="00115C11" w:rsidP="00115C11">
            <w:pPr>
              <w:pStyle w:val="ListBullet"/>
            </w:pPr>
            <w:r w:rsidRPr="00115C11">
              <w:t xml:space="preserve">load reaction </w:t>
            </w:r>
          </w:p>
          <w:p w:rsidR="00000000" w:rsidP="00115C11">
            <w:pPr>
              <w:pStyle w:val="ListBullet"/>
              <w:rPr>
                <w:lang w:val="en-NZ"/>
              </w:rPr>
            </w:pPr>
            <w:r w:rsidRPr="00115C11">
              <w:t>gear selection</w:t>
            </w:r>
          </w:p>
        </w:tc>
      </w:tr>
      <w:tr w:rsidTr="00177695">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rPr>
                <w:rStyle w:val="SpecialBold"/>
              </w:rPr>
              <w:t>Subsidiary controls</w:t>
            </w:r>
            <w:r w:rsidRPr="00115C11">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115C11" w:rsidP="00115C11">
            <w:pPr>
              <w:pStyle w:val="ListBullet"/>
            </w:pPr>
            <w:r w:rsidRPr="00115C11">
              <w:t>differential lock</w:t>
            </w:r>
          </w:p>
          <w:p w:rsidR="00000000" w:rsidRPr="00115C11" w:rsidP="00115C11">
            <w:pPr>
              <w:pStyle w:val="ListBullet"/>
            </w:pPr>
            <w:r w:rsidRPr="00115C11">
              <w:t>centre tyre inflation (CTI)</w:t>
            </w:r>
          </w:p>
          <w:p w:rsidR="00000000" w:rsidP="00115C11">
            <w:pPr>
              <w:pStyle w:val="ListBullet"/>
              <w:rPr>
                <w:lang w:val="en-NZ"/>
              </w:rPr>
            </w:pPr>
            <w:r w:rsidRPr="00115C11">
              <w:t>power dividers</w:t>
            </w:r>
          </w:p>
        </w:tc>
      </w:tr>
      <w:tr w:rsidTr="00177695">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rPr>
                <w:rStyle w:val="SpecialBold"/>
              </w:rPr>
              <w:t>Re-tensioning</w:t>
            </w:r>
            <w:r w:rsidRPr="00115C11">
              <w:t xml:space="preserve"> is to include:</w:t>
            </w:r>
          </w:p>
        </w:tc>
        <w:tc>
          <w:tcPr>
            <w:tcW w:w="5002" w:type="dxa"/>
            <w:tcBorders>
              <w:top w:val="nil"/>
              <w:left w:val="nil"/>
              <w:bottom w:val="nil"/>
              <w:right w:val="nil"/>
            </w:tcBorders>
            <w:tcMar>
              <w:top w:w="0" w:type="dxa"/>
              <w:left w:w="62" w:type="dxa"/>
              <w:bottom w:w="0" w:type="dxa"/>
              <w:right w:w="62" w:type="dxa"/>
            </w:tcMar>
          </w:tcPr>
          <w:p w:rsidR="00000000" w:rsidP="00115C11">
            <w:pPr>
              <w:pStyle w:val="ListBullet"/>
              <w:rPr>
                <w:lang w:val="en-NZ"/>
              </w:rPr>
            </w:pPr>
            <w:r w:rsidRPr="00115C11">
              <w:t>re-tightening of the chains, binders and other tensioning devices</w:t>
            </w:r>
          </w:p>
        </w:tc>
      </w:tr>
      <w:tr w:rsidTr="00177695">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rPr>
                <w:rStyle w:val="SpecialBold"/>
              </w:rPr>
              <w:t>Records and reports</w:t>
            </w:r>
            <w:r w:rsidRPr="00115C11">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115C11" w:rsidP="00115C11">
            <w:pPr>
              <w:pStyle w:val="ListBullet"/>
            </w:pPr>
            <w:r w:rsidRPr="00115C11">
              <w:t>scheduling and coordination outcomes</w:t>
            </w:r>
          </w:p>
          <w:p w:rsidR="00000000" w:rsidRPr="00115C11" w:rsidP="00115C11">
            <w:pPr>
              <w:pStyle w:val="ListBullet"/>
            </w:pPr>
            <w:r w:rsidRPr="00115C11">
              <w:t>log movement</w:t>
            </w:r>
          </w:p>
          <w:p w:rsidR="00000000" w:rsidRPr="00115C11" w:rsidP="00115C11">
            <w:pPr>
              <w:pStyle w:val="ListBullet"/>
            </w:pPr>
            <w:r w:rsidRPr="00115C11">
              <w:t>despatch outcomes</w:t>
            </w:r>
          </w:p>
          <w:p w:rsidR="00000000" w:rsidRPr="00115C11" w:rsidP="00115C11">
            <w:pPr>
              <w:pStyle w:val="ListBullet"/>
            </w:pPr>
            <w:r w:rsidRPr="00115C11">
              <w:t>storage locations</w:t>
            </w:r>
          </w:p>
          <w:p w:rsidR="00000000" w:rsidRPr="00115C11" w:rsidP="00115C11">
            <w:pPr>
              <w:pStyle w:val="ListBullet"/>
            </w:pPr>
            <w:r w:rsidRPr="00115C11">
              <w:t>quality outcomes</w:t>
            </w:r>
          </w:p>
          <w:p w:rsidR="00000000" w:rsidRPr="00115C11" w:rsidP="00115C11">
            <w:pPr>
              <w:pStyle w:val="ListBullet"/>
            </w:pPr>
            <w:r w:rsidRPr="00115C11">
              <w:t>hazards</w:t>
            </w:r>
          </w:p>
          <w:p w:rsidR="00000000" w:rsidRPr="00115C11" w:rsidP="00115C11">
            <w:pPr>
              <w:pStyle w:val="ListBullet"/>
            </w:pPr>
            <w:r w:rsidRPr="00115C11">
              <w:t>incidents</w:t>
            </w:r>
          </w:p>
          <w:p w:rsidR="00000000" w:rsidRPr="00115C11" w:rsidP="00115C11">
            <w:pPr>
              <w:pStyle w:val="ListBullet"/>
            </w:pPr>
            <w:r w:rsidRPr="00115C11">
              <w:t>equipment malfunctions</w:t>
            </w:r>
          </w:p>
          <w:p w:rsidR="00000000" w:rsidRPr="00115C11" w:rsidP="00115C11">
            <w:pPr>
              <w:pStyle w:val="BodyText"/>
            </w:pPr>
            <w:r w:rsidRPr="00115C11">
              <w:t>and may be:</w:t>
            </w:r>
          </w:p>
          <w:p w:rsidR="00000000" w:rsidRPr="00115C11" w:rsidP="00115C11">
            <w:pPr>
              <w:pStyle w:val="ListBullet"/>
            </w:pPr>
            <w:r w:rsidRPr="00115C11">
              <w:t>manual</w:t>
            </w:r>
          </w:p>
          <w:p w:rsidR="00000000" w:rsidRPr="00115C11" w:rsidP="00115C11">
            <w:pPr>
              <w:pStyle w:val="ListBullet"/>
            </w:pPr>
            <w:r w:rsidRPr="00115C11">
              <w:t>a computer-based system</w:t>
            </w:r>
          </w:p>
          <w:p w:rsidR="00000000" w:rsidRPr="00115C11" w:rsidP="00115C11">
            <w:pPr>
              <w:pStyle w:val="ListBullet"/>
            </w:pPr>
            <w:r w:rsidRPr="00115C11">
              <w:t>other appropriate organisational communication system</w:t>
            </w:r>
          </w:p>
        </w:tc>
      </w:tr>
    </w:tbl>
    <w:p w:rsidR="00177695" w:rsidP="00115C11">
      <w:pPr>
        <w:pStyle w:val="BodyText"/>
      </w:pPr>
    </w:p>
    <w:p w:rsidR="00177695" w:rsidP="00115C11">
      <w:pPr>
        <w:pStyle w:val="BodyText"/>
      </w:pPr>
    </w:p>
    <w:p w:rsidR="00000000" w:rsidRPr="00115C11" w:rsidP="00115C11">
      <w:pPr>
        <w:pStyle w:val="Heading1"/>
      </w:pPr>
      <w:bookmarkStart w:id="12" w:name="O_294580"/>
      <w:bookmarkEnd w:id="12"/>
      <w:r w:rsidRPr="00115C11">
        <w:t>Unit Sector(s)</w:t>
      </w:r>
    </w:p>
    <w:p w:rsidR="00000000" w:rsidRPr="00115C11" w:rsidP="00115C11">
      <w:pPr>
        <w:pStyle w:val="BodyText"/>
      </w:pPr>
      <w:r w:rsidRPr="00115C11">
        <w:t>Not Applicable</w:t>
      </w:r>
    </w:p>
    <w:p w:rsidR="00000000" w:rsidRPr="00115C11" w:rsidP="00115C11">
      <w:pPr>
        <w:pStyle w:val="AllowPageBreak"/>
      </w:pPr>
    </w:p>
    <w:p w:rsidR="00000000" w:rsidRPr="00115C11" w:rsidP="00115C11">
      <w:pPr>
        <w:pStyle w:val="Heading1"/>
      </w:pPr>
      <w:bookmarkStart w:id="13" w:name="O_203350"/>
      <w:bookmarkEnd w:id="13"/>
      <w:r w:rsidRPr="00115C11">
        <w:t>Competency field</w:t>
      </w:r>
    </w:p>
    <w:tbl>
      <w:tblPr>
        <w:tblW w:w="0" w:type="auto"/>
        <w:tblLayout w:type="fixed"/>
        <w:tblCellMar>
          <w:left w:w="62" w:type="dxa"/>
          <w:right w:w="62" w:type="dxa"/>
        </w:tblCellMar>
        <w:tblLook w:val="0000"/>
      </w:tblPr>
      <w:tblGrid>
        <w:gridCol w:w="2777"/>
        <w:gridCol w:w="5745"/>
      </w:tblGrid>
      <w:tr w:rsidTr="00177695">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115C11">
            <w:pPr>
              <w:pStyle w:val="BodyText"/>
              <w:rPr>
                <w:lang w:val="en-NZ"/>
              </w:rPr>
            </w:pPr>
            <w:r w:rsidRPr="00115C11">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115C11" w:rsidP="00115C11">
            <w:pPr>
              <w:pStyle w:val="BodyText"/>
            </w:pPr>
            <w:r w:rsidRPr="00115C11">
              <w:t>Common Technical</w:t>
            </w:r>
          </w:p>
        </w:tc>
      </w:tr>
    </w:tbl>
    <w:p w:rsidR="00177695" w:rsidP="00115C11">
      <w:pPr>
        <w:pStyle w:val="BodyText"/>
      </w:pPr>
    </w:p>
    <w:p w:rsidR="00177695" w:rsidP="00115C11">
      <w:pPr>
        <w:pStyle w:val="BodyText"/>
      </w:pPr>
    </w:p>
    <w:p w:rsidR="00000000" w:rsidRPr="00115C11" w:rsidP="00115C11"/>
    <w:sectPr w:rsidSect="00115C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C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7695" w:rsidP="001776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C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695" w:rsidP="00115C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77695" w:rsidP="00115C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177695" w:rsidP="00115C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C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7695" w:rsidP="001776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C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695" w:rsidP="00115C11">
    <w:pPr>
      <w:pStyle w:val="Header"/>
      <w:framePr w:wrap="around"/>
    </w:pPr>
    <w:r>
      <w:fldChar w:fldCharType="begin"/>
    </w:r>
    <w:r>
      <w:instrText xml:space="preserve"> TITLE   \* MERGEFORMAT </w:instrText>
    </w:r>
    <w:r>
      <w:fldChar w:fldCharType="separate"/>
    </w:r>
    <w:r>
      <w:t>FPICOT3226B Shift forestry logs using trucks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77695" w:rsidP="00115C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C427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1EEE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0226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C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5C11"/>
    <w:pPr>
      <w:spacing w:before="360" w:after="60"/>
      <w:outlineLvl w:val="0"/>
    </w:pPr>
    <w:rPr>
      <w:sz w:val="32"/>
    </w:rPr>
  </w:style>
  <w:style w:type="paragraph" w:styleId="Heading2">
    <w:name w:val="heading 2"/>
    <w:basedOn w:val="HeadingBase"/>
    <w:next w:val="BodyText"/>
    <w:link w:val="Heading2Char"/>
    <w:qFormat/>
    <w:rsid w:val="00115C11"/>
    <w:pPr>
      <w:keepLines/>
      <w:spacing w:before="240" w:after="120"/>
      <w:outlineLvl w:val="1"/>
    </w:pPr>
    <w:rPr>
      <w:sz w:val="28"/>
      <w:szCs w:val="40"/>
    </w:rPr>
  </w:style>
  <w:style w:type="paragraph" w:styleId="Heading3">
    <w:name w:val="heading 3"/>
    <w:basedOn w:val="HeadingBase"/>
    <w:next w:val="BodyText"/>
    <w:link w:val="Heading3Char"/>
    <w:qFormat/>
    <w:rsid w:val="00115C11"/>
    <w:pPr>
      <w:spacing w:before="180" w:after="120"/>
      <w:outlineLvl w:val="2"/>
    </w:pPr>
    <w:rPr>
      <w:spacing w:val="-10"/>
      <w:kern w:val="32"/>
    </w:rPr>
  </w:style>
  <w:style w:type="paragraph" w:styleId="Heading4">
    <w:name w:val="heading 4"/>
    <w:basedOn w:val="HeadingBase"/>
    <w:next w:val="BodyText"/>
    <w:link w:val="Heading4Char"/>
    <w:qFormat/>
    <w:rsid w:val="00115C11"/>
    <w:pPr>
      <w:spacing w:before="160" w:after="120"/>
      <w:outlineLvl w:val="3"/>
    </w:pPr>
    <w:rPr>
      <w:sz w:val="22"/>
    </w:rPr>
  </w:style>
  <w:style w:type="paragraph" w:styleId="Heading5">
    <w:name w:val="heading 5"/>
    <w:basedOn w:val="HeadingBase"/>
    <w:next w:val="Normal"/>
    <w:link w:val="Heading5Char"/>
    <w:qFormat/>
    <w:rsid w:val="00115C11"/>
    <w:pPr>
      <w:spacing w:before="80"/>
      <w:outlineLvl w:val="4"/>
    </w:pPr>
    <w:rPr>
      <w:color w:val="918585"/>
      <w:sz w:val="20"/>
    </w:rPr>
  </w:style>
  <w:style w:type="paragraph" w:styleId="Heading6">
    <w:name w:val="heading 6"/>
    <w:basedOn w:val="HeadingBase"/>
    <w:next w:val="Normal"/>
    <w:link w:val="Heading6Char"/>
    <w:qFormat/>
    <w:rsid w:val="00115C11"/>
    <w:pPr>
      <w:spacing w:before="60"/>
      <w:outlineLvl w:val="5"/>
    </w:pPr>
    <w:rPr>
      <w:color w:val="918585"/>
      <w:sz w:val="20"/>
    </w:rPr>
  </w:style>
  <w:style w:type="paragraph" w:styleId="Heading7">
    <w:name w:val="heading 7"/>
    <w:basedOn w:val="Normal"/>
    <w:next w:val="Normal"/>
    <w:link w:val="Heading7Char"/>
    <w:qFormat/>
    <w:rsid w:val="00115C11"/>
    <w:pPr>
      <w:ind w:left="720"/>
      <w:outlineLvl w:val="6"/>
    </w:pPr>
    <w:rPr>
      <w:i/>
    </w:rPr>
  </w:style>
  <w:style w:type="paragraph" w:styleId="Heading8">
    <w:name w:val="heading 8"/>
    <w:basedOn w:val="Normal"/>
    <w:next w:val="Normal"/>
    <w:link w:val="Heading8Char"/>
    <w:qFormat/>
    <w:rsid w:val="00115C11"/>
    <w:pPr>
      <w:ind w:left="720"/>
      <w:outlineLvl w:val="7"/>
    </w:pPr>
    <w:rPr>
      <w:i/>
    </w:rPr>
  </w:style>
  <w:style w:type="paragraph" w:styleId="Heading9">
    <w:name w:val="heading 9"/>
    <w:basedOn w:val="Normal"/>
    <w:next w:val="Normal"/>
    <w:link w:val="Heading9Char"/>
    <w:qFormat/>
    <w:rsid w:val="00115C11"/>
    <w:pPr>
      <w:ind w:left="720"/>
      <w:outlineLvl w:val="8"/>
    </w:pPr>
    <w:rPr>
      <w:i/>
    </w:rPr>
  </w:style>
  <w:style w:type="character" w:default="1" w:styleId="DefaultParagraphFont">
    <w:name w:val="Default Paragraph Font"/>
    <w:uiPriority w:val="1"/>
    <w:unhideWhenUsed/>
    <w:rsid w:val="00115C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C11"/>
  </w:style>
  <w:style w:type="character" w:customStyle="1" w:styleId="Heading1Char">
    <w:name w:val="Heading 1 Char"/>
    <w:basedOn w:val="DefaultParagraphFont"/>
    <w:link w:val="Heading1"/>
    <w:rsid w:val="00115C11"/>
    <w:rPr>
      <w:rFonts w:ascii="Times New Roman" w:eastAsia="Times New Roman" w:hAnsi="Times New Roman" w:cs="Times New Roman"/>
      <w:b/>
      <w:sz w:val="32"/>
      <w:szCs w:val="20"/>
      <w:lang w:eastAsia="en-US"/>
    </w:rPr>
  </w:style>
  <w:style w:type="paragraph" w:styleId="BodyText">
    <w:name w:val="Body Text"/>
    <w:basedOn w:val="Normal"/>
    <w:link w:val="BodyTextChar"/>
    <w:rsid w:val="00115C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5C11"/>
    <w:rPr>
      <w:rFonts w:ascii="Times New Roman" w:eastAsia="Times New Roman" w:hAnsi="Times New Roman" w:cs="Times New Roman"/>
      <w:sz w:val="24"/>
      <w:lang w:val="en-US" w:eastAsia="en-US"/>
    </w:rPr>
  </w:style>
  <w:style w:type="paragraph" w:styleId="Footer">
    <w:name w:val="footer"/>
    <w:basedOn w:val="Normal"/>
    <w:link w:val="FooterChar"/>
    <w:rsid w:val="00115C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5C11"/>
    <w:rPr>
      <w:rFonts w:ascii="Times New Roman" w:eastAsia="Times New Roman" w:hAnsi="Times New Roman" w:cs="Times New Roman"/>
      <w:sz w:val="16"/>
      <w:lang w:val="en-US" w:eastAsia="en-US"/>
    </w:rPr>
  </w:style>
  <w:style w:type="paragraph" w:styleId="List">
    <w:name w:val="List"/>
    <w:basedOn w:val="BodyText"/>
    <w:next w:val="BodyText"/>
    <w:rsid w:val="00115C11"/>
    <w:pPr>
      <w:tabs>
        <w:tab w:val="left" w:pos="340"/>
      </w:tabs>
      <w:spacing w:before="60" w:after="60"/>
      <w:ind w:left="340" w:hanging="340"/>
    </w:pPr>
  </w:style>
  <w:style w:type="paragraph" w:styleId="ListBullet">
    <w:name w:val="List Bullet"/>
    <w:basedOn w:val="List"/>
    <w:rsid w:val="00115C11"/>
    <w:pPr>
      <w:numPr>
        <w:numId w:val="14"/>
      </w:numPr>
      <w:tabs>
        <w:tab w:val="clear" w:pos="340"/>
      </w:tabs>
      <w:spacing w:before="40" w:after="40"/>
    </w:pPr>
  </w:style>
  <w:style w:type="character" w:customStyle="1" w:styleId="SpecialBold">
    <w:name w:val="Special Bold"/>
    <w:basedOn w:val="DefaultParagraphFont"/>
    <w:rsid w:val="00115C11"/>
    <w:rPr>
      <w:b/>
      <w:spacing w:val="0"/>
    </w:rPr>
  </w:style>
  <w:style w:type="paragraph" w:styleId="ListBullet2">
    <w:name w:val="List Bullet 2"/>
    <w:basedOn w:val="List2"/>
    <w:rsid w:val="00115C11"/>
    <w:pPr>
      <w:numPr>
        <w:numId w:val="15"/>
      </w:numPr>
      <w:tabs>
        <w:tab w:val="clear" w:pos="680"/>
      </w:tabs>
    </w:pPr>
  </w:style>
  <w:style w:type="paragraph" w:styleId="Header">
    <w:name w:val="header"/>
    <w:basedOn w:val="Normal"/>
    <w:link w:val="HeaderChar"/>
    <w:rsid w:val="00115C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5C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5C11"/>
    <w:pPr>
      <w:spacing w:before="240" w:after="120"/>
      <w:outlineLvl w:val="0"/>
    </w:pPr>
    <w:rPr>
      <w:rFonts w:ascii="Times New Roman" w:hAnsi="Times New Roman"/>
      <w:b/>
      <w:sz w:val="28"/>
    </w:rPr>
  </w:style>
  <w:style w:type="paragraph" w:customStyle="1" w:styleId="AllowPageBreak">
    <w:name w:val="AllowPageBreak"/>
    <w:rsid w:val="00115C1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5C11"/>
    <w:pPr>
      <w:tabs>
        <w:tab w:val="left" w:pos="680"/>
      </w:tabs>
      <w:spacing w:before="60" w:after="60"/>
      <w:ind w:left="680" w:hanging="340"/>
    </w:pPr>
  </w:style>
  <w:style w:type="paragraph" w:styleId="ListBullet3">
    <w:name w:val="List Bullet 3"/>
    <w:basedOn w:val="List3"/>
    <w:rsid w:val="00115C11"/>
    <w:pPr>
      <w:numPr>
        <w:numId w:val="3"/>
      </w:numPr>
      <w:tabs>
        <w:tab w:val="clear" w:pos="1021"/>
      </w:tabs>
      <w:ind w:left="1037" w:hanging="357"/>
    </w:pPr>
  </w:style>
  <w:style w:type="character" w:customStyle="1" w:styleId="BoldandItalics">
    <w:name w:val="Bold and Italics"/>
    <w:qFormat/>
    <w:rsid w:val="00115C11"/>
    <w:rPr>
      <w:b/>
      <w:i/>
      <w:u w:val="none"/>
    </w:rPr>
  </w:style>
  <w:style w:type="character" w:customStyle="1" w:styleId="Heading2Char">
    <w:name w:val="Heading 2 Char"/>
    <w:basedOn w:val="DefaultParagraphFont"/>
    <w:link w:val="Heading2"/>
    <w:rsid w:val="00115C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5C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5C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5C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5C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C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5C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5C11"/>
    <w:rPr>
      <w:rFonts w:ascii="Courier New" w:eastAsia="Times New Roman" w:hAnsi="Courier New" w:cs="Times New Roman"/>
      <w:i/>
      <w:szCs w:val="20"/>
      <w:lang w:val="en-US" w:eastAsia="en-US"/>
    </w:rPr>
  </w:style>
  <w:style w:type="paragraph" w:customStyle="1" w:styleId="HeadingBase">
    <w:name w:val="Heading Base"/>
    <w:rsid w:val="00115C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C11"/>
    <w:pPr>
      <w:tabs>
        <w:tab w:val="right" w:leader="dot" w:pos="9072"/>
      </w:tabs>
      <w:ind w:left="567"/>
    </w:pPr>
    <w:rPr>
      <w:szCs w:val="22"/>
    </w:rPr>
  </w:style>
  <w:style w:type="paragraph" w:customStyle="1" w:styleId="TOCBase">
    <w:name w:val="TOC Base"/>
    <w:rsid w:val="00115C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C11"/>
    <w:pPr>
      <w:tabs>
        <w:tab w:val="right" w:leader="dot" w:pos="9072"/>
      </w:tabs>
      <w:spacing w:before="40" w:after="40"/>
      <w:ind w:left="284"/>
    </w:pPr>
    <w:rPr>
      <w:rFonts w:ascii="Times New Roman" w:hAnsi="Times New Roman"/>
    </w:rPr>
  </w:style>
  <w:style w:type="paragraph" w:styleId="TOC1">
    <w:name w:val="toc 1"/>
    <w:basedOn w:val="TOCBase"/>
    <w:next w:val="Normal"/>
    <w:rsid w:val="00115C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5C11"/>
    <w:pPr>
      <w:spacing w:before="5040"/>
      <w:jc w:val="center"/>
    </w:pPr>
    <w:rPr>
      <w:sz w:val="48"/>
      <w:szCs w:val="72"/>
      <w:lang w:val="en-US"/>
    </w:rPr>
  </w:style>
  <w:style w:type="character" w:customStyle="1" w:styleId="TitleChar">
    <w:name w:val="Title Char"/>
    <w:basedOn w:val="DefaultParagraphFont"/>
    <w:link w:val="Title"/>
    <w:rsid w:val="00115C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C11"/>
    <w:pPr>
      <w:tabs>
        <w:tab w:val="left" w:pos="3600"/>
        <w:tab w:val="left" w:pos="3958"/>
      </w:tabs>
    </w:pPr>
  </w:style>
  <w:style w:type="paragraph" w:customStyle="1" w:styleId="Note">
    <w:name w:val="Note"/>
    <w:basedOn w:val="BodyText"/>
    <w:rsid w:val="00115C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5C11"/>
    <w:pPr>
      <w:framePr w:wrap="auto" w:hAnchor="text" w:y="6049"/>
    </w:pPr>
    <w:rPr>
      <w:color w:val="000000"/>
      <w:sz w:val="40"/>
    </w:rPr>
  </w:style>
  <w:style w:type="paragraph" w:customStyle="1" w:styleId="TOCTitle">
    <w:name w:val="TOCTitle"/>
    <w:basedOn w:val="Heading1"/>
    <w:rsid w:val="00115C11"/>
    <w:pPr>
      <w:spacing w:after="240"/>
      <w:jc w:val="center"/>
      <w:outlineLvl w:val="9"/>
    </w:pPr>
    <w:rPr>
      <w:caps/>
    </w:rPr>
  </w:style>
  <w:style w:type="paragraph" w:customStyle="1" w:styleId="Version">
    <w:name w:val="Version"/>
    <w:rsid w:val="00115C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5C11"/>
    <w:pPr>
      <w:keepNext w:val="0"/>
      <w:tabs>
        <w:tab w:val="right" w:pos="4176"/>
      </w:tabs>
      <w:ind w:left="198" w:hanging="198"/>
    </w:pPr>
    <w:rPr>
      <w:rFonts w:ascii="Garamond" w:hAnsi="Garamond"/>
    </w:rPr>
  </w:style>
  <w:style w:type="paragraph" w:styleId="IndexHeading">
    <w:name w:val="index heading"/>
    <w:basedOn w:val="Normal"/>
    <w:next w:val="Index1"/>
    <w:semiHidden/>
    <w:rsid w:val="00115C11"/>
    <w:pPr>
      <w:spacing w:before="120" w:after="120"/>
    </w:pPr>
    <w:rPr>
      <w:rFonts w:ascii="Arial" w:hAnsi="Arial"/>
      <w:b/>
      <w:color w:val="918585"/>
      <w:sz w:val="24"/>
    </w:rPr>
  </w:style>
  <w:style w:type="paragraph" w:customStyle="1" w:styleId="Chapter">
    <w:name w:val="Chapter"/>
    <w:basedOn w:val="Normal"/>
    <w:rsid w:val="00115C11"/>
    <w:pPr>
      <w:spacing w:before="240"/>
    </w:pPr>
    <w:rPr>
      <w:rFonts w:ascii="Times New Roman" w:hAnsi="Times New Roman"/>
      <w:smallCaps/>
      <w:spacing w:val="80"/>
      <w:sz w:val="28"/>
    </w:rPr>
  </w:style>
  <w:style w:type="paragraph" w:customStyle="1" w:styleId="InChapter">
    <w:name w:val="InChapter"/>
    <w:basedOn w:val="Heading3"/>
    <w:rsid w:val="00115C11"/>
    <w:pPr>
      <w:spacing w:after="240"/>
      <w:outlineLvl w:val="9"/>
    </w:pPr>
    <w:rPr>
      <w:noProof/>
    </w:rPr>
  </w:style>
  <w:style w:type="paragraph" w:styleId="Index2">
    <w:name w:val="index 2"/>
    <w:basedOn w:val="Normal"/>
    <w:next w:val="Normal"/>
    <w:semiHidden/>
    <w:rsid w:val="00115C11"/>
    <w:pPr>
      <w:tabs>
        <w:tab w:val="right" w:pos="4176"/>
      </w:tabs>
      <w:ind w:left="568" w:hanging="284"/>
    </w:pPr>
    <w:rPr>
      <w:rFonts w:ascii="Garamond" w:hAnsi="Garamond"/>
    </w:rPr>
  </w:style>
  <w:style w:type="paragraph" w:customStyle="1" w:styleId="Byline">
    <w:name w:val="Byline"/>
    <w:rsid w:val="00115C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C11"/>
    <w:pPr>
      <w:tabs>
        <w:tab w:val="clear" w:pos="3600"/>
        <w:tab w:val="clear" w:pos="3958"/>
      </w:tabs>
      <w:jc w:val="right"/>
    </w:pPr>
  </w:style>
  <w:style w:type="character" w:styleId="Emphasis">
    <w:name w:val="Emphasis"/>
    <w:basedOn w:val="DefaultParagraphFont"/>
    <w:qFormat/>
    <w:rsid w:val="00115C11"/>
    <w:rPr>
      <w:i/>
    </w:rPr>
  </w:style>
  <w:style w:type="paragraph" w:styleId="Caption">
    <w:name w:val="caption"/>
    <w:basedOn w:val="BodyText"/>
    <w:next w:val="Normal"/>
    <w:qFormat/>
    <w:rsid w:val="00115C11"/>
    <w:pPr>
      <w:framePr w:w="2268" w:hSpace="181" w:vSpace="181" w:wrap="around" w:vAnchor="text" w:hAnchor="page" w:x="1135" w:y="285" w:anchorLock="1"/>
    </w:pPr>
    <w:rPr>
      <w:i/>
    </w:rPr>
  </w:style>
  <w:style w:type="paragraph" w:customStyle="1" w:styleId="MiniTOCTitle">
    <w:name w:val="MiniTOCTitle"/>
    <w:basedOn w:val="Heading4"/>
    <w:rsid w:val="00115C11"/>
    <w:pPr>
      <w:spacing w:before="240"/>
      <w:outlineLvl w:val="9"/>
    </w:pPr>
    <w:rPr>
      <w:noProof/>
      <w:sz w:val="24"/>
    </w:rPr>
  </w:style>
  <w:style w:type="paragraph" w:customStyle="1" w:styleId="MiniTOCItem">
    <w:name w:val="MiniTOCItem"/>
    <w:basedOn w:val="ListBullet"/>
    <w:rsid w:val="00115C11"/>
    <w:pPr>
      <w:numPr>
        <w:numId w:val="0"/>
      </w:numPr>
      <w:tabs>
        <w:tab w:val="right" w:leader="dot" w:pos="6521"/>
      </w:tabs>
      <w:spacing w:before="0" w:after="0"/>
    </w:pPr>
  </w:style>
  <w:style w:type="paragraph" w:customStyle="1" w:styleId="TOFTitle">
    <w:name w:val="TOFTitle"/>
    <w:basedOn w:val="TOCTitle"/>
    <w:rsid w:val="00115C11"/>
  </w:style>
  <w:style w:type="paragraph" w:styleId="TableofFigures">
    <w:name w:val="table of figures"/>
    <w:basedOn w:val="Normal"/>
    <w:next w:val="Normal"/>
    <w:semiHidden/>
    <w:rsid w:val="00115C11"/>
    <w:pPr>
      <w:tabs>
        <w:tab w:val="right" w:leader="dot" w:pos="9072"/>
      </w:tabs>
      <w:ind w:left="970" w:hanging="403"/>
    </w:pPr>
    <w:rPr>
      <w:rFonts w:ascii="Times New Roman" w:hAnsi="Times New Roman"/>
      <w:b/>
    </w:rPr>
  </w:style>
  <w:style w:type="paragraph" w:styleId="ListNumber">
    <w:name w:val="List Number"/>
    <w:basedOn w:val="List"/>
    <w:rsid w:val="00115C11"/>
    <w:pPr>
      <w:numPr>
        <w:numId w:val="12"/>
      </w:numPr>
    </w:pPr>
  </w:style>
  <w:style w:type="character" w:customStyle="1" w:styleId="WingdingSymbols">
    <w:name w:val="Wingding Symbols"/>
    <w:rsid w:val="00115C11"/>
    <w:rPr>
      <w:rFonts w:ascii="Wingdings" w:hAnsi="Wingdings"/>
    </w:rPr>
  </w:style>
  <w:style w:type="paragraph" w:customStyle="1" w:styleId="TableHeading">
    <w:name w:val="Table Heading"/>
    <w:basedOn w:val="HeadingBase"/>
    <w:rsid w:val="00115C11"/>
    <w:pPr>
      <w:keepLines/>
      <w:pBdr>
        <w:bottom w:val="single" w:sz="6" w:space="1" w:color="918585"/>
      </w:pBdr>
      <w:spacing w:before="240"/>
    </w:pPr>
  </w:style>
  <w:style w:type="character" w:customStyle="1" w:styleId="HotSpot">
    <w:name w:val="HotSpot"/>
    <w:rsid w:val="00115C11"/>
    <w:rPr>
      <w:color w:val="0033CC"/>
      <w:u w:val="none"/>
    </w:rPr>
  </w:style>
  <w:style w:type="paragraph" w:customStyle="1" w:styleId="BodyTextRight">
    <w:name w:val="Body Text Right"/>
    <w:basedOn w:val="BodyText"/>
    <w:rsid w:val="00115C11"/>
    <w:pPr>
      <w:spacing w:before="0" w:after="0"/>
      <w:jc w:val="right"/>
    </w:pPr>
  </w:style>
  <w:style w:type="paragraph" w:styleId="Index3">
    <w:name w:val="index 3"/>
    <w:basedOn w:val="ListNumber2"/>
    <w:next w:val="Normal"/>
    <w:semiHidden/>
    <w:rsid w:val="00115C11"/>
    <w:pPr>
      <w:numPr>
        <w:numId w:val="0"/>
      </w:numPr>
      <w:tabs>
        <w:tab w:val="right" w:leader="dot" w:pos="4176"/>
      </w:tabs>
    </w:pPr>
  </w:style>
  <w:style w:type="paragraph" w:styleId="ListNumber2">
    <w:name w:val="List Number 2"/>
    <w:basedOn w:val="List2"/>
    <w:rsid w:val="00115C11"/>
    <w:pPr>
      <w:numPr>
        <w:numId w:val="11"/>
      </w:numPr>
      <w:tabs>
        <w:tab w:val="clear" w:pos="1060"/>
      </w:tabs>
    </w:pPr>
  </w:style>
  <w:style w:type="paragraph" w:customStyle="1" w:styleId="MarginNote">
    <w:name w:val="Margin Note"/>
    <w:basedOn w:val="BodyText"/>
    <w:rsid w:val="00115C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C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5C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5C11"/>
    <w:rPr>
      <w:sz w:val="32"/>
    </w:rPr>
  </w:style>
  <w:style w:type="paragraph" w:customStyle="1" w:styleId="HeadingProcedure">
    <w:name w:val="Heading Procedure"/>
    <w:basedOn w:val="HeadingBase"/>
    <w:next w:val="Normal"/>
    <w:rsid w:val="00115C11"/>
    <w:pPr>
      <w:tabs>
        <w:tab w:val="left" w:pos="0"/>
      </w:tabs>
      <w:spacing w:before="120" w:after="60"/>
    </w:pPr>
    <w:rPr>
      <w:i/>
      <w:color w:val="918585"/>
      <w:sz w:val="22"/>
    </w:rPr>
  </w:style>
  <w:style w:type="paragraph" w:customStyle="1" w:styleId="TableBodyText">
    <w:name w:val="Table Body Text"/>
    <w:basedOn w:val="BodyText"/>
    <w:rsid w:val="00115C11"/>
    <w:pPr>
      <w:spacing w:before="60" w:after="60"/>
    </w:pPr>
  </w:style>
  <w:style w:type="paragraph" w:styleId="ListContinue">
    <w:name w:val="List Continue"/>
    <w:basedOn w:val="List"/>
    <w:rsid w:val="00115C11"/>
    <w:pPr>
      <w:ind w:firstLine="0"/>
    </w:pPr>
  </w:style>
  <w:style w:type="paragraph" w:customStyle="1" w:styleId="ListNote">
    <w:name w:val="List Note"/>
    <w:basedOn w:val="List"/>
    <w:rsid w:val="00115C11"/>
    <w:pPr>
      <w:pBdr>
        <w:top w:val="single" w:sz="6" w:space="2" w:color="918585"/>
        <w:bottom w:val="single" w:sz="6" w:space="2" w:color="918585"/>
      </w:pBdr>
      <w:tabs>
        <w:tab w:val="left" w:pos="1021"/>
      </w:tabs>
      <w:ind w:firstLine="0"/>
    </w:pPr>
  </w:style>
  <w:style w:type="paragraph" w:customStyle="1" w:styleId="Warning">
    <w:name w:val="Warning"/>
    <w:basedOn w:val="BodyText"/>
    <w:rsid w:val="00115C11"/>
    <w:pPr>
      <w:shd w:val="clear" w:color="auto" w:fill="D9D9D9"/>
      <w:tabs>
        <w:tab w:val="left" w:pos="992"/>
      </w:tabs>
      <w:ind w:left="119" w:right="119"/>
    </w:pPr>
    <w:rPr>
      <w:sz w:val="20"/>
    </w:rPr>
  </w:style>
  <w:style w:type="paragraph" w:customStyle="1" w:styleId="MarginIcons">
    <w:name w:val="Margin Icons"/>
    <w:basedOn w:val="BodyText"/>
    <w:rsid w:val="00115C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5C11"/>
    <w:rPr>
      <w:rFonts w:ascii="Courier New" w:hAnsi="Courier New"/>
    </w:rPr>
  </w:style>
  <w:style w:type="paragraph" w:customStyle="1" w:styleId="NoteBullet">
    <w:name w:val="Note Bullet"/>
    <w:basedOn w:val="Note"/>
    <w:rsid w:val="00115C11"/>
    <w:pPr>
      <w:tabs>
        <w:tab w:val="clear" w:pos="680"/>
      </w:tabs>
      <w:spacing w:before="60" w:after="60"/>
    </w:pPr>
  </w:style>
  <w:style w:type="paragraph" w:customStyle="1" w:styleId="SubHeading2">
    <w:name w:val="SubHeading2"/>
    <w:basedOn w:val="HeadingBase"/>
    <w:rsid w:val="00115C11"/>
    <w:pPr>
      <w:spacing w:before="240" w:after="60"/>
    </w:pPr>
    <w:rPr>
      <w:sz w:val="20"/>
    </w:rPr>
  </w:style>
  <w:style w:type="paragraph" w:customStyle="1" w:styleId="SubHeading1">
    <w:name w:val="SubHeading1"/>
    <w:basedOn w:val="HeadingBase"/>
    <w:rsid w:val="00115C11"/>
    <w:pPr>
      <w:spacing w:before="240" w:after="60"/>
    </w:pPr>
    <w:rPr>
      <w:color w:val="918585"/>
      <w:sz w:val="22"/>
    </w:rPr>
  </w:style>
  <w:style w:type="paragraph" w:customStyle="1" w:styleId="SideHeading">
    <w:name w:val="Side Heading"/>
    <w:basedOn w:val="HeadingBase"/>
    <w:rsid w:val="00115C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C11"/>
    <w:pPr>
      <w:numPr>
        <w:numId w:val="13"/>
      </w:numPr>
    </w:pPr>
  </w:style>
  <w:style w:type="paragraph" w:styleId="PlainText">
    <w:name w:val="Plain Text"/>
    <w:basedOn w:val="Normal"/>
    <w:link w:val="PlainTextChar"/>
    <w:rsid w:val="00115C11"/>
    <w:rPr>
      <w:sz w:val="20"/>
    </w:rPr>
  </w:style>
  <w:style w:type="character" w:customStyle="1" w:styleId="PlainTextChar">
    <w:name w:val="Plain Text Char"/>
    <w:basedOn w:val="DefaultParagraphFont"/>
    <w:link w:val="PlainText"/>
    <w:rsid w:val="00115C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5C11"/>
    <w:rPr>
      <w:b/>
      <w:smallCaps/>
    </w:rPr>
  </w:style>
  <w:style w:type="paragraph" w:customStyle="1" w:styleId="TableListNumber">
    <w:name w:val="Table List Number"/>
    <w:basedOn w:val="ListNumber"/>
    <w:rsid w:val="00115C11"/>
    <w:pPr>
      <w:numPr>
        <w:numId w:val="0"/>
      </w:numPr>
    </w:pPr>
  </w:style>
  <w:style w:type="paragraph" w:styleId="TOC4">
    <w:name w:val="toc 4"/>
    <w:basedOn w:val="TOCBase"/>
    <w:next w:val="Normal"/>
    <w:semiHidden/>
    <w:rsid w:val="00115C11"/>
    <w:pPr>
      <w:tabs>
        <w:tab w:val="right" w:leader="dot" w:pos="9071"/>
      </w:tabs>
      <w:ind w:left="1701"/>
    </w:pPr>
  </w:style>
  <w:style w:type="paragraph" w:customStyle="1" w:styleId="ListAlpha">
    <w:name w:val="List Alpha"/>
    <w:basedOn w:val="List"/>
    <w:rsid w:val="00115C11"/>
    <w:pPr>
      <w:numPr>
        <w:numId w:val="10"/>
      </w:numPr>
    </w:pPr>
  </w:style>
  <w:style w:type="paragraph" w:customStyle="1" w:styleId="ListAlpha2">
    <w:name w:val="List Alpha 2"/>
    <w:basedOn w:val="List2"/>
    <w:rsid w:val="00115C11"/>
    <w:pPr>
      <w:numPr>
        <w:numId w:val="9"/>
      </w:numPr>
    </w:pPr>
  </w:style>
  <w:style w:type="paragraph" w:styleId="List3">
    <w:name w:val="List 3"/>
    <w:basedOn w:val="BodyText"/>
    <w:rsid w:val="00115C11"/>
    <w:pPr>
      <w:tabs>
        <w:tab w:val="left" w:pos="1021"/>
      </w:tabs>
      <w:spacing w:before="60" w:after="60"/>
      <w:ind w:left="1020" w:hanging="340"/>
    </w:pPr>
  </w:style>
  <w:style w:type="paragraph" w:styleId="List4">
    <w:name w:val="List 4"/>
    <w:basedOn w:val="BodyText"/>
    <w:rsid w:val="00115C11"/>
    <w:pPr>
      <w:tabs>
        <w:tab w:val="left" w:pos="1361"/>
      </w:tabs>
      <w:spacing w:before="60" w:after="60"/>
      <w:ind w:left="1361" w:hanging="340"/>
    </w:pPr>
  </w:style>
  <w:style w:type="paragraph" w:styleId="List5">
    <w:name w:val="List 5"/>
    <w:basedOn w:val="BodyText"/>
    <w:rsid w:val="00115C11"/>
    <w:pPr>
      <w:tabs>
        <w:tab w:val="left" w:pos="1701"/>
      </w:tabs>
      <w:spacing w:before="60" w:after="60"/>
      <w:ind w:left="1701" w:hanging="340"/>
    </w:pPr>
  </w:style>
  <w:style w:type="paragraph" w:styleId="ListBullet4">
    <w:name w:val="List Bullet 4"/>
    <w:basedOn w:val="List4"/>
    <w:rsid w:val="00115C11"/>
    <w:pPr>
      <w:numPr>
        <w:numId w:val="4"/>
      </w:numPr>
    </w:pPr>
  </w:style>
  <w:style w:type="paragraph" w:styleId="ListBullet5">
    <w:name w:val="List Bullet 5"/>
    <w:basedOn w:val="List5"/>
    <w:rsid w:val="00115C11"/>
    <w:pPr>
      <w:numPr>
        <w:numId w:val="5"/>
      </w:numPr>
    </w:pPr>
  </w:style>
  <w:style w:type="paragraph" w:styleId="ListContinue2">
    <w:name w:val="List Continue 2"/>
    <w:basedOn w:val="List2"/>
    <w:rsid w:val="00115C11"/>
    <w:pPr>
      <w:ind w:firstLine="0"/>
    </w:pPr>
  </w:style>
  <w:style w:type="paragraph" w:styleId="ListContinue3">
    <w:name w:val="List Continue 3"/>
    <w:basedOn w:val="List3"/>
    <w:rsid w:val="00115C11"/>
    <w:pPr>
      <w:ind w:left="1021" w:firstLine="0"/>
    </w:pPr>
  </w:style>
  <w:style w:type="paragraph" w:styleId="ListContinue4">
    <w:name w:val="List Continue 4"/>
    <w:basedOn w:val="List4"/>
    <w:rsid w:val="00115C11"/>
    <w:pPr>
      <w:ind w:firstLine="0"/>
    </w:pPr>
  </w:style>
  <w:style w:type="paragraph" w:styleId="ListContinue5">
    <w:name w:val="List Continue 5"/>
    <w:basedOn w:val="List5"/>
    <w:rsid w:val="00115C11"/>
    <w:pPr>
      <w:ind w:firstLine="0"/>
    </w:pPr>
  </w:style>
  <w:style w:type="paragraph" w:styleId="ListNumber3">
    <w:name w:val="List Number 3"/>
    <w:basedOn w:val="List3"/>
    <w:rsid w:val="00115C11"/>
    <w:pPr>
      <w:numPr>
        <w:numId w:val="6"/>
      </w:numPr>
    </w:pPr>
  </w:style>
  <w:style w:type="paragraph" w:styleId="ListNumber4">
    <w:name w:val="List Number 4"/>
    <w:basedOn w:val="List4"/>
    <w:rsid w:val="00115C11"/>
    <w:pPr>
      <w:numPr>
        <w:numId w:val="7"/>
      </w:numPr>
    </w:pPr>
  </w:style>
  <w:style w:type="paragraph" w:styleId="ListNumber5">
    <w:name w:val="List Number 5"/>
    <w:basedOn w:val="List5"/>
    <w:rsid w:val="00115C11"/>
    <w:pPr>
      <w:numPr>
        <w:numId w:val="8"/>
      </w:numPr>
    </w:pPr>
  </w:style>
  <w:style w:type="paragraph" w:styleId="BlockText">
    <w:name w:val="Block Text"/>
    <w:basedOn w:val="Normal"/>
    <w:rsid w:val="00115C11"/>
    <w:pPr>
      <w:spacing w:after="120"/>
      <w:ind w:left="1440" w:right="1440"/>
    </w:pPr>
  </w:style>
  <w:style w:type="character" w:customStyle="1" w:styleId="Subscript">
    <w:name w:val="Subscript"/>
    <w:basedOn w:val="DefaultParagraphFont"/>
    <w:rsid w:val="00115C11"/>
    <w:rPr>
      <w:sz w:val="16"/>
      <w:vertAlign w:val="subscript"/>
    </w:rPr>
  </w:style>
  <w:style w:type="character" w:customStyle="1" w:styleId="Superscript">
    <w:name w:val="Superscript"/>
    <w:basedOn w:val="DefaultParagraphFont"/>
    <w:rsid w:val="00115C11"/>
    <w:rPr>
      <w:sz w:val="16"/>
      <w:vertAlign w:val="superscript"/>
    </w:rPr>
  </w:style>
  <w:style w:type="character" w:customStyle="1" w:styleId="Symbols">
    <w:name w:val="Symbols"/>
    <w:basedOn w:val="DefaultParagraphFont"/>
    <w:rsid w:val="00115C11"/>
    <w:rPr>
      <w:rFonts w:ascii="Symbol" w:hAnsi="Symbol"/>
    </w:rPr>
  </w:style>
  <w:style w:type="character" w:customStyle="1" w:styleId="MenuOptions">
    <w:name w:val="Menu Options"/>
    <w:basedOn w:val="DefaultParagraphFont"/>
    <w:rsid w:val="00115C11"/>
    <w:rPr>
      <w:rFonts w:ascii="Arial Narrow" w:hAnsi="Arial Narrow"/>
      <w:smallCaps/>
    </w:rPr>
  </w:style>
  <w:style w:type="character" w:customStyle="1" w:styleId="Buttons">
    <w:name w:val="Buttons"/>
    <w:basedOn w:val="DefaultParagraphFont"/>
    <w:rsid w:val="00115C11"/>
    <w:rPr>
      <w:b/>
    </w:rPr>
  </w:style>
  <w:style w:type="character" w:customStyle="1" w:styleId="Underlined">
    <w:name w:val="Underlined"/>
    <w:basedOn w:val="DefaultParagraphFont"/>
    <w:rsid w:val="00115C11"/>
    <w:rPr>
      <w:u w:val="single"/>
    </w:rPr>
  </w:style>
  <w:style w:type="paragraph" w:customStyle="1" w:styleId="TableBodyTextRight">
    <w:name w:val="Table Body Text Right"/>
    <w:basedOn w:val="TableBodyText"/>
    <w:rsid w:val="00115C11"/>
    <w:pPr>
      <w:widowControl w:val="0"/>
      <w:autoSpaceDE w:val="0"/>
      <w:autoSpaceDN w:val="0"/>
      <w:adjustRightInd w:val="0"/>
      <w:jc w:val="right"/>
    </w:pPr>
    <w:rPr>
      <w:rFonts w:cs="Arial"/>
      <w:szCs w:val="18"/>
    </w:rPr>
  </w:style>
  <w:style w:type="paragraph" w:customStyle="1" w:styleId="CopyrightText">
    <w:name w:val="Copyright Text"/>
    <w:basedOn w:val="BodyText"/>
    <w:rsid w:val="00115C11"/>
    <w:rPr>
      <w:sz w:val="18"/>
    </w:rPr>
  </w:style>
  <w:style w:type="paragraph" w:customStyle="1" w:styleId="BodySmallRight">
    <w:name w:val="Body Small Right"/>
    <w:basedOn w:val="BodyTextRight"/>
    <w:rsid w:val="00115C11"/>
    <w:rPr>
      <w:sz w:val="18"/>
      <w:szCs w:val="18"/>
    </w:rPr>
  </w:style>
  <w:style w:type="paragraph" w:customStyle="1" w:styleId="MarginEdition">
    <w:name w:val="Margin Edition"/>
    <w:basedOn w:val="MarginNote"/>
    <w:rsid w:val="00115C11"/>
    <w:pPr>
      <w:spacing w:before="0" w:after="0"/>
    </w:pPr>
    <w:rPr>
      <w:rFonts w:ascii="Times New Roman" w:hAnsi="Times New Roman"/>
      <w:color w:val="999999"/>
    </w:rPr>
  </w:style>
  <w:style w:type="paragraph" w:customStyle="1" w:styleId="Spacer">
    <w:name w:val="Spacer"/>
    <w:basedOn w:val="Normal"/>
    <w:rsid w:val="00115C11"/>
    <w:rPr>
      <w:sz w:val="2"/>
      <w:szCs w:val="2"/>
    </w:rPr>
  </w:style>
  <w:style w:type="character" w:customStyle="1" w:styleId="Small">
    <w:name w:val="Small"/>
    <w:basedOn w:val="DefaultParagraphFont"/>
    <w:rsid w:val="00115C11"/>
    <w:rPr>
      <w:sz w:val="16"/>
    </w:rPr>
  </w:style>
  <w:style w:type="paragraph" w:customStyle="1" w:styleId="WideTable">
    <w:name w:val="Wide Table"/>
    <w:basedOn w:val="Normal"/>
    <w:rsid w:val="00115C11"/>
    <w:pPr>
      <w:ind w:left="-1418"/>
    </w:pPr>
    <w:rPr>
      <w:sz w:val="2"/>
      <w:szCs w:val="2"/>
    </w:rPr>
  </w:style>
  <w:style w:type="character" w:styleId="PageNumber">
    <w:name w:val="page number"/>
    <w:basedOn w:val="DefaultParagraphFont"/>
    <w:rsid w:val="00115C11"/>
  </w:style>
  <w:style w:type="paragraph" w:styleId="Quote">
    <w:name w:val="Quote"/>
    <w:basedOn w:val="Heading1"/>
    <w:link w:val="QuoteChar"/>
    <w:qFormat/>
    <w:rsid w:val="00115C11"/>
    <w:rPr>
      <w:b w:val="0"/>
      <w:sz w:val="72"/>
      <w:szCs w:val="72"/>
      <w:lang w:val="en-NZ"/>
    </w:rPr>
  </w:style>
  <w:style w:type="character" w:customStyle="1" w:styleId="QuoteChar">
    <w:name w:val="Quote Char"/>
    <w:basedOn w:val="DefaultParagraphFont"/>
    <w:link w:val="Quote"/>
    <w:rsid w:val="00115C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C11"/>
    <w:pPr>
      <w:pageBreakBefore/>
    </w:pPr>
  </w:style>
  <w:style w:type="paragraph" w:customStyle="1" w:styleId="Border">
    <w:name w:val="Border"/>
    <w:basedOn w:val="Normal"/>
    <w:qFormat/>
    <w:rsid w:val="00115C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5C11"/>
    <w:rPr>
      <w:b/>
      <w:bCs/>
      <w:i/>
      <w:iCs/>
      <w:color w:val="auto"/>
    </w:rPr>
  </w:style>
  <w:style w:type="paragraph" w:styleId="IntenseQuote">
    <w:name w:val="Intense Quote"/>
    <w:basedOn w:val="Normal"/>
    <w:next w:val="Normal"/>
    <w:link w:val="IntenseQuoteChar"/>
    <w:uiPriority w:val="30"/>
    <w:qFormat/>
    <w:rsid w:val="00115C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5C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5C11"/>
    <w:rPr>
      <w:smallCaps/>
      <w:color w:val="auto"/>
      <w:u w:val="single"/>
    </w:rPr>
  </w:style>
  <w:style w:type="character" w:styleId="IntenseReference">
    <w:name w:val="Intense Reference"/>
    <w:basedOn w:val="DefaultParagraphFont"/>
    <w:uiPriority w:val="32"/>
    <w:qFormat/>
    <w:rsid w:val="00115C11"/>
    <w:rPr>
      <w:b/>
      <w:bCs/>
      <w:smallCaps/>
      <w:color w:val="auto"/>
      <w:spacing w:val="5"/>
      <w:u w:val="single"/>
    </w:rPr>
  </w:style>
  <w:style w:type="paragraph" w:customStyle="1" w:styleId="2ColumnHeading">
    <w:name w:val="2Column Heading"/>
    <w:basedOn w:val="BodyText"/>
    <w:qFormat/>
    <w:rsid w:val="00115C11"/>
    <w:pPr>
      <w:spacing w:after="60"/>
      <w:ind w:left="-2268"/>
    </w:pPr>
    <w:rPr>
      <w:b/>
    </w:rPr>
  </w:style>
  <w:style w:type="paragraph" w:customStyle="1" w:styleId="Heading1TOC">
    <w:name w:val="Heading1 TOC"/>
    <w:basedOn w:val="Normal"/>
    <w:qFormat/>
    <w:rsid w:val="00115C11"/>
    <w:pPr>
      <w:spacing w:before="240" w:after="120"/>
    </w:pPr>
    <w:rPr>
      <w:rFonts w:ascii="Times New Roman" w:hAnsi="Times New Roman"/>
      <w:b/>
      <w:sz w:val="32"/>
    </w:rPr>
  </w:style>
  <w:style w:type="paragraph" w:customStyle="1" w:styleId="Heading2TOC">
    <w:name w:val="Heading2 TOC"/>
    <w:basedOn w:val="Normal"/>
    <w:qFormat/>
    <w:rsid w:val="00115C11"/>
    <w:pPr>
      <w:spacing w:before="240" w:after="60"/>
    </w:pPr>
    <w:rPr>
      <w:rFonts w:ascii="Times New Roman" w:hAnsi="Times New Roman"/>
      <w:b/>
      <w:sz w:val="28"/>
    </w:rPr>
  </w:style>
  <w:style w:type="character" w:customStyle="1" w:styleId="Underline">
    <w:name w:val="Underline"/>
    <w:basedOn w:val="DefaultParagraphFont"/>
    <w:qFormat/>
    <w:rsid w:val="00115C11"/>
    <w:rPr>
      <w:u w:val="single"/>
    </w:rPr>
  </w:style>
  <w:style w:type="paragraph" w:styleId="BalloonText">
    <w:name w:val="Balloon Text"/>
    <w:basedOn w:val="Normal"/>
    <w:link w:val="BalloonTextChar"/>
    <w:rsid w:val="00115C11"/>
    <w:rPr>
      <w:rFonts w:ascii="Tahoma" w:hAnsi="Tahoma" w:cs="Tahoma"/>
      <w:sz w:val="16"/>
      <w:szCs w:val="16"/>
    </w:rPr>
  </w:style>
  <w:style w:type="character" w:customStyle="1" w:styleId="BalloonTextChar">
    <w:name w:val="Balloon Text Char"/>
    <w:basedOn w:val="DefaultParagraphFont"/>
    <w:link w:val="BalloonText"/>
    <w:rsid w:val="00115C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5C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5C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1935</Words>
  <Characters>12388</Characters>
  <Application>Microsoft Office Word</Application>
  <DocSecurity>0</DocSecurity>
  <Lines>442</Lines>
  <Paragraphs>264</Paragraphs>
  <ScaleCrop>false</ScaleCrop>
  <Company>Author-it Software Corporation Ltd.</Company>
  <LinksUpToDate>false</LinksUpToDate>
  <CharactersWithSpaces>14232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FPICOT3226B Shift forestry logs using trucks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2012-05-26T07:06:00Z</dcterms:created>
  <dcterms:modified xsi:type="dcterms:W3CDTF">2012-05-26T07:06:00Z</dcterms:modified>
</cp:coreProperties>
</file>