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5511" w:rsidP="00875511">
      <w:pPr>
        <w:pStyle w:val="Title"/>
      </w:pPr>
      <w:r>
        <w:fldChar w:fldCharType="begin"/>
      </w:r>
      <w:r>
        <w:instrText xml:space="preserve"> TITLE   \* MERGEFORMAT </w:instrText>
      </w:r>
      <w:r>
        <w:fldChar w:fldCharType="separate"/>
      </w:r>
      <w:r>
        <w:t>FPICOT2238A Cut materials with a hand-held chainsaw</w:t>
      </w:r>
      <w:r>
        <w:fldChar w:fldCharType="end"/>
      </w:r>
    </w:p>
    <w:p w:rsidR="00875511" w:rsidP="00875511">
      <w:pPr>
        <w:pStyle w:val="Version"/>
        <w:sectPr w:rsidSect="007B0E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B0EA6" w:rsidP="007B0EA6">
      <w:pPr>
        <w:pStyle w:val="SuperHeading"/>
      </w:pPr>
      <w:r w:rsidRPr="007B0EA6">
        <w:t>FPICOT2238A Cut materials with a hand-held chainsaw</w:t>
      </w:r>
    </w:p>
    <w:p w:rsidR="00000000" w:rsidRPr="007B0EA6" w:rsidP="007B0EA6">
      <w:pPr>
        <w:pStyle w:val="Heading1"/>
      </w:pPr>
      <w:bookmarkStart w:id="1" w:name="O_620836"/>
      <w:bookmarkEnd w:id="1"/>
      <w:r w:rsidRPr="007B0EA6">
        <w:t>Modification History</w:t>
      </w:r>
    </w:p>
    <w:p w:rsidR="00000000" w:rsidRPr="007B0EA6" w:rsidP="007B0EA6">
      <w:pPr>
        <w:pStyle w:val="Heading4"/>
      </w:pPr>
      <w:r w:rsidRPr="007B0EA6">
        <w:t>Release 2</w:t>
      </w:r>
    </w:p>
    <w:p w:rsidR="00000000" w:rsidRPr="007B0EA6" w:rsidP="007B0EA6">
      <w:pPr>
        <w:pStyle w:val="BodyText"/>
      </w:pPr>
      <w:r w:rsidRPr="007B0EA6">
        <w:t>Release 2 created to reflect that FPICOT2238A supersedes both FPICOT2206A and FPICOT2206B.  Equivalent</w:t>
      </w:r>
    </w:p>
    <w:p w:rsidR="00000000" w:rsidRPr="007B0EA6" w:rsidP="007B0EA6">
      <w:pPr>
        <w:pStyle w:val="AllowPageBreak"/>
      </w:pPr>
    </w:p>
    <w:p w:rsidR="00000000" w:rsidRPr="007B0EA6" w:rsidP="007B0EA6">
      <w:pPr>
        <w:pStyle w:val="Heading1"/>
      </w:pPr>
      <w:bookmarkStart w:id="2" w:name="O_620835"/>
      <w:bookmarkEnd w:id="2"/>
      <w:r w:rsidRPr="007B0EA6">
        <w:t>Unit Descriptor</w:t>
      </w:r>
    </w:p>
    <w:tbl>
      <w:tblPr>
        <w:tblW w:w="0" w:type="auto"/>
        <w:tblLayout w:type="fixed"/>
        <w:tblCellMar>
          <w:left w:w="62" w:type="dxa"/>
          <w:right w:w="62" w:type="dxa"/>
        </w:tblCellMar>
        <w:tblLook w:val="0000"/>
      </w:tblPr>
      <w:tblGrid>
        <w:gridCol w:w="2664"/>
        <w:gridCol w:w="5858"/>
      </w:tblGrid>
      <w:tr w:rsidTr="00875511">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7B0EA6" w:rsidP="007B0EA6">
            <w:pPr>
              <w:pStyle w:val="BodyText"/>
            </w:pPr>
            <w:r w:rsidRPr="007B0EA6">
              <w:t>This unit describes the outcomes required to prepare and cut mate</w:t>
            </w:r>
            <w:r w:rsidRPr="007B0EA6">
              <w:t>rials with a hand-held chainsaw. This unit includes basic operator maintenance checks</w:t>
            </w:r>
          </w:p>
          <w:p w:rsidR="00000000" w:rsidRPr="007B0EA6" w:rsidP="007B0EA6">
            <w:pPr>
              <w:pStyle w:val="BodyText"/>
            </w:pPr>
            <w:r w:rsidRPr="007B0EA6">
              <w:t>More comprehensive servicing and maintenance procedures are covered in FPICOT2237A Maintain chainsaws</w:t>
            </w:r>
          </w:p>
          <w:p w:rsidR="00000000" w:rsidRPr="007B0EA6" w:rsidP="007B0EA6">
            <w:pPr>
              <w:pStyle w:val="BodyText"/>
            </w:pPr>
            <w:r w:rsidRPr="007B0EA6">
              <w:t xml:space="preserve">General legislative, regulatory and workplace requirements apply to </w:t>
            </w:r>
            <w:r w:rsidRPr="007B0EA6">
              <w:t>this unit; however there are no specific licensing or certification requirements at the time of publication</w:t>
            </w:r>
          </w:p>
          <w:p w:rsidR="00000000" w:rsidRPr="007B0EA6" w:rsidP="007B0EA6">
            <w:pPr>
              <w:pStyle w:val="BodyText"/>
            </w:pPr>
            <w:r w:rsidRPr="007B0EA6">
              <w:t>This unit replaces FPICOT2206B Cross cut materials with an hand-held chainsaw</w:t>
            </w:r>
          </w:p>
        </w:tc>
      </w:tr>
    </w:tbl>
    <w:p w:rsidR="00875511" w:rsidP="007B0EA6">
      <w:pPr>
        <w:pStyle w:val="BodyText"/>
      </w:pPr>
    </w:p>
    <w:p w:rsidR="00875511" w:rsidP="007B0EA6">
      <w:pPr>
        <w:pStyle w:val="BodyText"/>
      </w:pPr>
    </w:p>
    <w:p w:rsidR="00000000" w:rsidRPr="007B0EA6" w:rsidP="007B0EA6">
      <w:pPr>
        <w:pStyle w:val="Heading1"/>
      </w:pPr>
      <w:bookmarkStart w:id="3" w:name="O_620834"/>
      <w:bookmarkEnd w:id="3"/>
      <w:r w:rsidRPr="007B0EA6">
        <w:t>Application of the Unit</w:t>
      </w:r>
    </w:p>
    <w:tbl>
      <w:tblPr>
        <w:tblW w:w="0" w:type="auto"/>
        <w:tblLayout w:type="fixed"/>
        <w:tblCellMar>
          <w:left w:w="62" w:type="dxa"/>
          <w:right w:w="62" w:type="dxa"/>
        </w:tblCellMar>
        <w:tblLook w:val="0000"/>
      </w:tblPr>
      <w:tblGrid>
        <w:gridCol w:w="2751"/>
        <w:gridCol w:w="5771"/>
      </w:tblGrid>
      <w:tr w:rsidTr="00875511">
        <w:tblPrEx>
          <w:tblW w:w="0" w:type="auto"/>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7B0EA6" w:rsidP="007B0EA6">
            <w:pPr>
              <w:pStyle w:val="BodyText"/>
            </w:pPr>
            <w:r w:rsidRPr="007B0EA6">
              <w:t>Th</w:t>
            </w:r>
            <w:r w:rsidRPr="007B0EA6">
              <w:t>e unit involves cutting materials with a hand-held chainsaw in a variety of work settings including a construction, saw mill, forest products factory, timber retail yard or horticultural environment</w:t>
            </w:r>
          </w:p>
          <w:p w:rsidR="00000000" w:rsidRPr="007B0EA6" w:rsidP="007B0EA6">
            <w:pPr>
              <w:pStyle w:val="BodyText"/>
            </w:pPr>
            <w:r w:rsidRPr="007B0EA6">
              <w:t>The skills and knowledge required for competent performan</w:t>
            </w:r>
            <w:r w:rsidRPr="007B0EA6">
              <w:t>ce are to be used within the scope of the person's job and authority</w:t>
            </w:r>
          </w:p>
        </w:tc>
      </w:tr>
    </w:tbl>
    <w:p w:rsidR="00875511" w:rsidP="007B0EA6">
      <w:pPr>
        <w:pStyle w:val="BodyText"/>
      </w:pPr>
    </w:p>
    <w:p w:rsidR="00875511" w:rsidP="007B0EA6">
      <w:pPr>
        <w:pStyle w:val="BodyText"/>
      </w:pPr>
    </w:p>
    <w:p w:rsidR="00000000" w:rsidRPr="007B0EA6" w:rsidP="007B0EA6">
      <w:pPr>
        <w:pStyle w:val="Heading1"/>
      </w:pPr>
      <w:bookmarkStart w:id="4" w:name="O_620833"/>
      <w:bookmarkEnd w:id="4"/>
      <w:r w:rsidRPr="007B0EA6">
        <w:t>Licensing/Regulatory Information</w:t>
      </w:r>
    </w:p>
    <w:p w:rsidR="00000000" w:rsidRPr="007B0EA6" w:rsidP="007B0EA6">
      <w:pPr>
        <w:pStyle w:val="BodyText"/>
      </w:pPr>
      <w:r w:rsidRPr="007B0EA6">
        <w:t>Refer to Unit Descriptor</w:t>
      </w:r>
    </w:p>
    <w:p w:rsidR="00000000" w:rsidRPr="007B0EA6" w:rsidP="007B0EA6">
      <w:pPr>
        <w:pStyle w:val="AllowPageBreak"/>
      </w:pPr>
    </w:p>
    <w:p w:rsidR="00000000" w:rsidRPr="007B0EA6" w:rsidP="007B0EA6">
      <w:pPr>
        <w:pStyle w:val="Heading1"/>
      </w:pPr>
      <w:bookmarkStart w:id="5" w:name="O_620832"/>
      <w:bookmarkEnd w:id="5"/>
      <w:r w:rsidRPr="007B0EA6">
        <w:t>Pre-Requisites</w:t>
      </w:r>
    </w:p>
    <w:p w:rsidR="00000000" w:rsidRPr="007B0EA6" w:rsidP="007B0EA6">
      <w:pPr>
        <w:pStyle w:val="BodyText"/>
      </w:pPr>
      <w:r w:rsidRPr="007B0EA6">
        <w:t>Not Applicable</w:t>
      </w:r>
    </w:p>
    <w:p w:rsidR="00000000" w:rsidRPr="007B0EA6" w:rsidP="007B0EA6">
      <w:pPr>
        <w:pStyle w:val="AllowPageBreak"/>
      </w:pPr>
    </w:p>
    <w:p w:rsidR="00000000" w:rsidRPr="007B0EA6" w:rsidP="007B0EA6">
      <w:pPr>
        <w:pStyle w:val="Heading1"/>
      </w:pPr>
      <w:bookmarkStart w:id="6" w:name="O_620831"/>
      <w:bookmarkEnd w:id="6"/>
      <w:r w:rsidRPr="007B0EA6">
        <w:t>Employability Skills Information</w:t>
      </w:r>
    </w:p>
    <w:tbl>
      <w:tblPr>
        <w:tblW w:w="0" w:type="auto"/>
        <w:tblLayout w:type="fixed"/>
        <w:tblCellMar>
          <w:left w:w="62" w:type="dxa"/>
          <w:right w:w="62" w:type="dxa"/>
        </w:tblCellMar>
        <w:tblLook w:val="0000"/>
      </w:tblPr>
      <w:tblGrid>
        <w:gridCol w:w="2802"/>
        <w:gridCol w:w="5720"/>
      </w:tblGrid>
      <w:tr w:rsidTr="0087551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B0EA6" w:rsidP="007B0EA6">
            <w:pPr>
              <w:pStyle w:val="BodyText"/>
            </w:pPr>
            <w:r w:rsidRPr="007B0EA6">
              <w:t>This unit contains employability skills</w:t>
            </w:r>
          </w:p>
        </w:tc>
      </w:tr>
    </w:tbl>
    <w:p w:rsidR="00875511" w:rsidP="007B0EA6">
      <w:pPr>
        <w:pStyle w:val="BodyText"/>
      </w:pPr>
    </w:p>
    <w:p w:rsidR="00875511" w:rsidP="007B0EA6">
      <w:pPr>
        <w:pStyle w:val="BodyText"/>
      </w:pPr>
    </w:p>
    <w:p w:rsidR="00000000" w:rsidRPr="007B0EA6" w:rsidP="007B0EA6">
      <w:pPr>
        <w:pStyle w:val="Heading1"/>
      </w:pPr>
      <w:bookmarkStart w:id="7" w:name="O_620830"/>
      <w:bookmarkEnd w:id="7"/>
      <w:r w:rsidRPr="007B0EA6">
        <w:t>Elements and Performance Criteria Pre-Content</w:t>
      </w:r>
    </w:p>
    <w:tbl>
      <w:tblPr>
        <w:tblW w:w="0" w:type="auto"/>
        <w:tblLayout w:type="fixed"/>
        <w:tblCellMar>
          <w:left w:w="62" w:type="dxa"/>
          <w:right w:w="62" w:type="dxa"/>
        </w:tblCellMar>
        <w:tblLook w:val="0000"/>
      </w:tblPr>
      <w:tblGrid>
        <w:gridCol w:w="2561"/>
        <w:gridCol w:w="5961"/>
      </w:tblGrid>
      <w:tr w:rsidTr="0087551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7B0EA6" w:rsidP="007B0EA6">
            <w:pPr>
              <w:pStyle w:val="BodyText"/>
            </w:pPr>
            <w:r w:rsidRPr="007B0EA6">
              <w:t>Performance criteria describe the performance needed to demonstrate achievement of the element. Where bold italicised text is used, further information is detailed in the required skills and knowledge section and the range statement. Assessment of performa</w:t>
            </w:r>
            <w:r w:rsidRPr="007B0EA6">
              <w:t>nce is to be consistent with the evidence guide.</w:t>
            </w:r>
          </w:p>
        </w:tc>
      </w:tr>
    </w:tbl>
    <w:p w:rsidR="00000000" w:rsidRPr="007B0EA6" w:rsidP="007B0EA6">
      <w:pPr>
        <w:pStyle w:val="BodyText"/>
      </w:pPr>
    </w:p>
    <w:p w:rsidR="00000000" w:rsidRPr="007B0EA6" w:rsidP="007B0EA6">
      <w:pPr>
        <w:pStyle w:val="AllowPageBreak"/>
      </w:pPr>
    </w:p>
    <w:p w:rsidR="00000000" w:rsidRPr="007B0EA6" w:rsidP="007B0EA6">
      <w:pPr>
        <w:pStyle w:val="Heading1"/>
      </w:pPr>
      <w:bookmarkStart w:id="8" w:name="O_620829"/>
      <w:bookmarkEnd w:id="8"/>
      <w:r w:rsidRPr="007B0EA6">
        <w:t>Elements and Performance Criteria</w:t>
      </w:r>
    </w:p>
    <w:tbl>
      <w:tblPr>
        <w:tblW w:w="0" w:type="auto"/>
        <w:tblLayout w:type="fixed"/>
        <w:tblCellMar>
          <w:left w:w="62" w:type="dxa"/>
          <w:right w:w="62" w:type="dxa"/>
        </w:tblCellMar>
        <w:tblLook w:val="0000"/>
      </w:tblPr>
      <w:tblGrid>
        <w:gridCol w:w="2561"/>
        <w:gridCol w:w="5961"/>
      </w:tblGrid>
      <w:tr w:rsidTr="00875511">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7B0EA6" w:rsidP="007B0EA6">
            <w:pPr>
              <w:pStyle w:val="BodyText"/>
            </w:pPr>
            <w:r w:rsidRPr="007B0EA6">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rPr>
                <w:rStyle w:val="SpecialBold"/>
              </w:rPr>
              <w:t>PERFORMANCE CRITERIA</w:t>
            </w:r>
          </w:p>
        </w:tc>
      </w:tr>
      <w:tr w:rsidTr="0087551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B0EA6">
            <w:pPr>
              <w:pStyle w:val="List"/>
              <w:rPr>
                <w:lang w:val="en-NZ"/>
              </w:rPr>
            </w:pPr>
            <w:r w:rsidRPr="007B0EA6">
              <w:t>1.</w:t>
            </w:r>
            <w:r w:rsidRPr="007B0EA6">
              <w:tab/>
              <w:t>Prepare for operation</w:t>
            </w:r>
          </w:p>
        </w:tc>
        <w:tc>
          <w:tcPr>
            <w:tcW w:w="5961" w:type="dxa"/>
            <w:tcBorders>
              <w:top w:val="nil"/>
              <w:left w:val="nil"/>
              <w:bottom w:val="nil"/>
              <w:right w:val="nil"/>
            </w:tcBorders>
            <w:tcMar>
              <w:top w:w="0" w:type="dxa"/>
              <w:left w:w="62" w:type="dxa"/>
              <w:bottom w:w="0" w:type="dxa"/>
              <w:right w:w="62" w:type="dxa"/>
            </w:tcMar>
          </w:tcPr>
          <w:p w:rsidR="00000000" w:rsidP="007B0EA6">
            <w:pPr>
              <w:pStyle w:val="List2"/>
              <w:rPr>
                <w:lang w:val="en-NZ"/>
              </w:rPr>
            </w:pPr>
            <w:r w:rsidRPr="007B0EA6">
              <w:t>1.1.</w:t>
            </w:r>
            <w:r w:rsidRPr="007B0EA6">
              <w:tab/>
              <w:t xml:space="preserve">Applicable </w:t>
            </w:r>
            <w:r w:rsidRPr="007B0EA6">
              <w:rPr>
                <w:rStyle w:val="BoldandItalics"/>
              </w:rPr>
              <w:t>Occupational Health and Safety</w:t>
            </w:r>
            <w:r w:rsidRPr="007B0EA6">
              <w:t xml:space="preserve"> (</w:t>
            </w:r>
            <w:r w:rsidRPr="007B0EA6">
              <w:rPr>
                <w:rStyle w:val="BoldandItalics"/>
              </w:rPr>
              <w:t>OHS</w:t>
            </w:r>
            <w:r w:rsidRPr="007B0EA6">
              <w:t xml:space="preserve">), environmental, </w:t>
            </w:r>
            <w:r w:rsidRPr="007B0EA6">
              <w:rPr>
                <w:rStyle w:val="BoldandItalics"/>
              </w:rPr>
              <w:t>legislative</w:t>
            </w:r>
            <w:r w:rsidRPr="007B0EA6">
              <w:t xml:space="preserve">, </w:t>
            </w:r>
            <w:r w:rsidRPr="007B0EA6">
              <w:rPr>
                <w:rStyle w:val="BoldandItalics"/>
              </w:rPr>
              <w:t>organisational</w:t>
            </w:r>
            <w:r w:rsidRPr="007B0EA6">
              <w:t xml:space="preserve"> </w:t>
            </w:r>
            <w:r w:rsidRPr="007B0EA6">
              <w:rPr>
                <w:rStyle w:val="BoldandItalics"/>
              </w:rPr>
              <w:t>re</w:t>
            </w:r>
            <w:r w:rsidRPr="007B0EA6">
              <w:rPr>
                <w:rStyle w:val="BoldandItalics"/>
              </w:rPr>
              <w:t>quirements</w:t>
            </w:r>
            <w:r w:rsidRPr="007B0EA6">
              <w:t xml:space="preserve"> and manufacturer's specifications relevant to cutting </w:t>
            </w:r>
            <w:r w:rsidRPr="007B0EA6">
              <w:rPr>
                <w:rStyle w:val="BoldandItalics"/>
              </w:rPr>
              <w:t>materials</w:t>
            </w:r>
            <w:r w:rsidRPr="007B0EA6">
              <w:t xml:space="preserve"> with a hand-held chainsaw are identified and followed</w:t>
            </w:r>
          </w:p>
        </w:tc>
      </w:tr>
      <w:tr w:rsidTr="0087551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p>
        </w:tc>
        <w:tc>
          <w:tcPr>
            <w:tcW w:w="5961" w:type="dxa"/>
            <w:tcBorders>
              <w:top w:val="nil"/>
              <w:left w:val="nil"/>
              <w:bottom w:val="nil"/>
              <w:right w:val="nil"/>
            </w:tcBorders>
            <w:tcMar>
              <w:top w:w="0" w:type="dxa"/>
              <w:left w:w="62" w:type="dxa"/>
              <w:bottom w:w="0" w:type="dxa"/>
              <w:right w:w="62" w:type="dxa"/>
            </w:tcMar>
          </w:tcPr>
          <w:p w:rsidR="00000000" w:rsidP="007B0EA6">
            <w:pPr>
              <w:pStyle w:val="List2"/>
              <w:rPr>
                <w:lang w:val="en-NZ"/>
              </w:rPr>
            </w:pPr>
            <w:r w:rsidRPr="007B0EA6">
              <w:t>1.2.</w:t>
            </w:r>
            <w:r w:rsidRPr="007B0EA6">
              <w:tab/>
            </w:r>
            <w:r w:rsidRPr="007B0EA6">
              <w:rPr>
                <w:rStyle w:val="BoldandItalics"/>
              </w:rPr>
              <w:t>Job requirements</w:t>
            </w:r>
            <w:r w:rsidRPr="007B0EA6">
              <w:t xml:space="preserve"> are reviewed and clarified with </w:t>
            </w:r>
            <w:r w:rsidRPr="007B0EA6">
              <w:rPr>
                <w:rStyle w:val="BoldandItalics"/>
              </w:rPr>
              <w:t>appropriate personnel</w:t>
            </w:r>
          </w:p>
        </w:tc>
      </w:tr>
      <w:tr w:rsidTr="0087551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p>
        </w:tc>
        <w:tc>
          <w:tcPr>
            <w:tcW w:w="5961" w:type="dxa"/>
            <w:tcBorders>
              <w:top w:val="nil"/>
              <w:left w:val="nil"/>
              <w:bottom w:val="nil"/>
              <w:right w:val="nil"/>
            </w:tcBorders>
            <w:tcMar>
              <w:top w:w="0" w:type="dxa"/>
              <w:left w:w="62" w:type="dxa"/>
              <w:bottom w:w="0" w:type="dxa"/>
              <w:right w:w="62" w:type="dxa"/>
            </w:tcMar>
          </w:tcPr>
          <w:p w:rsidR="00000000" w:rsidP="007B0EA6">
            <w:pPr>
              <w:pStyle w:val="List2"/>
              <w:rPr>
                <w:lang w:val="en-NZ"/>
              </w:rPr>
            </w:pPr>
            <w:r w:rsidRPr="007B0EA6">
              <w:t>1.3.</w:t>
            </w:r>
            <w:r w:rsidRPr="007B0EA6">
              <w:tab/>
            </w:r>
            <w:r w:rsidRPr="007B0EA6">
              <w:rPr>
                <w:rStyle w:val="BoldandItalics"/>
              </w:rPr>
              <w:t>Tools and equipment</w:t>
            </w:r>
            <w:r w:rsidRPr="007B0EA6">
              <w:t xml:space="preserve"> are selected appropriate to job requirements and checked for operational effectiveness in line with manufacturer's recommendations and site procedures</w:t>
            </w:r>
          </w:p>
        </w:tc>
      </w:tr>
      <w:tr w:rsidTr="0087551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p>
        </w:tc>
        <w:tc>
          <w:tcPr>
            <w:tcW w:w="5961" w:type="dxa"/>
            <w:tcBorders>
              <w:top w:val="nil"/>
              <w:left w:val="nil"/>
              <w:bottom w:val="nil"/>
              <w:right w:val="nil"/>
            </w:tcBorders>
            <w:tcMar>
              <w:top w:w="0" w:type="dxa"/>
              <w:left w:w="62" w:type="dxa"/>
              <w:bottom w:w="0" w:type="dxa"/>
              <w:right w:w="62" w:type="dxa"/>
            </w:tcMar>
          </w:tcPr>
          <w:p w:rsidR="00000000" w:rsidP="007B0EA6">
            <w:pPr>
              <w:pStyle w:val="List2"/>
              <w:rPr>
                <w:lang w:val="en-NZ"/>
              </w:rPr>
            </w:pPr>
            <w:r w:rsidRPr="007B0EA6">
              <w:t>1.4.</w:t>
            </w:r>
            <w:r w:rsidRPr="007B0EA6">
              <w:tab/>
              <w:t>Tasks are identified and planned in line with job requirements</w:t>
            </w:r>
          </w:p>
        </w:tc>
      </w:tr>
      <w:tr w:rsidTr="0087551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p>
        </w:tc>
        <w:tc>
          <w:tcPr>
            <w:tcW w:w="5961" w:type="dxa"/>
            <w:tcBorders>
              <w:top w:val="nil"/>
              <w:left w:val="nil"/>
              <w:bottom w:val="nil"/>
              <w:right w:val="nil"/>
            </w:tcBorders>
            <w:tcMar>
              <w:top w:w="0" w:type="dxa"/>
              <w:left w:w="62" w:type="dxa"/>
              <w:bottom w:w="0" w:type="dxa"/>
              <w:right w:w="62" w:type="dxa"/>
            </w:tcMar>
          </w:tcPr>
          <w:p w:rsidR="00000000" w:rsidP="007B0EA6">
            <w:pPr>
              <w:pStyle w:val="List2"/>
              <w:rPr>
                <w:lang w:val="en-NZ"/>
              </w:rPr>
            </w:pPr>
            <w:r w:rsidRPr="007B0EA6">
              <w:t>1.5.</w:t>
            </w:r>
            <w:r w:rsidRPr="007B0EA6">
              <w:tab/>
            </w:r>
            <w:r w:rsidRPr="007B0EA6">
              <w:rPr>
                <w:rStyle w:val="BoldandItalics"/>
              </w:rPr>
              <w:t>Communication</w:t>
            </w:r>
            <w:r w:rsidRPr="007B0EA6">
              <w:t xml:space="preserve"> with others i</w:t>
            </w:r>
            <w:r w:rsidRPr="007B0EA6">
              <w:t>s established and maintained in line with OHS requirements and site procedures</w:t>
            </w:r>
          </w:p>
        </w:tc>
      </w:tr>
      <w:tr w:rsidTr="0087551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p>
        </w:tc>
        <w:tc>
          <w:tcPr>
            <w:tcW w:w="5961" w:type="dxa"/>
            <w:tcBorders>
              <w:top w:val="nil"/>
              <w:left w:val="nil"/>
              <w:bottom w:val="nil"/>
              <w:right w:val="nil"/>
            </w:tcBorders>
            <w:tcMar>
              <w:top w:w="0" w:type="dxa"/>
              <w:left w:w="62" w:type="dxa"/>
              <w:bottom w:w="0" w:type="dxa"/>
              <w:right w:w="62" w:type="dxa"/>
            </w:tcMar>
          </w:tcPr>
          <w:p w:rsidR="00000000" w:rsidP="007B0EA6">
            <w:pPr>
              <w:pStyle w:val="List2"/>
              <w:rPr>
                <w:lang w:val="en-NZ"/>
              </w:rPr>
            </w:pPr>
            <w:r w:rsidRPr="007B0EA6">
              <w:t>1.6.</w:t>
            </w:r>
            <w:r w:rsidRPr="007B0EA6">
              <w:tab/>
              <w:t>Requirements for recycling or disposal of waste material are identified</w:t>
            </w:r>
          </w:p>
        </w:tc>
      </w:tr>
      <w:tr w:rsidTr="0087551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B0EA6">
            <w:pPr>
              <w:pStyle w:val="List"/>
              <w:rPr>
                <w:lang w:val="en-NZ"/>
              </w:rPr>
            </w:pPr>
            <w:r w:rsidRPr="007B0EA6">
              <w:t>2.</w:t>
            </w:r>
            <w:r w:rsidRPr="007B0EA6">
              <w:tab/>
              <w:t>Cut material</w:t>
            </w:r>
          </w:p>
        </w:tc>
        <w:tc>
          <w:tcPr>
            <w:tcW w:w="5961" w:type="dxa"/>
            <w:tcBorders>
              <w:top w:val="nil"/>
              <w:left w:val="nil"/>
              <w:bottom w:val="nil"/>
              <w:right w:val="nil"/>
            </w:tcBorders>
            <w:tcMar>
              <w:top w:w="0" w:type="dxa"/>
              <w:left w:w="62" w:type="dxa"/>
              <w:bottom w:w="0" w:type="dxa"/>
              <w:right w:w="62" w:type="dxa"/>
            </w:tcMar>
          </w:tcPr>
          <w:p w:rsidR="00000000" w:rsidP="007B0EA6">
            <w:pPr>
              <w:pStyle w:val="List2"/>
              <w:rPr>
                <w:lang w:val="en-NZ"/>
              </w:rPr>
            </w:pPr>
            <w:r w:rsidRPr="007B0EA6">
              <w:t>2.1.</w:t>
            </w:r>
            <w:r w:rsidRPr="007B0EA6">
              <w:tab/>
              <w:t xml:space="preserve">Work area is prepared, checked and </w:t>
            </w:r>
            <w:r w:rsidRPr="007B0EA6">
              <w:rPr>
                <w:rStyle w:val="BoldandItalics"/>
              </w:rPr>
              <w:t>cleared</w:t>
            </w:r>
            <w:r w:rsidRPr="007B0EA6">
              <w:t xml:space="preserve"> in line with OHS requirements and</w:t>
            </w:r>
            <w:r w:rsidRPr="007B0EA6">
              <w:t xml:space="preserve"> site procedures</w:t>
            </w:r>
          </w:p>
        </w:tc>
      </w:tr>
      <w:tr w:rsidTr="0087551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p>
        </w:tc>
        <w:tc>
          <w:tcPr>
            <w:tcW w:w="5961" w:type="dxa"/>
            <w:tcBorders>
              <w:top w:val="nil"/>
              <w:left w:val="nil"/>
              <w:bottom w:val="nil"/>
              <w:right w:val="nil"/>
            </w:tcBorders>
            <w:tcMar>
              <w:top w:w="0" w:type="dxa"/>
              <w:left w:w="62" w:type="dxa"/>
              <w:bottom w:w="0" w:type="dxa"/>
              <w:right w:w="62" w:type="dxa"/>
            </w:tcMar>
          </w:tcPr>
          <w:p w:rsidR="00000000" w:rsidP="007B0EA6">
            <w:pPr>
              <w:pStyle w:val="List2"/>
              <w:rPr>
                <w:lang w:val="en-NZ"/>
              </w:rPr>
            </w:pPr>
            <w:r w:rsidRPr="007B0EA6">
              <w:t>2.2.</w:t>
            </w:r>
            <w:r w:rsidRPr="007B0EA6">
              <w:tab/>
            </w:r>
            <w:r w:rsidRPr="007B0EA6">
              <w:rPr>
                <w:rStyle w:val="BoldandItalics"/>
              </w:rPr>
              <w:t>Supports</w:t>
            </w:r>
            <w:r w:rsidRPr="007B0EA6">
              <w:t xml:space="preserve"> are placed as required to ensure a stable base</w:t>
            </w:r>
          </w:p>
        </w:tc>
      </w:tr>
      <w:tr w:rsidTr="0087551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p>
        </w:tc>
        <w:tc>
          <w:tcPr>
            <w:tcW w:w="5961" w:type="dxa"/>
            <w:tcBorders>
              <w:top w:val="nil"/>
              <w:left w:val="nil"/>
              <w:bottom w:val="nil"/>
              <w:right w:val="nil"/>
            </w:tcBorders>
            <w:tcMar>
              <w:top w:w="0" w:type="dxa"/>
              <w:left w:w="62" w:type="dxa"/>
              <w:bottom w:w="0" w:type="dxa"/>
              <w:right w:w="62" w:type="dxa"/>
            </w:tcMar>
          </w:tcPr>
          <w:p w:rsidR="00000000" w:rsidP="007B0EA6">
            <w:pPr>
              <w:pStyle w:val="List2"/>
              <w:rPr>
                <w:lang w:val="en-NZ"/>
              </w:rPr>
            </w:pPr>
            <w:r w:rsidRPr="007B0EA6">
              <w:t>2.3.</w:t>
            </w:r>
            <w:r w:rsidRPr="007B0EA6">
              <w:tab/>
              <w:t>Material is visually assessed for defects in line with site standards</w:t>
            </w:r>
          </w:p>
        </w:tc>
      </w:tr>
      <w:tr w:rsidTr="0087551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p>
        </w:tc>
        <w:tc>
          <w:tcPr>
            <w:tcW w:w="5961" w:type="dxa"/>
            <w:tcBorders>
              <w:top w:val="nil"/>
              <w:left w:val="nil"/>
              <w:bottom w:val="nil"/>
              <w:right w:val="nil"/>
            </w:tcBorders>
            <w:tcMar>
              <w:top w:w="0" w:type="dxa"/>
              <w:left w:w="62" w:type="dxa"/>
              <w:bottom w:w="0" w:type="dxa"/>
              <w:right w:w="62" w:type="dxa"/>
            </w:tcMar>
          </w:tcPr>
          <w:p w:rsidR="00000000" w:rsidP="007B0EA6">
            <w:pPr>
              <w:pStyle w:val="List2"/>
              <w:rPr>
                <w:lang w:val="en-NZ"/>
              </w:rPr>
            </w:pPr>
            <w:r w:rsidRPr="007B0EA6">
              <w:t>2.4.</w:t>
            </w:r>
            <w:r w:rsidRPr="007B0EA6">
              <w:tab/>
            </w:r>
            <w:r w:rsidRPr="007B0EA6">
              <w:rPr>
                <w:rStyle w:val="BoldandItalics"/>
              </w:rPr>
              <w:t>Cutting techniques</w:t>
            </w:r>
            <w:r w:rsidRPr="007B0EA6">
              <w:t xml:space="preserve"> are used to maximise volume and </w:t>
            </w:r>
            <w:r w:rsidRPr="007B0EA6">
              <w:t>quality of recovery in line with work order and industry standard lengths</w:t>
            </w:r>
          </w:p>
        </w:tc>
      </w:tr>
      <w:tr w:rsidTr="0087551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p>
        </w:tc>
        <w:tc>
          <w:tcPr>
            <w:tcW w:w="5961" w:type="dxa"/>
            <w:tcBorders>
              <w:top w:val="nil"/>
              <w:left w:val="nil"/>
              <w:bottom w:val="nil"/>
              <w:right w:val="nil"/>
            </w:tcBorders>
            <w:tcMar>
              <w:top w:w="0" w:type="dxa"/>
              <w:left w:w="62" w:type="dxa"/>
              <w:bottom w:w="0" w:type="dxa"/>
              <w:right w:w="62" w:type="dxa"/>
            </w:tcMar>
          </w:tcPr>
          <w:p w:rsidR="00000000" w:rsidP="007B0EA6">
            <w:pPr>
              <w:pStyle w:val="List2"/>
              <w:rPr>
                <w:lang w:val="en-NZ"/>
              </w:rPr>
            </w:pPr>
            <w:r w:rsidRPr="007B0EA6">
              <w:t>2.5.</w:t>
            </w:r>
            <w:r w:rsidRPr="007B0EA6">
              <w:tab/>
              <w:t>Material is cut within site standard tolerances for length and angle relative to centre line in line with OHS requirements</w:t>
            </w:r>
          </w:p>
        </w:tc>
      </w:tr>
      <w:tr w:rsidTr="0087551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p>
        </w:tc>
        <w:tc>
          <w:tcPr>
            <w:tcW w:w="5961" w:type="dxa"/>
            <w:tcBorders>
              <w:top w:val="nil"/>
              <w:left w:val="nil"/>
              <w:bottom w:val="nil"/>
              <w:right w:val="nil"/>
            </w:tcBorders>
            <w:tcMar>
              <w:top w:w="0" w:type="dxa"/>
              <w:left w:w="62" w:type="dxa"/>
              <w:bottom w:w="0" w:type="dxa"/>
              <w:right w:w="62" w:type="dxa"/>
            </w:tcMar>
          </w:tcPr>
          <w:p w:rsidR="00000000" w:rsidP="007B0EA6">
            <w:pPr>
              <w:pStyle w:val="List2"/>
              <w:rPr>
                <w:lang w:val="en-NZ"/>
              </w:rPr>
            </w:pPr>
            <w:r w:rsidRPr="007B0EA6">
              <w:t>2.6.</w:t>
            </w:r>
            <w:r w:rsidRPr="007B0EA6">
              <w:tab/>
              <w:t>Chainsaw is operated in line with OHS and sit</w:t>
            </w:r>
            <w:r w:rsidRPr="007B0EA6">
              <w:t>e procedures, and manufacturer's recommendations</w:t>
            </w:r>
          </w:p>
        </w:tc>
      </w:tr>
      <w:tr w:rsidTr="0087551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p>
        </w:tc>
        <w:tc>
          <w:tcPr>
            <w:tcW w:w="5961" w:type="dxa"/>
            <w:tcBorders>
              <w:top w:val="nil"/>
              <w:left w:val="nil"/>
              <w:bottom w:val="nil"/>
              <w:right w:val="nil"/>
            </w:tcBorders>
            <w:tcMar>
              <w:top w:w="0" w:type="dxa"/>
              <w:left w:w="62" w:type="dxa"/>
              <w:bottom w:w="0" w:type="dxa"/>
              <w:right w:w="62" w:type="dxa"/>
            </w:tcMar>
          </w:tcPr>
          <w:p w:rsidR="00000000" w:rsidP="007B0EA6">
            <w:pPr>
              <w:pStyle w:val="List2"/>
              <w:rPr>
                <w:lang w:val="en-NZ"/>
              </w:rPr>
            </w:pPr>
            <w:r w:rsidRPr="007B0EA6">
              <w:t>2.7.</w:t>
            </w:r>
            <w:r w:rsidRPr="007B0EA6">
              <w:tab/>
              <w:t>Debris is cleared and disposed of in line with site procedures and environmental requirements</w:t>
            </w:r>
          </w:p>
        </w:tc>
      </w:tr>
      <w:tr w:rsidTr="0087551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p>
        </w:tc>
        <w:tc>
          <w:tcPr>
            <w:tcW w:w="5961" w:type="dxa"/>
            <w:tcBorders>
              <w:top w:val="nil"/>
              <w:left w:val="nil"/>
              <w:bottom w:val="nil"/>
              <w:right w:val="nil"/>
            </w:tcBorders>
            <w:tcMar>
              <w:top w:w="0" w:type="dxa"/>
              <w:left w:w="62" w:type="dxa"/>
              <w:bottom w:w="0" w:type="dxa"/>
              <w:right w:w="62" w:type="dxa"/>
            </w:tcMar>
          </w:tcPr>
          <w:p w:rsidR="00000000" w:rsidP="007B0EA6">
            <w:pPr>
              <w:pStyle w:val="List2"/>
              <w:rPr>
                <w:lang w:val="en-NZ"/>
              </w:rPr>
            </w:pPr>
            <w:r w:rsidRPr="007B0EA6">
              <w:t>2.8.</w:t>
            </w:r>
            <w:r w:rsidRPr="007B0EA6">
              <w:tab/>
              <w:t xml:space="preserve">Production and quality </w:t>
            </w:r>
            <w:r w:rsidRPr="007B0EA6">
              <w:rPr>
                <w:rStyle w:val="BoldandItalics"/>
              </w:rPr>
              <w:t>records and reports</w:t>
            </w:r>
            <w:r w:rsidRPr="007B0EA6">
              <w:t xml:space="preserve"> are processed </w:t>
            </w:r>
            <w:r w:rsidRPr="007B0EA6">
              <w:t>in line with site procedures and organisational requirements</w:t>
            </w:r>
          </w:p>
        </w:tc>
      </w:tr>
      <w:tr w:rsidTr="0087551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p>
        </w:tc>
        <w:tc>
          <w:tcPr>
            <w:tcW w:w="5961" w:type="dxa"/>
            <w:tcBorders>
              <w:top w:val="nil"/>
              <w:left w:val="nil"/>
              <w:bottom w:val="nil"/>
              <w:right w:val="nil"/>
            </w:tcBorders>
            <w:tcMar>
              <w:top w:w="0" w:type="dxa"/>
              <w:left w:w="62" w:type="dxa"/>
              <w:bottom w:w="0" w:type="dxa"/>
              <w:right w:w="62" w:type="dxa"/>
            </w:tcMar>
          </w:tcPr>
          <w:p w:rsidR="00000000" w:rsidP="007B0EA6">
            <w:pPr>
              <w:pStyle w:val="List2"/>
              <w:rPr>
                <w:lang w:val="en-NZ"/>
              </w:rPr>
            </w:pPr>
            <w:r w:rsidRPr="007B0EA6">
              <w:t>2.9.</w:t>
            </w:r>
            <w:r w:rsidRPr="007B0EA6">
              <w:tab/>
            </w:r>
            <w:r w:rsidRPr="007B0EA6">
              <w:rPr>
                <w:rStyle w:val="BoldandItalics"/>
              </w:rPr>
              <w:t>Problems</w:t>
            </w:r>
            <w:r w:rsidRPr="007B0EA6">
              <w:t xml:space="preserve"> are identified and reported in line with site procedures</w:t>
            </w:r>
          </w:p>
        </w:tc>
      </w:tr>
      <w:tr w:rsidTr="0087551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B0EA6">
            <w:pPr>
              <w:pStyle w:val="List"/>
              <w:rPr>
                <w:lang w:val="en-NZ"/>
              </w:rPr>
            </w:pPr>
            <w:r w:rsidRPr="007B0EA6">
              <w:t>3.</w:t>
            </w:r>
            <w:r w:rsidRPr="007B0EA6">
              <w:tab/>
              <w:t>Conduct chainsaw maintenance</w:t>
            </w:r>
          </w:p>
        </w:tc>
        <w:tc>
          <w:tcPr>
            <w:tcW w:w="5961" w:type="dxa"/>
            <w:tcBorders>
              <w:top w:val="nil"/>
              <w:left w:val="nil"/>
              <w:bottom w:val="nil"/>
              <w:right w:val="nil"/>
            </w:tcBorders>
            <w:tcMar>
              <w:top w:w="0" w:type="dxa"/>
              <w:left w:w="62" w:type="dxa"/>
              <w:bottom w:w="0" w:type="dxa"/>
              <w:right w:w="62" w:type="dxa"/>
            </w:tcMar>
          </w:tcPr>
          <w:p w:rsidR="00000000" w:rsidP="007B0EA6">
            <w:pPr>
              <w:pStyle w:val="List2"/>
              <w:rPr>
                <w:lang w:val="en-NZ"/>
              </w:rPr>
            </w:pPr>
            <w:r w:rsidRPr="007B0EA6">
              <w:t>3.1.</w:t>
            </w:r>
            <w:r w:rsidRPr="007B0EA6">
              <w:tab/>
              <w:t xml:space="preserve">Damaged saws or cutting attachments are identified and dealt with according to site </w:t>
            </w:r>
            <w:r w:rsidRPr="007B0EA6">
              <w:t>procedures and manufacturer's recommendations</w:t>
            </w:r>
          </w:p>
        </w:tc>
      </w:tr>
      <w:tr w:rsidTr="00875511">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p>
        </w:tc>
        <w:tc>
          <w:tcPr>
            <w:tcW w:w="5961" w:type="dxa"/>
            <w:tcBorders>
              <w:top w:val="nil"/>
              <w:left w:val="nil"/>
              <w:bottom w:val="nil"/>
              <w:right w:val="nil"/>
            </w:tcBorders>
            <w:tcMar>
              <w:top w:w="0" w:type="dxa"/>
              <w:left w:w="62" w:type="dxa"/>
              <w:bottom w:w="0" w:type="dxa"/>
              <w:right w:w="62" w:type="dxa"/>
            </w:tcMar>
          </w:tcPr>
          <w:p w:rsidR="00000000" w:rsidRPr="007B0EA6" w:rsidP="007B0EA6">
            <w:pPr>
              <w:pStyle w:val="List2"/>
            </w:pPr>
            <w:r w:rsidRPr="007B0EA6">
              <w:t>3.2.</w:t>
            </w:r>
            <w:r w:rsidRPr="007B0EA6">
              <w:tab/>
              <w:t xml:space="preserve">Chainsaw is cleaned, </w:t>
            </w:r>
            <w:r w:rsidRPr="007B0EA6">
              <w:rPr>
                <w:rStyle w:val="BoldandItalics"/>
              </w:rPr>
              <w:t>maintained</w:t>
            </w:r>
            <w:r w:rsidRPr="007B0EA6">
              <w:t xml:space="preserve"> and stored in line with manufacturer's recommendations and site procedures</w:t>
            </w:r>
          </w:p>
        </w:tc>
      </w:tr>
    </w:tbl>
    <w:p w:rsidR="00875511" w:rsidP="007B0EA6">
      <w:pPr>
        <w:pStyle w:val="BodyText"/>
      </w:pPr>
    </w:p>
    <w:p w:rsidR="00875511" w:rsidP="007B0EA6">
      <w:pPr>
        <w:pStyle w:val="BodyText"/>
      </w:pPr>
    </w:p>
    <w:p w:rsidR="00000000" w:rsidRPr="007B0EA6" w:rsidP="007B0EA6">
      <w:pPr>
        <w:pStyle w:val="Heading1"/>
      </w:pPr>
      <w:bookmarkStart w:id="9" w:name="O_620828"/>
      <w:bookmarkEnd w:id="9"/>
      <w:r w:rsidRPr="007B0EA6">
        <w:t>Required Skills and Knowledge</w:t>
      </w:r>
    </w:p>
    <w:tbl>
      <w:tblPr>
        <w:tblW w:w="0" w:type="auto"/>
        <w:tblLayout w:type="fixed"/>
        <w:tblCellMar>
          <w:left w:w="62" w:type="dxa"/>
          <w:right w:w="62" w:type="dxa"/>
        </w:tblCellMar>
        <w:tblLook w:val="0000"/>
      </w:tblPr>
      <w:tblGrid>
        <w:gridCol w:w="8522"/>
      </w:tblGrid>
      <w:tr w:rsidTr="0087551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rPr>
                <w:rStyle w:val="SpecialBold"/>
              </w:rPr>
              <w:t>REQUIRED SKILLS AND KNOWLEDGE</w:t>
            </w:r>
          </w:p>
        </w:tc>
      </w:tr>
      <w:tr w:rsidTr="008755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t>This describes the essential skills and knowledge and their level required for this unit.</w:t>
            </w:r>
          </w:p>
        </w:tc>
      </w:tr>
      <w:tr w:rsidTr="008755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rPr>
                <w:rStyle w:val="SpecialBold"/>
              </w:rPr>
              <w:t>Required skills</w:t>
            </w:r>
          </w:p>
        </w:tc>
      </w:tr>
      <w:tr w:rsidTr="008755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B0EA6" w:rsidP="007B0EA6">
            <w:pPr>
              <w:pStyle w:val="ListBullet"/>
            </w:pPr>
            <w:r w:rsidRPr="007B0EA6">
              <w:t>Technical skills sufficient to safely and efficiently use a hand-held chainsaw and carry out lock-out procedures on associated machinery; use and m</w:t>
            </w:r>
            <w:r w:rsidRPr="007B0EA6">
              <w:t xml:space="preserve">aintain relevant tools, machinery and equipment; use appropriate methods to cut materials with a hand-held chainsaw and maximise volume and quality recovery </w:t>
            </w:r>
          </w:p>
          <w:p w:rsidR="00000000" w:rsidRPr="007B0EA6" w:rsidP="007B0EA6">
            <w:pPr>
              <w:pStyle w:val="ListBullet"/>
            </w:pPr>
            <w:r w:rsidRPr="007B0EA6">
              <w:t>Communication skills sufficient to interact effectively with colleagues and others</w:t>
            </w:r>
          </w:p>
          <w:p w:rsidR="00000000" w:rsidRPr="007B0EA6" w:rsidP="007B0EA6">
            <w:pPr>
              <w:pStyle w:val="ListBullet"/>
            </w:pPr>
            <w:r w:rsidRPr="007B0EA6">
              <w:t>Literacy skills</w:t>
            </w:r>
            <w:r w:rsidRPr="007B0EA6">
              <w:t xml:space="preserve"> sufficient to review and accurately identify work requirements and accurately locate, record and report information</w:t>
            </w:r>
          </w:p>
          <w:p w:rsidR="00000000" w:rsidRPr="007B0EA6" w:rsidP="007B0EA6">
            <w:pPr>
              <w:pStyle w:val="ListBullet"/>
            </w:pPr>
            <w:r w:rsidRPr="007B0EA6">
              <w:t>Numeracy skills sufficient to estimate and measure lengths and calculate time to complete a task</w:t>
            </w:r>
          </w:p>
          <w:p w:rsidR="00000000" w:rsidP="007B0EA6">
            <w:pPr>
              <w:pStyle w:val="ListBullet"/>
              <w:rPr>
                <w:lang w:val="en-NZ"/>
              </w:rPr>
            </w:pPr>
            <w:r w:rsidRPr="007B0EA6">
              <w:t>Problem solving skills sufficient to ident</w:t>
            </w:r>
            <w:r w:rsidRPr="007B0EA6">
              <w:t>ify defects and problems and appropriate response procedures</w:t>
            </w:r>
          </w:p>
        </w:tc>
      </w:tr>
      <w:tr w:rsidTr="008755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rPr>
                <w:rStyle w:val="SpecialBold"/>
              </w:rPr>
              <w:t>Required knowledge</w:t>
            </w:r>
          </w:p>
        </w:tc>
      </w:tr>
      <w:tr w:rsidTr="008755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B0EA6" w:rsidP="007B0EA6">
            <w:pPr>
              <w:pStyle w:val="ListBullet"/>
            </w:pPr>
            <w:r w:rsidRPr="007B0EA6">
              <w:t xml:space="preserve">Applicable Commonwealth, State or Territory legislation, regulations, standards, </w:t>
            </w:r>
            <w:r w:rsidRPr="007B0EA6">
              <w:t>codes of practice and established safe practices relevant to the full range of processes for cutting materials with a hand-held chainsaw</w:t>
            </w:r>
          </w:p>
          <w:p w:rsidR="00000000" w:rsidRPr="007B0EA6" w:rsidP="007B0EA6">
            <w:pPr>
              <w:pStyle w:val="ListBullet"/>
            </w:pPr>
            <w:r w:rsidRPr="007B0EA6">
              <w:t>Organisational and site standards, requirements, policies and procedures for cutting materials with a hand-held chainsa</w:t>
            </w:r>
            <w:r w:rsidRPr="007B0EA6">
              <w:t>w; organisational communication channels and protocols; and procedures for the recording and reporting of workplace documentation and information</w:t>
            </w:r>
          </w:p>
          <w:p w:rsidR="00000000" w:rsidRPr="007B0EA6" w:rsidP="007B0EA6">
            <w:pPr>
              <w:pStyle w:val="ListBullet"/>
            </w:pPr>
            <w:r w:rsidRPr="007B0EA6">
              <w:t xml:space="preserve">Environmental protection requirements including the safe disposal of waste material </w:t>
            </w:r>
          </w:p>
          <w:p w:rsidR="00000000" w:rsidRPr="007B0EA6" w:rsidP="007B0EA6">
            <w:pPr>
              <w:pStyle w:val="ListBullet"/>
            </w:pPr>
            <w:r w:rsidRPr="007B0EA6">
              <w:t>Operation and maintenance</w:t>
            </w:r>
            <w:r w:rsidRPr="007B0EA6">
              <w:t xml:space="preserve"> requirements of a hand-held chainsaw including consequences of blunt or damaged saws</w:t>
            </w:r>
          </w:p>
          <w:p w:rsidR="00000000" w:rsidRPr="007B0EA6" w:rsidP="007B0EA6">
            <w:pPr>
              <w:pStyle w:val="ListBullet"/>
            </w:pPr>
            <w:r w:rsidRPr="007B0EA6">
              <w:t>Effects of defects on recovery</w:t>
            </w:r>
          </w:p>
          <w:p w:rsidR="00000000" w:rsidRPr="007B0EA6" w:rsidP="007B0EA6">
            <w:pPr>
              <w:pStyle w:val="ListBullet"/>
            </w:pPr>
            <w:r w:rsidRPr="007B0EA6">
              <w:t xml:space="preserve">Common industry terminology </w:t>
            </w:r>
          </w:p>
          <w:p w:rsidR="00000000" w:rsidRPr="007B0EA6" w:rsidP="007B0EA6">
            <w:pPr>
              <w:pStyle w:val="ListBullet"/>
            </w:pPr>
            <w:r w:rsidRPr="007B0EA6">
              <w:t>Communication and interpersonal techniques</w:t>
            </w:r>
          </w:p>
          <w:p w:rsidR="00000000" w:rsidRPr="007B0EA6" w:rsidP="007B0EA6">
            <w:pPr>
              <w:pStyle w:val="ListBullet"/>
            </w:pPr>
            <w:r w:rsidRPr="007B0EA6">
              <w:t>Industry standard length dimensions</w:t>
            </w:r>
          </w:p>
          <w:p w:rsidR="00000000" w:rsidRPr="007B0EA6" w:rsidP="007B0EA6">
            <w:pPr>
              <w:pStyle w:val="ListBullet"/>
            </w:pPr>
            <w:r w:rsidRPr="007B0EA6">
              <w:t>Problem identification and reso</w:t>
            </w:r>
            <w:r w:rsidRPr="007B0EA6">
              <w:t>lution strategies and common fault finding techniques</w:t>
            </w:r>
          </w:p>
          <w:p w:rsidR="00000000" w:rsidRPr="007B0EA6" w:rsidP="007B0EA6">
            <w:pPr>
              <w:pStyle w:val="ListBullet"/>
            </w:pPr>
            <w:r w:rsidRPr="007B0EA6">
              <w:t>Types of tools and equipment and procedures for their use, operation and maintenance</w:t>
            </w:r>
          </w:p>
        </w:tc>
      </w:tr>
    </w:tbl>
    <w:p w:rsidR="00875511" w:rsidP="007B0EA6">
      <w:pPr>
        <w:pStyle w:val="BodyText"/>
      </w:pPr>
    </w:p>
    <w:p w:rsidR="00875511" w:rsidP="007B0EA6">
      <w:pPr>
        <w:pStyle w:val="BodyText"/>
      </w:pPr>
    </w:p>
    <w:p w:rsidR="00000000" w:rsidRPr="007B0EA6" w:rsidP="007B0EA6">
      <w:pPr>
        <w:pStyle w:val="AllowPageBreak"/>
      </w:pPr>
    </w:p>
    <w:p w:rsidR="00000000" w:rsidRPr="007B0EA6" w:rsidP="007B0EA6">
      <w:pPr>
        <w:pStyle w:val="Heading1"/>
      </w:pPr>
      <w:bookmarkStart w:id="10" w:name="O_620827"/>
      <w:bookmarkEnd w:id="10"/>
      <w:r w:rsidRPr="007B0EA6">
        <w:t>Evidence Guide</w:t>
      </w:r>
    </w:p>
    <w:tbl>
      <w:tblPr>
        <w:tblW w:w="9570" w:type="dxa"/>
        <w:tblLayout w:type="fixed"/>
        <w:tblCellMar>
          <w:left w:w="62" w:type="dxa"/>
          <w:right w:w="62" w:type="dxa"/>
        </w:tblCellMar>
        <w:tblLook w:val="0000"/>
      </w:tblPr>
      <w:tblGrid>
        <w:gridCol w:w="3908"/>
        <w:gridCol w:w="5662"/>
      </w:tblGrid>
      <w:tr w:rsidTr="00875511">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rPr>
                <w:rStyle w:val="SpecialBold"/>
              </w:rPr>
              <w:t>EVIDENCE GUIDE</w:t>
            </w:r>
          </w:p>
        </w:tc>
      </w:tr>
      <w:tr w:rsidTr="0087551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t>The evidence guide provides advice on assessment and must be read in conjunction with the performance criteria, required skills and knowledge, range statement and the Assessment Guidelines for the Training Package.</w:t>
            </w:r>
          </w:p>
        </w:tc>
      </w:tr>
      <w:tr w:rsidTr="0087551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t>A person who dem</w:t>
            </w:r>
            <w:r w:rsidRPr="007B0EA6">
              <w:t>onstrates competency in this unit must be able to provide evidence that they can use a hand-held chainsaw while demonstrating the correct procedures for cutting materials in line with organisational guidelines</w:t>
            </w:r>
          </w:p>
        </w:tc>
      </w:tr>
      <w:tr w:rsidTr="0087551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rPr>
                <w:rStyle w:val="SpecialBold"/>
              </w:rPr>
              <w:t xml:space="preserve">Critical aspects for assessment and evidence </w:t>
            </w:r>
            <w:r w:rsidRPr="007B0EA6">
              <w:rPr>
                <w:rStyle w:val="SpecialBold"/>
              </w:rPr>
              <w:t>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B0EA6" w:rsidP="007B0EA6">
            <w:pPr>
              <w:pStyle w:val="BodyText"/>
            </w:pPr>
            <w:r w:rsidRPr="007B0EA6">
              <w:t xml:space="preserve">The evidence required to demonstrate competency in this unit must be relevant to and satisfy all of the requirements of the elements of this unit and include demonstration of: </w:t>
            </w:r>
          </w:p>
          <w:p w:rsidR="00000000" w:rsidRPr="007B0EA6" w:rsidP="007B0EA6">
            <w:pPr>
              <w:pStyle w:val="ListBullet"/>
            </w:pPr>
            <w:r w:rsidRPr="007B0EA6">
              <w:t>following applicable Commonwea</w:t>
            </w:r>
            <w:r w:rsidRPr="007B0EA6">
              <w:t>lth, State or Territory legislative and regulatory requirements and codes of practice, including OHS and environmental, relevant to cutting materials with a hand-held chainsaw</w:t>
            </w:r>
          </w:p>
          <w:p w:rsidR="00000000" w:rsidRPr="007B0EA6" w:rsidP="007B0EA6">
            <w:pPr>
              <w:pStyle w:val="ListBullet"/>
            </w:pPr>
            <w:r w:rsidRPr="007B0EA6">
              <w:t>following organisational policies</w:t>
            </w:r>
            <w:r w:rsidRPr="007B0EA6">
              <w:t xml:space="preserve"> and procedures relevant to cutting materials with a hand-held chainsaw</w:t>
            </w:r>
          </w:p>
          <w:p w:rsidR="00000000" w:rsidRPr="007B0EA6" w:rsidP="007B0EA6">
            <w:pPr>
              <w:pStyle w:val="ListBullet"/>
            </w:pPr>
            <w:r w:rsidRPr="007B0EA6">
              <w:t>following applicable licensing or certification requirements</w:t>
            </w:r>
          </w:p>
          <w:p w:rsidR="00000000" w:rsidRPr="007B0EA6" w:rsidP="007B0EA6">
            <w:pPr>
              <w:pStyle w:val="ListBullet"/>
            </w:pPr>
            <w:r w:rsidRPr="007B0EA6">
              <w:t xml:space="preserve">effective communication and safe working practices </w:t>
            </w:r>
          </w:p>
          <w:p w:rsidR="00000000" w:rsidRPr="007B0EA6" w:rsidP="007B0EA6">
            <w:pPr>
              <w:pStyle w:val="ListBullet"/>
            </w:pPr>
            <w:r w:rsidRPr="007B0EA6">
              <w:t>safe cutting of materials using a hand-held chainsaw</w:t>
            </w:r>
          </w:p>
          <w:p w:rsidR="00000000" w:rsidRPr="007B0EA6" w:rsidP="007B0EA6">
            <w:pPr>
              <w:pStyle w:val="ListBullet"/>
            </w:pPr>
            <w:r w:rsidRPr="007B0EA6">
              <w:t xml:space="preserve">cutting materials </w:t>
            </w:r>
            <w:r w:rsidRPr="007B0EA6">
              <w:t xml:space="preserve">to maximise volume and quality of recovery according to job requirements </w:t>
            </w:r>
          </w:p>
          <w:p w:rsidR="00000000" w:rsidRPr="007B0EA6" w:rsidP="007B0EA6">
            <w:pPr>
              <w:pStyle w:val="ListBullet"/>
            </w:pPr>
            <w:r w:rsidRPr="007B0EA6">
              <w:t xml:space="preserve">cleaning, maintaining and storing saw </w:t>
            </w:r>
          </w:p>
          <w:p w:rsidR="00000000" w:rsidRPr="007B0EA6" w:rsidP="007B0EA6">
            <w:pPr>
              <w:pStyle w:val="ListBullet"/>
            </w:pPr>
            <w:r w:rsidRPr="007B0EA6">
              <w:t>identifying and reporting faults, malfunctions or irregular operation of hand-held chainsaw</w:t>
            </w:r>
          </w:p>
          <w:p w:rsidR="00000000" w:rsidP="007B0EA6">
            <w:pPr>
              <w:pStyle w:val="ListBullet"/>
              <w:rPr>
                <w:lang w:val="en-NZ"/>
              </w:rPr>
            </w:pPr>
            <w:r w:rsidRPr="007B0EA6">
              <w:t>appropriate recycling or disposal of waste material</w:t>
            </w:r>
            <w:r w:rsidRPr="007B0EA6">
              <w:t>s</w:t>
            </w:r>
          </w:p>
        </w:tc>
      </w:tr>
      <w:tr w:rsidTr="0087551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B0EA6" w:rsidP="007B0EA6">
            <w:pPr>
              <w:pStyle w:val="ListBullet"/>
            </w:pPr>
            <w:r w:rsidRPr="007B0EA6">
              <w:t>Competency is to be assessed in the workplace or realistically simulated workplace</w:t>
            </w:r>
          </w:p>
          <w:p w:rsidR="00000000" w:rsidRPr="007B0EA6" w:rsidP="007B0EA6">
            <w:pPr>
              <w:pStyle w:val="ListBullet"/>
            </w:pPr>
            <w:r w:rsidRPr="007B0EA6">
              <w:t>Assessment is to occur under standard and authorised work practices, safety requirements and environmental constraints</w:t>
            </w:r>
          </w:p>
          <w:p w:rsidR="00000000" w:rsidRPr="007B0EA6" w:rsidP="007B0EA6">
            <w:pPr>
              <w:pStyle w:val="ListBullet"/>
            </w:pPr>
            <w:r w:rsidRPr="007B0EA6">
              <w:t>A</w:t>
            </w:r>
            <w:r w:rsidRPr="007B0EA6">
              <w:t>ssessment of essential underpinning knowledge, other than confirmatory questions, will usually be conducted in an off-site context</w:t>
            </w:r>
          </w:p>
          <w:p w:rsidR="00000000" w:rsidRPr="007B0EA6" w:rsidP="007B0EA6">
            <w:pPr>
              <w:pStyle w:val="ListBullet"/>
            </w:pPr>
            <w:r w:rsidRPr="007B0EA6">
              <w:t>Assessment is to comply with relevant regulatory or Australian Standards requirements</w:t>
            </w:r>
          </w:p>
          <w:p w:rsidR="00000000" w:rsidRPr="007B0EA6" w:rsidP="007B0EA6">
            <w:pPr>
              <w:pStyle w:val="ListBullet"/>
            </w:pPr>
            <w:r w:rsidRPr="007B0EA6">
              <w:t xml:space="preserve">The following resources should be made </w:t>
            </w:r>
            <w:r w:rsidRPr="007B0EA6">
              <w:t>available:</w:t>
            </w:r>
          </w:p>
          <w:p w:rsidR="00000000" w:rsidRPr="007B0EA6" w:rsidP="007B0EA6">
            <w:pPr>
              <w:pStyle w:val="ListBullet3"/>
            </w:pPr>
            <w:r w:rsidRPr="007B0EA6">
              <w:t>workplace location or simulated workplace</w:t>
            </w:r>
          </w:p>
          <w:p w:rsidR="00000000" w:rsidRPr="007B0EA6" w:rsidP="007B0EA6">
            <w:pPr>
              <w:pStyle w:val="ListBullet3"/>
            </w:pPr>
            <w:r w:rsidRPr="007B0EA6">
              <w:t>materials and equipment relevant to undertaking work applicable to this unit</w:t>
            </w:r>
          </w:p>
          <w:p w:rsidR="00000000" w:rsidP="007B0EA6">
            <w:pPr>
              <w:pStyle w:val="ListBullet3"/>
              <w:rPr>
                <w:lang w:val="en-NZ"/>
              </w:rPr>
            </w:pPr>
            <w:r w:rsidRPr="007B0EA6">
              <w:t>specifications and work instructions</w:t>
            </w:r>
          </w:p>
        </w:tc>
      </w:tr>
      <w:tr w:rsidTr="0087551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B0EA6" w:rsidP="007B0EA6">
            <w:pPr>
              <w:pStyle w:val="ListBullet"/>
            </w:pPr>
            <w:r w:rsidRPr="007B0EA6">
              <w:t>Assessment must satisfy the endorsed Assessment Guidelines of the FPI11 Training Package</w:t>
            </w:r>
          </w:p>
          <w:p w:rsidR="00000000" w:rsidRPr="007B0EA6" w:rsidP="007B0EA6">
            <w:pPr>
              <w:pStyle w:val="ListBullet"/>
            </w:pPr>
            <w:r w:rsidRPr="007B0EA6">
              <w:t>Assessment methods must confirm consistency and accuracy of performance (over time and in a range of workplace relevant contexts) together with application of underpinning knowledge</w:t>
            </w:r>
          </w:p>
          <w:p w:rsidR="00000000" w:rsidRPr="007B0EA6" w:rsidP="007B0EA6">
            <w:pPr>
              <w:pStyle w:val="ListBullet"/>
            </w:pPr>
            <w:r w:rsidRPr="007B0EA6">
              <w:t>Assessment must be by direct observation of tasks, with questioning on und</w:t>
            </w:r>
            <w:r w:rsidRPr="007B0EA6">
              <w:t>erpinning knowledge and it must also reinforce the integration of employability skills</w:t>
            </w:r>
          </w:p>
          <w:p w:rsidR="00000000" w:rsidRPr="007B0EA6" w:rsidP="007B0EA6">
            <w:pPr>
              <w:pStyle w:val="ListBullet"/>
            </w:pPr>
            <w:r w:rsidRPr="007B0EA6">
              <w:t>Assessment methods must confirm the ability to access and correctly interpret and apply the essential underpinning knowledge</w:t>
            </w:r>
          </w:p>
          <w:p w:rsidR="00000000" w:rsidRPr="007B0EA6" w:rsidP="007B0EA6">
            <w:pPr>
              <w:pStyle w:val="ListBullet"/>
            </w:pPr>
            <w:r w:rsidRPr="007B0EA6">
              <w:t>Assessment may be applied under project-rela</w:t>
            </w:r>
            <w:r w:rsidRPr="007B0EA6">
              <w:t>ted conditions (real or simulated) and require evidence of process</w:t>
            </w:r>
          </w:p>
          <w:p w:rsidR="00000000" w:rsidRPr="007B0EA6" w:rsidP="007B0EA6">
            <w:pPr>
              <w:pStyle w:val="ListBullet"/>
            </w:pPr>
            <w:r w:rsidRPr="007B0EA6">
              <w:t>Assessment must confirm a reasonable inference that competency is able not only to be satisfied under the particular circumstance, but is able to be transferred to other circumstances</w:t>
            </w:r>
          </w:p>
          <w:p w:rsidR="00000000" w:rsidRPr="007B0EA6" w:rsidP="007B0EA6">
            <w:pPr>
              <w:pStyle w:val="ListBullet"/>
            </w:pPr>
            <w:r w:rsidRPr="007B0EA6">
              <w:t>Asses</w:t>
            </w:r>
            <w:r w:rsidRPr="007B0EA6">
              <w:t>sment may be in conjunction with assessment of other units of competency</w:t>
            </w:r>
          </w:p>
          <w:p w:rsidR="00000000" w:rsidRPr="007B0EA6" w:rsidP="007B0EA6">
            <w:pPr>
              <w:pStyle w:val="ListBullet"/>
            </w:pPr>
            <w:r w:rsidRPr="007B0EA6">
              <w:t>The assessment environment should not disadvantage the candidate</w:t>
            </w:r>
          </w:p>
          <w:p w:rsidR="00000000" w:rsidRPr="007B0EA6" w:rsidP="007B0EA6">
            <w:pPr>
              <w:pStyle w:val="ListBullet"/>
            </w:pPr>
            <w:r w:rsidRPr="007B0EA6">
              <w:t>Assessment practices should take into account any relevant language or cultural issues related to Aboriginality, gende</w:t>
            </w:r>
            <w:r w:rsidRPr="007B0EA6">
              <w:t>r or language backgrounds other than English</w:t>
            </w:r>
          </w:p>
          <w:p w:rsidR="00000000" w:rsidRPr="007B0EA6" w:rsidP="007B0EA6">
            <w:pPr>
              <w:pStyle w:val="ListBullet"/>
            </w:pPr>
            <w:r w:rsidRPr="007B0EA6">
              <w:t>Where the participant has a disability, reasonable adjustment may be applied during assessment</w:t>
            </w:r>
          </w:p>
          <w:p w:rsidR="00000000" w:rsidRPr="007B0EA6" w:rsidP="007B0EA6">
            <w:pPr>
              <w:pStyle w:val="ListBullet"/>
            </w:pPr>
            <w:r w:rsidRPr="007B0EA6">
              <w:t>Language and literacy demands of the assessment task should not be higher than those of the work role</w:t>
            </w:r>
          </w:p>
        </w:tc>
      </w:tr>
    </w:tbl>
    <w:p w:rsidR="00875511" w:rsidP="007B0EA6">
      <w:pPr>
        <w:pStyle w:val="BodyText"/>
      </w:pPr>
    </w:p>
    <w:p w:rsidR="00875511" w:rsidP="007B0EA6">
      <w:pPr>
        <w:pStyle w:val="BodyText"/>
      </w:pPr>
    </w:p>
    <w:p w:rsidR="00000000" w:rsidRPr="007B0EA6" w:rsidP="007B0EA6">
      <w:pPr>
        <w:pStyle w:val="Heading1"/>
      </w:pPr>
      <w:bookmarkStart w:id="11" w:name="O_620826"/>
      <w:bookmarkEnd w:id="11"/>
      <w:r w:rsidRPr="007B0EA6">
        <w:t>Range Statement</w:t>
      </w:r>
    </w:p>
    <w:tbl>
      <w:tblPr>
        <w:tblW w:w="0" w:type="auto"/>
        <w:tblLayout w:type="fixed"/>
        <w:tblCellMar>
          <w:left w:w="62" w:type="dxa"/>
          <w:right w:w="62" w:type="dxa"/>
        </w:tblCellMar>
        <w:tblLook w:val="0000"/>
      </w:tblPr>
      <w:tblGrid>
        <w:gridCol w:w="3531"/>
        <w:gridCol w:w="4991"/>
      </w:tblGrid>
      <w:tr w:rsidTr="0087551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rPr>
                <w:rStyle w:val="SpecialBold"/>
              </w:rPr>
              <w:t>RANGE STATEMENT</w:t>
            </w:r>
          </w:p>
        </w:tc>
      </w:tr>
      <w:tr w:rsidTr="0087551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t xml:space="preserve">The range statement relates to the unit of competency as a whole. It allows for different work environments and situations that may affect performance. Bold italicised wording, if used in the performance criteria, </w:t>
            </w:r>
            <w:r w:rsidRPr="007B0EA6">
              <w:t>is detailed below. Essential operating conditions that may be present with training and assessment (depending on the work situation, needs of the candidate, accessibility of the item, and local industry and regional contexts) may also be included.</w:t>
            </w:r>
          </w:p>
        </w:tc>
      </w:tr>
      <w:tr w:rsidTr="008755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rPr>
                <w:rStyle w:val="SpecialBold"/>
              </w:rPr>
              <w:t>OHS re</w:t>
            </w:r>
            <w:r w:rsidRPr="007B0EA6">
              <w:rPr>
                <w:rStyle w:val="SpecialBold"/>
              </w:rPr>
              <w:t>quirements</w:t>
            </w:r>
            <w:r w:rsidRPr="007B0EA6">
              <w:t>:</w:t>
            </w:r>
          </w:p>
        </w:tc>
        <w:tc>
          <w:tcPr>
            <w:tcW w:w="4991" w:type="dxa"/>
            <w:tcBorders>
              <w:top w:val="nil"/>
              <w:left w:val="nil"/>
              <w:bottom w:val="nil"/>
              <w:right w:val="nil"/>
            </w:tcBorders>
            <w:tcMar>
              <w:top w:w="0" w:type="dxa"/>
              <w:left w:w="62" w:type="dxa"/>
              <w:bottom w:w="0" w:type="dxa"/>
              <w:right w:w="62" w:type="dxa"/>
            </w:tcMar>
          </w:tcPr>
          <w:p w:rsidR="00000000" w:rsidRPr="007B0EA6" w:rsidP="007B0EA6">
            <w:pPr>
              <w:pStyle w:val="BodyText"/>
            </w:pPr>
            <w:r w:rsidRPr="007B0EA6">
              <w:t>are to be in line with applicable Commonwealth, State or Territory legislation and regulations, and organisational safety policies and procedures, and may include:</w:t>
            </w:r>
          </w:p>
          <w:p w:rsidR="00000000" w:rsidRPr="007B0EA6" w:rsidP="007B0EA6">
            <w:pPr>
              <w:pStyle w:val="ListBullet"/>
            </w:pPr>
            <w:r w:rsidRPr="007B0EA6">
              <w:t>personal protective equipment and clothing</w:t>
            </w:r>
          </w:p>
          <w:p w:rsidR="00000000" w:rsidRPr="007B0EA6" w:rsidP="007B0EA6">
            <w:pPr>
              <w:pStyle w:val="ListBullet"/>
            </w:pPr>
            <w:r w:rsidRPr="007B0EA6">
              <w:t>safety equipment</w:t>
            </w:r>
          </w:p>
          <w:p w:rsidR="00000000" w:rsidRPr="007B0EA6" w:rsidP="007B0EA6">
            <w:pPr>
              <w:pStyle w:val="ListBullet"/>
            </w:pPr>
            <w:r w:rsidRPr="007B0EA6">
              <w:t>first aid equipment</w:t>
            </w:r>
          </w:p>
          <w:p w:rsidR="00000000" w:rsidRPr="007B0EA6" w:rsidP="007B0EA6">
            <w:pPr>
              <w:pStyle w:val="ListBullet"/>
            </w:pPr>
            <w:r w:rsidRPr="007B0EA6">
              <w:t>fire fighting equipment</w:t>
            </w:r>
          </w:p>
          <w:p w:rsidR="00000000" w:rsidRPr="007B0EA6" w:rsidP="007B0EA6">
            <w:pPr>
              <w:pStyle w:val="ListBullet"/>
            </w:pPr>
            <w:r w:rsidRPr="007B0EA6">
              <w:t>hazard and risk control</w:t>
            </w:r>
          </w:p>
          <w:p w:rsidR="00000000" w:rsidRPr="007B0EA6" w:rsidP="007B0EA6">
            <w:pPr>
              <w:pStyle w:val="ListBullet"/>
            </w:pPr>
            <w:r w:rsidRPr="007B0EA6">
              <w:t>fatigue management</w:t>
            </w:r>
          </w:p>
          <w:p w:rsidR="00000000" w:rsidRPr="007B0EA6" w:rsidP="007B0EA6">
            <w:pPr>
              <w:pStyle w:val="ListBullet"/>
            </w:pPr>
            <w:r w:rsidRPr="007B0EA6">
              <w:t>elimination of hazardous materials and substances</w:t>
            </w:r>
          </w:p>
          <w:p w:rsidR="00000000" w:rsidRPr="007B0EA6" w:rsidP="007B0EA6">
            <w:pPr>
              <w:pStyle w:val="ListBullet"/>
            </w:pPr>
            <w:r w:rsidRPr="007B0EA6">
              <w:t>awareness of danger zone for kickback</w:t>
            </w:r>
          </w:p>
          <w:p w:rsidR="00000000" w:rsidRPr="007B0EA6" w:rsidP="007B0EA6">
            <w:pPr>
              <w:pStyle w:val="ListBullet"/>
            </w:pPr>
            <w:r w:rsidRPr="007B0EA6">
              <w:t>manual handling including shifting, lifting and carrying</w:t>
            </w:r>
          </w:p>
          <w:p w:rsidR="00000000" w:rsidRPr="007B0EA6" w:rsidP="007B0EA6">
            <w:pPr>
              <w:pStyle w:val="ListBullet"/>
            </w:pPr>
            <w:r w:rsidRPr="007B0EA6">
              <w:t>potential falling objects</w:t>
            </w:r>
          </w:p>
          <w:p w:rsidR="00000000" w:rsidRPr="007B0EA6" w:rsidP="007B0EA6">
            <w:pPr>
              <w:pStyle w:val="ListBullet"/>
            </w:pPr>
            <w:r w:rsidRPr="007B0EA6">
              <w:t>procedures for cu</w:t>
            </w:r>
            <w:r w:rsidRPr="007B0EA6">
              <w:t>tting on slopes</w:t>
            </w:r>
          </w:p>
          <w:p w:rsidR="00000000" w:rsidP="007B0EA6">
            <w:pPr>
              <w:pStyle w:val="ListBullet"/>
              <w:rPr>
                <w:lang w:val="en-NZ"/>
              </w:rPr>
            </w:pPr>
            <w:r w:rsidRPr="007B0EA6">
              <w:t>location of other workers</w:t>
            </w:r>
          </w:p>
        </w:tc>
      </w:tr>
      <w:tr w:rsidTr="008755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rPr>
                <w:rStyle w:val="SpecialBold"/>
              </w:rPr>
              <w:t>Legislative requirements</w:t>
            </w:r>
            <w:r w:rsidRPr="007B0EA6">
              <w:t>:</w:t>
            </w:r>
          </w:p>
        </w:tc>
        <w:tc>
          <w:tcPr>
            <w:tcW w:w="4991" w:type="dxa"/>
            <w:tcBorders>
              <w:top w:val="nil"/>
              <w:left w:val="nil"/>
              <w:bottom w:val="nil"/>
              <w:right w:val="nil"/>
            </w:tcBorders>
            <w:tcMar>
              <w:top w:w="0" w:type="dxa"/>
              <w:left w:w="62" w:type="dxa"/>
              <w:bottom w:w="0" w:type="dxa"/>
              <w:right w:w="62" w:type="dxa"/>
            </w:tcMar>
          </w:tcPr>
          <w:p w:rsidR="00000000" w:rsidRPr="007B0EA6" w:rsidP="007B0EA6">
            <w:pPr>
              <w:pStyle w:val="BodyText"/>
            </w:pPr>
            <w:r w:rsidRPr="007B0EA6">
              <w:t>are to be in line with applicable Commonwealth, State or Territory legislation, regulations, certification requirements and codes of practice and may include:</w:t>
            </w:r>
          </w:p>
          <w:p w:rsidR="00000000" w:rsidRPr="007B0EA6" w:rsidP="007B0EA6">
            <w:pPr>
              <w:pStyle w:val="ListBullet"/>
            </w:pPr>
            <w:r w:rsidRPr="007B0EA6">
              <w:t>Australian Standards</w:t>
            </w:r>
          </w:p>
          <w:p w:rsidR="00000000" w:rsidRPr="007B0EA6" w:rsidP="007B0EA6">
            <w:pPr>
              <w:pStyle w:val="ListBullet"/>
            </w:pPr>
            <w:r w:rsidRPr="007B0EA6">
              <w:t>OHS</w:t>
            </w:r>
          </w:p>
          <w:p w:rsidR="00000000" w:rsidRPr="007B0EA6" w:rsidP="007B0EA6">
            <w:pPr>
              <w:pStyle w:val="ListBullet"/>
            </w:pPr>
            <w:r w:rsidRPr="007B0EA6">
              <w:t>the environment</w:t>
            </w:r>
          </w:p>
          <w:p w:rsidR="00000000" w:rsidRPr="007B0EA6" w:rsidP="007B0EA6">
            <w:pPr>
              <w:pStyle w:val="ListBullet"/>
            </w:pPr>
            <w:r w:rsidRPr="007B0EA6">
              <w:t>equal opportunity</w:t>
            </w:r>
          </w:p>
          <w:p w:rsidR="00000000" w:rsidRPr="007B0EA6" w:rsidP="007B0EA6">
            <w:pPr>
              <w:pStyle w:val="ListBullet"/>
            </w:pPr>
            <w:r w:rsidRPr="007B0EA6">
              <w:t>relevant industry codes of practice</w:t>
            </w:r>
          </w:p>
          <w:p w:rsidR="00000000" w:rsidRPr="007B0EA6" w:rsidP="007B0EA6">
            <w:pPr>
              <w:pStyle w:val="ListBullet"/>
            </w:pPr>
            <w:r w:rsidRPr="007B0EA6">
              <w:t>award and enterprise agreements</w:t>
            </w:r>
          </w:p>
          <w:p w:rsidR="00000000" w:rsidRPr="007B0EA6" w:rsidP="007B0EA6">
            <w:pPr>
              <w:pStyle w:val="ListBullet"/>
            </w:pPr>
            <w:r w:rsidRPr="007B0EA6">
              <w:t>industrial relations</w:t>
            </w:r>
          </w:p>
          <w:p w:rsidR="00000000" w:rsidRPr="007B0EA6" w:rsidP="007B0EA6">
            <w:pPr>
              <w:pStyle w:val="ListBullet"/>
            </w:pPr>
            <w:r w:rsidRPr="007B0EA6">
              <w:t>confidentiality and privacy</w:t>
            </w:r>
          </w:p>
          <w:p w:rsidR="00000000" w:rsidRPr="007B0EA6" w:rsidP="007B0EA6">
            <w:pPr>
              <w:pStyle w:val="ListBullet"/>
            </w:pPr>
            <w:r w:rsidRPr="007B0EA6">
              <w:t>duty of care</w:t>
            </w:r>
          </w:p>
          <w:p w:rsidR="00000000" w:rsidP="007B0EA6">
            <w:pPr>
              <w:pStyle w:val="ListBullet"/>
              <w:rPr>
                <w:lang w:val="en-NZ"/>
              </w:rPr>
            </w:pPr>
            <w:r w:rsidRPr="007B0EA6">
              <w:t>heritage and traditional land owner issues</w:t>
            </w:r>
          </w:p>
        </w:tc>
      </w:tr>
      <w:tr w:rsidTr="008755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rPr>
                <w:rStyle w:val="SpecialBold"/>
              </w:rPr>
              <w:t>Organisational requirements</w:t>
            </w:r>
            <w:r w:rsidRPr="007B0EA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B0EA6" w:rsidP="007B0EA6">
            <w:pPr>
              <w:pStyle w:val="ListBullet"/>
            </w:pPr>
            <w:r w:rsidRPr="007B0EA6">
              <w:t xml:space="preserve"> legal</w:t>
            </w:r>
          </w:p>
          <w:p w:rsidR="00000000" w:rsidRPr="007B0EA6" w:rsidP="007B0EA6">
            <w:pPr>
              <w:pStyle w:val="ListBullet"/>
            </w:pPr>
            <w:r w:rsidRPr="007B0EA6">
              <w:t>organisational and site guidelines</w:t>
            </w:r>
          </w:p>
          <w:p w:rsidR="00000000" w:rsidRPr="007B0EA6" w:rsidP="007B0EA6">
            <w:pPr>
              <w:pStyle w:val="ListBullet"/>
            </w:pPr>
            <w:r w:rsidRPr="007B0EA6">
              <w:t>policies and procedures relating to own role and responsibility</w:t>
            </w:r>
          </w:p>
          <w:p w:rsidR="00000000" w:rsidRPr="007B0EA6" w:rsidP="007B0EA6">
            <w:pPr>
              <w:pStyle w:val="ListBullet"/>
            </w:pPr>
            <w:r w:rsidRPr="007B0EA6">
              <w:t>quality assurance</w:t>
            </w:r>
          </w:p>
          <w:p w:rsidR="00000000" w:rsidRPr="007B0EA6" w:rsidP="007B0EA6">
            <w:pPr>
              <w:pStyle w:val="ListBullet"/>
            </w:pPr>
            <w:r w:rsidRPr="007B0EA6">
              <w:t xml:space="preserve">procedural manuals </w:t>
            </w:r>
          </w:p>
          <w:p w:rsidR="00000000" w:rsidRPr="007B0EA6" w:rsidP="007B0EA6">
            <w:pPr>
              <w:pStyle w:val="ListBullet"/>
            </w:pPr>
            <w:r w:rsidRPr="007B0EA6">
              <w:t>quality and continuous improvement processes and standards</w:t>
            </w:r>
          </w:p>
          <w:p w:rsidR="00000000" w:rsidRPr="007B0EA6" w:rsidP="007B0EA6">
            <w:pPr>
              <w:pStyle w:val="ListBullet"/>
            </w:pPr>
            <w:r w:rsidRPr="007B0EA6">
              <w:t>OHS</w:t>
            </w:r>
          </w:p>
          <w:p w:rsidR="00000000" w:rsidRPr="007B0EA6" w:rsidP="007B0EA6">
            <w:pPr>
              <w:pStyle w:val="ListBullet"/>
            </w:pPr>
            <w:r w:rsidRPr="007B0EA6">
              <w:t>emergency and evacuation procedures</w:t>
            </w:r>
          </w:p>
          <w:p w:rsidR="00000000" w:rsidRPr="007B0EA6" w:rsidP="007B0EA6">
            <w:pPr>
              <w:pStyle w:val="ListBullet"/>
            </w:pPr>
            <w:r w:rsidRPr="007B0EA6">
              <w:t>fire prevention procedures</w:t>
            </w:r>
          </w:p>
          <w:p w:rsidR="00000000" w:rsidRPr="007B0EA6" w:rsidP="007B0EA6">
            <w:pPr>
              <w:pStyle w:val="ListBullet"/>
            </w:pPr>
            <w:r w:rsidRPr="007B0EA6">
              <w:t>recording and reporting requirements</w:t>
            </w:r>
          </w:p>
          <w:p w:rsidR="00000000" w:rsidRPr="007B0EA6" w:rsidP="007B0EA6">
            <w:pPr>
              <w:pStyle w:val="ListBullet"/>
            </w:pPr>
            <w:r w:rsidRPr="007B0EA6">
              <w:t>equipment use and maintenance and storage requirements</w:t>
            </w:r>
          </w:p>
          <w:p w:rsidR="00000000" w:rsidRPr="007B0EA6" w:rsidP="007B0EA6">
            <w:pPr>
              <w:pStyle w:val="ListBullet"/>
            </w:pPr>
            <w:r w:rsidRPr="007B0EA6">
              <w:t>environmental management requirements (waste disposal, recycling and re-use guidelines)</w:t>
            </w:r>
          </w:p>
          <w:p w:rsidR="00000000" w:rsidP="007B0EA6">
            <w:pPr>
              <w:pStyle w:val="ListBullet"/>
              <w:rPr>
                <w:lang w:val="en-NZ"/>
              </w:rPr>
            </w:pPr>
            <w:r w:rsidRPr="007B0EA6">
              <w:t>access and equity principles and practices</w:t>
            </w:r>
          </w:p>
        </w:tc>
      </w:tr>
      <w:tr w:rsidTr="008755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rPr>
                <w:rStyle w:val="SpecialBold"/>
              </w:rPr>
              <w:t>Mater</w:t>
            </w:r>
            <w:r w:rsidRPr="007B0EA6">
              <w:rPr>
                <w:rStyle w:val="SpecialBold"/>
              </w:rPr>
              <w:t>ials</w:t>
            </w:r>
            <w:r w:rsidRPr="007B0EA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B0EA6" w:rsidP="007B0EA6">
            <w:pPr>
              <w:pStyle w:val="ListBullet"/>
            </w:pPr>
            <w:r w:rsidRPr="007B0EA6">
              <w:t>logs</w:t>
            </w:r>
          </w:p>
          <w:p w:rsidR="00000000" w:rsidRPr="007B0EA6" w:rsidP="007B0EA6">
            <w:pPr>
              <w:pStyle w:val="ListBullet"/>
            </w:pPr>
            <w:r w:rsidRPr="007B0EA6">
              <w:t>packs of timber</w:t>
            </w:r>
          </w:p>
          <w:p w:rsidR="00000000" w:rsidP="007B0EA6">
            <w:pPr>
              <w:pStyle w:val="ListBullet"/>
              <w:rPr>
                <w:lang w:val="en-NZ"/>
              </w:rPr>
            </w:pPr>
            <w:r w:rsidRPr="007B0EA6">
              <w:t>individual pieces of timber</w:t>
            </w:r>
          </w:p>
        </w:tc>
      </w:tr>
      <w:tr w:rsidTr="008755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rPr>
                <w:rStyle w:val="SpecialBold"/>
              </w:rPr>
              <w:t>Job requirements</w:t>
            </w:r>
            <w:r w:rsidRPr="007B0EA6">
              <w:t xml:space="preserve"> relate to: </w:t>
            </w:r>
          </w:p>
        </w:tc>
        <w:tc>
          <w:tcPr>
            <w:tcW w:w="4991" w:type="dxa"/>
            <w:tcBorders>
              <w:top w:val="nil"/>
              <w:left w:val="nil"/>
              <w:bottom w:val="nil"/>
              <w:right w:val="nil"/>
            </w:tcBorders>
            <w:tcMar>
              <w:top w:w="0" w:type="dxa"/>
              <w:left w:w="62" w:type="dxa"/>
              <w:bottom w:w="0" w:type="dxa"/>
              <w:right w:w="62" w:type="dxa"/>
            </w:tcMar>
          </w:tcPr>
          <w:p w:rsidR="00000000" w:rsidRPr="007B0EA6" w:rsidP="007B0EA6">
            <w:pPr>
              <w:pStyle w:val="BodyText"/>
            </w:pPr>
            <w:r w:rsidRPr="007B0EA6">
              <w:t>information and instructions relevant to cutting operations including:</w:t>
            </w:r>
          </w:p>
          <w:p w:rsidR="00000000" w:rsidRPr="007B0EA6" w:rsidP="007B0EA6">
            <w:pPr>
              <w:pStyle w:val="ListBullet"/>
            </w:pPr>
            <w:r w:rsidRPr="007B0EA6">
              <w:t>processing location details</w:t>
            </w:r>
          </w:p>
          <w:p w:rsidR="00000000" w:rsidRPr="007B0EA6" w:rsidP="007B0EA6">
            <w:pPr>
              <w:pStyle w:val="ListBullet"/>
            </w:pPr>
            <w:r w:rsidRPr="007B0EA6">
              <w:t>materials to be cut</w:t>
            </w:r>
          </w:p>
          <w:p w:rsidR="00000000" w:rsidRPr="007B0EA6" w:rsidP="007B0EA6">
            <w:pPr>
              <w:pStyle w:val="ListBullet"/>
            </w:pPr>
            <w:r w:rsidRPr="007B0EA6">
              <w:t>environmental requirements and features</w:t>
            </w:r>
          </w:p>
          <w:p w:rsidR="00000000" w:rsidRPr="007B0EA6" w:rsidP="007B0EA6">
            <w:pPr>
              <w:pStyle w:val="ListBullet"/>
            </w:pPr>
            <w:r w:rsidRPr="007B0EA6">
              <w:t xml:space="preserve">site plan </w:t>
            </w:r>
          </w:p>
          <w:p w:rsidR="00000000" w:rsidP="007B0EA6">
            <w:pPr>
              <w:pStyle w:val="BodyText"/>
              <w:rPr>
                <w:lang w:val="en-NZ"/>
              </w:rPr>
            </w:pPr>
            <w:r w:rsidRPr="007B0EA6">
              <w:t>and may be verbal</w:t>
            </w:r>
          </w:p>
        </w:tc>
      </w:tr>
      <w:tr w:rsidTr="008755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rPr>
                <w:rStyle w:val="SpecialBold"/>
              </w:rPr>
              <w:t>Appropriate personnel</w:t>
            </w:r>
            <w:r w:rsidRPr="007B0EA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B0EA6" w:rsidP="007B0EA6">
            <w:pPr>
              <w:pStyle w:val="ListBullet"/>
            </w:pPr>
            <w:r w:rsidRPr="007B0EA6">
              <w:t>supervisors</w:t>
            </w:r>
          </w:p>
          <w:p w:rsidR="00000000" w:rsidRPr="007B0EA6" w:rsidP="007B0EA6">
            <w:pPr>
              <w:pStyle w:val="ListBullet"/>
            </w:pPr>
            <w:r w:rsidRPr="007B0EA6">
              <w:t>clients</w:t>
            </w:r>
          </w:p>
          <w:p w:rsidR="00000000" w:rsidRPr="007B0EA6" w:rsidP="007B0EA6">
            <w:pPr>
              <w:pStyle w:val="ListBullet"/>
            </w:pPr>
            <w:r w:rsidRPr="007B0EA6">
              <w:t>colleagues</w:t>
            </w:r>
          </w:p>
          <w:p w:rsidR="00000000" w:rsidP="007B0EA6">
            <w:pPr>
              <w:pStyle w:val="ListBullet"/>
              <w:rPr>
                <w:lang w:val="en-NZ"/>
              </w:rPr>
            </w:pPr>
            <w:r w:rsidRPr="007B0EA6">
              <w:t>line management</w:t>
            </w:r>
          </w:p>
        </w:tc>
      </w:tr>
      <w:tr w:rsidTr="008755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rPr>
                <w:rStyle w:val="SpecialBold"/>
              </w:rPr>
              <w:t>Tools and equipment</w:t>
            </w:r>
            <w:r w:rsidRPr="007B0EA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B0EA6" w:rsidP="007B0EA6">
            <w:pPr>
              <w:pStyle w:val="ListBullet"/>
            </w:pPr>
            <w:r w:rsidRPr="007B0EA6">
              <w:t>chainsaws</w:t>
            </w:r>
          </w:p>
          <w:p w:rsidR="00000000" w:rsidRPr="007B0EA6" w:rsidP="007B0EA6">
            <w:pPr>
              <w:pStyle w:val="ListBullet"/>
            </w:pPr>
            <w:r w:rsidRPr="007B0EA6">
              <w:t>specific safety attire</w:t>
            </w:r>
          </w:p>
          <w:p w:rsidR="00000000" w:rsidP="007B0EA6">
            <w:pPr>
              <w:pStyle w:val="ListBullet"/>
              <w:rPr>
                <w:lang w:val="en-NZ"/>
              </w:rPr>
            </w:pPr>
            <w:r w:rsidRPr="007B0EA6">
              <w:t>maintenance tools</w:t>
            </w:r>
          </w:p>
        </w:tc>
      </w:tr>
      <w:tr w:rsidTr="008755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rPr>
                <w:rStyle w:val="SpecialBold"/>
              </w:rPr>
              <w:t>Communication</w:t>
            </w:r>
            <w:r w:rsidRPr="007B0EA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B0EA6" w:rsidP="007B0EA6">
            <w:pPr>
              <w:pStyle w:val="ListBullet"/>
            </w:pPr>
            <w:r w:rsidRPr="007B0EA6">
              <w:t>verbal and non-verbal language</w:t>
            </w:r>
          </w:p>
          <w:p w:rsidR="00000000" w:rsidRPr="007B0EA6" w:rsidP="007B0EA6">
            <w:pPr>
              <w:pStyle w:val="ListBullet"/>
            </w:pPr>
            <w:r w:rsidRPr="007B0EA6">
              <w:t>hand or other agreed signals</w:t>
            </w:r>
          </w:p>
          <w:p w:rsidR="00000000" w:rsidRPr="007B0EA6" w:rsidP="007B0EA6">
            <w:pPr>
              <w:pStyle w:val="ListBullet"/>
            </w:pPr>
            <w:r w:rsidRPr="007B0EA6">
              <w:t>eye contact with other operators or personnel</w:t>
            </w:r>
          </w:p>
          <w:p w:rsidR="00000000" w:rsidP="007B0EA6">
            <w:pPr>
              <w:pStyle w:val="ListBullet"/>
              <w:rPr>
                <w:lang w:val="en-NZ"/>
              </w:rPr>
            </w:pPr>
            <w:r w:rsidRPr="007B0EA6">
              <w:t xml:space="preserve">use of electronic devices </w:t>
            </w:r>
          </w:p>
        </w:tc>
      </w:tr>
      <w:tr w:rsidTr="008755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rPr>
                <w:rStyle w:val="SpecialBold"/>
              </w:rPr>
              <w:t>Cleared</w:t>
            </w:r>
            <w:r w:rsidRPr="007B0EA6">
              <w:t xml:space="preserve"> </w:t>
            </w:r>
          </w:p>
        </w:tc>
        <w:tc>
          <w:tcPr>
            <w:tcW w:w="4991" w:type="dxa"/>
            <w:tcBorders>
              <w:top w:val="nil"/>
              <w:left w:val="nil"/>
              <w:bottom w:val="nil"/>
              <w:right w:val="nil"/>
            </w:tcBorders>
            <w:tcMar>
              <w:top w:w="0" w:type="dxa"/>
              <w:left w:w="62" w:type="dxa"/>
              <w:bottom w:w="0" w:type="dxa"/>
              <w:right w:w="62" w:type="dxa"/>
            </w:tcMar>
          </w:tcPr>
          <w:p w:rsidR="00000000" w:rsidRPr="007B0EA6" w:rsidP="007B0EA6">
            <w:pPr>
              <w:pStyle w:val="BodyText"/>
            </w:pPr>
            <w:r w:rsidRPr="007B0EA6">
              <w:t>refers to work area and may include:</w:t>
            </w:r>
          </w:p>
          <w:p w:rsidR="00000000" w:rsidRPr="007B0EA6" w:rsidP="007B0EA6">
            <w:pPr>
              <w:pStyle w:val="ListBullet"/>
            </w:pPr>
            <w:r w:rsidRPr="007B0EA6">
              <w:t>clearing the work area of off-cuts and shorts</w:t>
            </w:r>
          </w:p>
          <w:p w:rsidR="00000000" w:rsidRPr="007B0EA6" w:rsidP="007B0EA6">
            <w:pPr>
              <w:pStyle w:val="ListBullet"/>
            </w:pPr>
            <w:r w:rsidRPr="007B0EA6">
              <w:t>ensuring saw c</w:t>
            </w:r>
            <w:r w:rsidRPr="007B0EA6">
              <w:t>learance around material</w:t>
            </w:r>
          </w:p>
          <w:p w:rsidR="00000000" w:rsidRPr="007B0EA6" w:rsidP="007B0EA6">
            <w:pPr>
              <w:pStyle w:val="ListBullet"/>
            </w:pPr>
            <w:r w:rsidRPr="007B0EA6">
              <w:t>depositing off-cuts, shorts and debris in recognised areas</w:t>
            </w:r>
          </w:p>
          <w:p w:rsidR="00000000" w:rsidP="007B0EA6">
            <w:pPr>
              <w:pStyle w:val="ListBullet"/>
              <w:rPr>
                <w:lang w:val="en-NZ"/>
              </w:rPr>
            </w:pPr>
            <w:r w:rsidRPr="007B0EA6">
              <w:t>clearing surfaces of debris likely to cause saw damage in the cutting area</w:t>
            </w:r>
          </w:p>
        </w:tc>
      </w:tr>
      <w:tr w:rsidTr="008755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rPr>
                <w:rStyle w:val="SpecialBold"/>
              </w:rPr>
              <w:t>Supports</w:t>
            </w:r>
          </w:p>
        </w:tc>
        <w:tc>
          <w:tcPr>
            <w:tcW w:w="4991" w:type="dxa"/>
            <w:tcBorders>
              <w:top w:val="nil"/>
              <w:left w:val="nil"/>
              <w:bottom w:val="nil"/>
              <w:right w:val="nil"/>
            </w:tcBorders>
            <w:tcMar>
              <w:top w:w="0" w:type="dxa"/>
              <w:left w:w="62" w:type="dxa"/>
              <w:bottom w:w="0" w:type="dxa"/>
              <w:right w:w="62" w:type="dxa"/>
            </w:tcMar>
          </w:tcPr>
          <w:p w:rsidR="00000000" w:rsidRPr="007B0EA6" w:rsidP="007B0EA6">
            <w:pPr>
              <w:pStyle w:val="BodyText"/>
            </w:pPr>
            <w:r w:rsidRPr="007B0EA6">
              <w:t>are timber or mechanical apparatus that are put under material to stabilise and give clearance to ground and may include:</w:t>
            </w:r>
          </w:p>
          <w:p w:rsidR="00000000" w:rsidRPr="007B0EA6" w:rsidP="007B0EA6">
            <w:pPr>
              <w:pStyle w:val="ListBullet"/>
            </w:pPr>
            <w:r w:rsidRPr="007B0EA6">
              <w:t>timber bearers</w:t>
            </w:r>
          </w:p>
          <w:p w:rsidR="00000000" w:rsidRPr="007B0EA6" w:rsidP="007B0EA6">
            <w:pPr>
              <w:pStyle w:val="ListBullet"/>
            </w:pPr>
            <w:r w:rsidRPr="007B0EA6">
              <w:t>specific frames/benches</w:t>
            </w:r>
          </w:p>
          <w:p w:rsidR="00000000" w:rsidP="007B0EA6">
            <w:pPr>
              <w:pStyle w:val="ListBullet"/>
              <w:rPr>
                <w:lang w:val="en-NZ"/>
              </w:rPr>
            </w:pPr>
            <w:r w:rsidRPr="007B0EA6">
              <w:t>timber/steel trolleys</w:t>
            </w:r>
          </w:p>
        </w:tc>
      </w:tr>
      <w:tr w:rsidTr="008755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rPr>
                <w:rStyle w:val="SpecialBold"/>
              </w:rPr>
              <w:t>Cutting techniques</w:t>
            </w:r>
            <w:r w:rsidRPr="007B0EA6">
              <w:t xml:space="preserve"> may relate to:</w:t>
            </w:r>
          </w:p>
        </w:tc>
        <w:tc>
          <w:tcPr>
            <w:tcW w:w="4991" w:type="dxa"/>
            <w:tcBorders>
              <w:top w:val="nil"/>
              <w:left w:val="nil"/>
              <w:bottom w:val="nil"/>
              <w:right w:val="nil"/>
            </w:tcBorders>
            <w:tcMar>
              <w:top w:w="0" w:type="dxa"/>
              <w:left w:w="62" w:type="dxa"/>
              <w:bottom w:w="0" w:type="dxa"/>
              <w:right w:w="62" w:type="dxa"/>
            </w:tcMar>
          </w:tcPr>
          <w:p w:rsidR="00000000" w:rsidRPr="007B0EA6" w:rsidP="007B0EA6">
            <w:pPr>
              <w:pStyle w:val="ListBullet"/>
            </w:pPr>
            <w:r w:rsidRPr="007B0EA6">
              <w:t>cutting positions</w:t>
            </w:r>
          </w:p>
          <w:p w:rsidR="00000000" w:rsidRPr="007B0EA6" w:rsidP="007B0EA6">
            <w:pPr>
              <w:pStyle w:val="ListBullet"/>
            </w:pPr>
            <w:r w:rsidRPr="007B0EA6">
              <w:t>work order requirements</w:t>
            </w:r>
          </w:p>
          <w:p w:rsidR="00000000" w:rsidRPr="007B0EA6" w:rsidP="007B0EA6">
            <w:pPr>
              <w:pStyle w:val="ListBullet"/>
            </w:pPr>
            <w:r w:rsidRPr="007B0EA6">
              <w:t>industry standard lengths</w:t>
            </w:r>
          </w:p>
          <w:p w:rsidR="00000000" w:rsidRPr="007B0EA6" w:rsidP="007B0EA6">
            <w:pPr>
              <w:pStyle w:val="ListBullet"/>
            </w:pPr>
            <w:r w:rsidRPr="007B0EA6">
              <w:t>cutting patterns</w:t>
            </w:r>
          </w:p>
          <w:p w:rsidR="00000000" w:rsidRPr="007B0EA6" w:rsidP="007B0EA6">
            <w:pPr>
              <w:pStyle w:val="ListBullet"/>
            </w:pPr>
            <w:r w:rsidRPr="007B0EA6">
              <w:t>maximising volume and quality of recovery</w:t>
            </w:r>
          </w:p>
          <w:p w:rsidR="00000000" w:rsidRPr="007B0EA6" w:rsidP="007B0EA6">
            <w:pPr>
              <w:pStyle w:val="ListBullet"/>
            </w:pPr>
            <w:r w:rsidRPr="007B0EA6">
              <w:t>securing the section on each side of the planned cut</w:t>
            </w:r>
          </w:p>
          <w:p w:rsidR="00000000" w:rsidP="007B0EA6">
            <w:pPr>
              <w:pStyle w:val="ListBullet"/>
              <w:rPr>
                <w:lang w:val="en-NZ"/>
              </w:rPr>
            </w:pPr>
            <w:r w:rsidRPr="007B0EA6">
              <w:t>cutting procedures to ensure saw clearance around the material to minimise capping and splitting of material</w:t>
            </w:r>
          </w:p>
        </w:tc>
      </w:tr>
      <w:tr w:rsidTr="008755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rPr>
                <w:rStyle w:val="SpecialBold"/>
              </w:rPr>
              <w:t>Records and reports</w:t>
            </w:r>
            <w:r w:rsidRPr="007B0EA6">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B0EA6" w:rsidP="007B0EA6">
            <w:pPr>
              <w:pStyle w:val="ListBullet"/>
            </w:pPr>
            <w:r w:rsidRPr="007B0EA6">
              <w:t xml:space="preserve">log book recording of maintenance outcomes, faults, malfunctions and damage, hazards and incidents </w:t>
            </w:r>
          </w:p>
          <w:p w:rsidR="00000000" w:rsidP="007B0EA6">
            <w:pPr>
              <w:pStyle w:val="ListBullet"/>
              <w:rPr>
                <w:lang w:val="en-NZ"/>
              </w:rPr>
            </w:pPr>
            <w:r w:rsidRPr="007B0EA6">
              <w:t>may be compi</w:t>
            </w:r>
            <w:r w:rsidRPr="007B0EA6">
              <w:t>led using a computer-based system or other appropriate organisational communication system to record and report</w:t>
            </w:r>
          </w:p>
        </w:tc>
      </w:tr>
      <w:tr w:rsidTr="008755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rPr>
                <w:rStyle w:val="SpecialBold"/>
              </w:rPr>
              <w:t>Problems</w:t>
            </w:r>
            <w:r w:rsidRPr="007B0EA6">
              <w:t xml:space="preserve"> </w:t>
            </w:r>
          </w:p>
        </w:tc>
        <w:tc>
          <w:tcPr>
            <w:tcW w:w="4991" w:type="dxa"/>
            <w:tcBorders>
              <w:top w:val="nil"/>
              <w:left w:val="nil"/>
              <w:bottom w:val="nil"/>
              <w:right w:val="nil"/>
            </w:tcBorders>
            <w:tcMar>
              <w:top w:w="0" w:type="dxa"/>
              <w:left w:w="62" w:type="dxa"/>
              <w:bottom w:w="0" w:type="dxa"/>
              <w:right w:w="62" w:type="dxa"/>
            </w:tcMar>
          </w:tcPr>
          <w:p w:rsidR="00000000" w:rsidRPr="007B0EA6" w:rsidP="007B0EA6">
            <w:pPr>
              <w:pStyle w:val="BodyText"/>
            </w:pPr>
            <w:r w:rsidRPr="007B0EA6">
              <w:t>may occur in relation to:</w:t>
            </w:r>
          </w:p>
          <w:p w:rsidR="00000000" w:rsidRPr="007B0EA6" w:rsidP="007B0EA6">
            <w:pPr>
              <w:pStyle w:val="ListBullet"/>
            </w:pPr>
            <w:r w:rsidRPr="007B0EA6">
              <w:t>defects in material</w:t>
            </w:r>
          </w:p>
          <w:p w:rsidR="00000000" w:rsidRPr="007B0EA6" w:rsidP="007B0EA6">
            <w:pPr>
              <w:pStyle w:val="ListBullet"/>
            </w:pPr>
            <w:r w:rsidRPr="007B0EA6">
              <w:t>performance of chainsaw</w:t>
            </w:r>
          </w:p>
          <w:p w:rsidR="00000000" w:rsidRPr="007B0EA6" w:rsidP="007B0EA6">
            <w:pPr>
              <w:pStyle w:val="ListBullet"/>
            </w:pPr>
            <w:r w:rsidRPr="007B0EA6">
              <w:t>communication</w:t>
            </w:r>
          </w:p>
          <w:p w:rsidR="00000000" w:rsidRPr="007B0EA6" w:rsidP="007B0EA6">
            <w:pPr>
              <w:pStyle w:val="ListBullet"/>
            </w:pPr>
            <w:r w:rsidRPr="007B0EA6">
              <w:t>hazards and risks at the work site</w:t>
            </w:r>
          </w:p>
          <w:p w:rsidR="00000000" w:rsidRPr="007B0EA6" w:rsidP="007B0EA6">
            <w:pPr>
              <w:pStyle w:val="ListBullet"/>
            </w:pPr>
            <w:r w:rsidRPr="007B0EA6">
              <w:t>capping and s</w:t>
            </w:r>
            <w:r w:rsidRPr="007B0EA6">
              <w:t xml:space="preserve">plitting of material </w:t>
            </w:r>
          </w:p>
          <w:p w:rsidR="00000000" w:rsidP="007B0EA6">
            <w:pPr>
              <w:pStyle w:val="ListBullet"/>
              <w:rPr>
                <w:lang w:val="en-NZ"/>
              </w:rPr>
            </w:pPr>
            <w:r w:rsidRPr="007B0EA6">
              <w:t>danger zone for kickback</w:t>
            </w:r>
          </w:p>
        </w:tc>
      </w:tr>
      <w:tr w:rsidTr="008755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rPr>
                <w:rStyle w:val="SpecialBold"/>
              </w:rPr>
              <w:t>Maintained</w:t>
            </w:r>
          </w:p>
        </w:tc>
        <w:tc>
          <w:tcPr>
            <w:tcW w:w="4991" w:type="dxa"/>
            <w:tcBorders>
              <w:top w:val="nil"/>
              <w:left w:val="nil"/>
              <w:bottom w:val="nil"/>
              <w:right w:val="nil"/>
            </w:tcBorders>
            <w:tcMar>
              <w:top w:w="0" w:type="dxa"/>
              <w:left w:w="62" w:type="dxa"/>
              <w:bottom w:w="0" w:type="dxa"/>
              <w:right w:w="62" w:type="dxa"/>
            </w:tcMar>
          </w:tcPr>
          <w:p w:rsidR="00000000" w:rsidRPr="007B0EA6" w:rsidP="007B0EA6">
            <w:pPr>
              <w:pStyle w:val="BodyText"/>
            </w:pPr>
            <w:r w:rsidRPr="007B0EA6">
              <w:t>refers to maintenance during operation to optimise saw performance and includes:</w:t>
            </w:r>
          </w:p>
          <w:p w:rsidR="00000000" w:rsidRPr="007B0EA6" w:rsidP="007B0EA6">
            <w:pPr>
              <w:pStyle w:val="ListBullet"/>
            </w:pPr>
            <w:r w:rsidRPr="007B0EA6">
              <w:t>refuelling</w:t>
            </w:r>
          </w:p>
          <w:p w:rsidR="00000000" w:rsidRPr="007B0EA6" w:rsidP="007B0EA6">
            <w:pPr>
              <w:pStyle w:val="ListBullet"/>
            </w:pPr>
            <w:r w:rsidRPr="007B0EA6">
              <w:t>bar checks and oil top up</w:t>
            </w:r>
          </w:p>
          <w:p w:rsidR="00000000" w:rsidRPr="007B0EA6" w:rsidP="007B0EA6">
            <w:pPr>
              <w:pStyle w:val="ListBullet"/>
            </w:pPr>
            <w:r w:rsidRPr="007B0EA6">
              <w:t>air filter check, clean and replacement</w:t>
            </w:r>
          </w:p>
          <w:p w:rsidR="00000000" w:rsidRPr="007B0EA6" w:rsidP="007B0EA6">
            <w:pPr>
              <w:pStyle w:val="ListBullet"/>
            </w:pPr>
            <w:r w:rsidRPr="007B0EA6">
              <w:t>cleaning of saw body, air intake vents and cooling fans</w:t>
            </w:r>
          </w:p>
          <w:p w:rsidR="00000000" w:rsidRPr="007B0EA6" w:rsidP="007B0EA6">
            <w:pPr>
              <w:pStyle w:val="ListBullet"/>
            </w:pPr>
            <w:r w:rsidRPr="007B0EA6">
              <w:t>fitting spare chain and tension chain</w:t>
            </w:r>
          </w:p>
        </w:tc>
      </w:tr>
    </w:tbl>
    <w:p w:rsidR="00875511" w:rsidP="007B0EA6">
      <w:pPr>
        <w:pStyle w:val="BodyText"/>
      </w:pPr>
    </w:p>
    <w:p w:rsidR="00875511" w:rsidP="007B0EA6">
      <w:pPr>
        <w:pStyle w:val="BodyText"/>
      </w:pPr>
    </w:p>
    <w:p w:rsidR="00000000" w:rsidRPr="007B0EA6" w:rsidP="007B0EA6">
      <w:pPr>
        <w:pStyle w:val="Heading1"/>
      </w:pPr>
      <w:bookmarkStart w:id="12" w:name="O_620825"/>
      <w:bookmarkEnd w:id="12"/>
      <w:r w:rsidRPr="007B0EA6">
        <w:t>Unit Sector(s)</w:t>
      </w:r>
    </w:p>
    <w:p w:rsidR="00000000" w:rsidRPr="007B0EA6" w:rsidP="007B0EA6">
      <w:pPr>
        <w:pStyle w:val="BodyText"/>
      </w:pPr>
      <w:r w:rsidRPr="007B0EA6">
        <w:t>Not Applicable</w:t>
      </w:r>
    </w:p>
    <w:p w:rsidR="00000000" w:rsidRPr="007B0EA6" w:rsidP="007B0EA6">
      <w:pPr>
        <w:pStyle w:val="AllowPageBreak"/>
      </w:pPr>
    </w:p>
    <w:p w:rsidR="00000000" w:rsidRPr="007B0EA6" w:rsidP="007B0EA6">
      <w:pPr>
        <w:pStyle w:val="Heading1"/>
      </w:pPr>
      <w:bookmarkStart w:id="13" w:name="O_620824"/>
      <w:bookmarkEnd w:id="13"/>
      <w:r w:rsidRPr="007B0EA6">
        <w:t>Competency field</w:t>
      </w:r>
    </w:p>
    <w:tbl>
      <w:tblPr>
        <w:tblW w:w="0" w:type="auto"/>
        <w:tblLayout w:type="fixed"/>
        <w:tblCellMar>
          <w:left w:w="62" w:type="dxa"/>
          <w:right w:w="62" w:type="dxa"/>
        </w:tblCellMar>
        <w:tblLook w:val="0000"/>
      </w:tblPr>
      <w:tblGrid>
        <w:gridCol w:w="2777"/>
        <w:gridCol w:w="5745"/>
      </w:tblGrid>
      <w:tr w:rsidTr="00875511">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7B0EA6">
            <w:pPr>
              <w:pStyle w:val="BodyText"/>
              <w:rPr>
                <w:lang w:val="en-NZ"/>
              </w:rPr>
            </w:pPr>
            <w:r w:rsidRPr="007B0EA6">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7B0EA6" w:rsidP="007B0EA6">
            <w:pPr>
              <w:pStyle w:val="BodyText"/>
            </w:pPr>
            <w:r w:rsidRPr="007B0EA6">
              <w:t>Common Technical</w:t>
            </w:r>
          </w:p>
        </w:tc>
      </w:tr>
    </w:tbl>
    <w:p w:rsidR="00875511" w:rsidP="007B0EA6">
      <w:pPr>
        <w:pStyle w:val="BodyText"/>
      </w:pPr>
    </w:p>
    <w:p w:rsidR="00875511" w:rsidP="007B0EA6">
      <w:pPr>
        <w:pStyle w:val="BodyText"/>
      </w:pPr>
    </w:p>
    <w:p w:rsidR="00000000" w:rsidRPr="007B0EA6" w:rsidP="007B0EA6"/>
    <w:sectPr w:rsidSect="007B0E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E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EA6" w:rsidRPr="00875511" w:rsidP="008755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E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511" w:rsidP="007B0E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875511" w:rsidP="007B0EA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875511" w:rsidP="007B0E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E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EA6" w:rsidRPr="00875511" w:rsidP="008755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E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511" w:rsidRPr="002D2AF8" w:rsidP="007B0EA6">
    <w:pPr>
      <w:pStyle w:val="Header"/>
      <w:framePr w:wrap="around"/>
    </w:pPr>
    <w:r>
      <w:fldChar w:fldCharType="begin"/>
    </w:r>
    <w:r>
      <w:instrText xml:space="preserve"> TITLE   \* MERGEFORMAT </w:instrText>
    </w:r>
    <w:r>
      <w:fldChar w:fldCharType="separate"/>
    </w:r>
    <w:r>
      <w:t>FPICOT2238A Cut materials with a hand-held chainsaw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October 2013</w:t>
    </w:r>
    <w:r>
      <w:fldChar w:fldCharType="end"/>
    </w:r>
  </w:p>
  <w:p w:rsidR="00875511" w:rsidP="007B0E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0221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CEB4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E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0EA6"/>
    <w:pPr>
      <w:spacing w:before="360" w:after="60"/>
      <w:outlineLvl w:val="0"/>
    </w:pPr>
    <w:rPr>
      <w:sz w:val="32"/>
    </w:rPr>
  </w:style>
  <w:style w:type="paragraph" w:styleId="Heading2">
    <w:name w:val="heading 2"/>
    <w:basedOn w:val="HeadingBase"/>
    <w:next w:val="BodyText"/>
    <w:link w:val="Heading2Char"/>
    <w:qFormat/>
    <w:rsid w:val="007B0EA6"/>
    <w:pPr>
      <w:keepLines/>
      <w:spacing w:before="240" w:after="120"/>
      <w:outlineLvl w:val="1"/>
    </w:pPr>
    <w:rPr>
      <w:sz w:val="28"/>
      <w:szCs w:val="40"/>
    </w:rPr>
  </w:style>
  <w:style w:type="paragraph" w:styleId="Heading3">
    <w:name w:val="heading 3"/>
    <w:basedOn w:val="HeadingBase"/>
    <w:next w:val="BodyText"/>
    <w:link w:val="Heading3Char"/>
    <w:qFormat/>
    <w:rsid w:val="007B0EA6"/>
    <w:pPr>
      <w:spacing w:before="180" w:after="120"/>
      <w:outlineLvl w:val="2"/>
    </w:pPr>
    <w:rPr>
      <w:spacing w:val="-10"/>
      <w:kern w:val="32"/>
    </w:rPr>
  </w:style>
  <w:style w:type="paragraph" w:styleId="Heading4">
    <w:name w:val="heading 4"/>
    <w:basedOn w:val="HeadingBase"/>
    <w:next w:val="BodyText"/>
    <w:link w:val="Heading4Char"/>
    <w:qFormat/>
    <w:rsid w:val="007B0EA6"/>
    <w:pPr>
      <w:spacing w:before="160" w:after="120"/>
      <w:outlineLvl w:val="3"/>
    </w:pPr>
    <w:rPr>
      <w:sz w:val="22"/>
    </w:rPr>
  </w:style>
  <w:style w:type="paragraph" w:styleId="Heading5">
    <w:name w:val="heading 5"/>
    <w:basedOn w:val="HeadingBase"/>
    <w:next w:val="Normal"/>
    <w:link w:val="Heading5Char"/>
    <w:qFormat/>
    <w:rsid w:val="007B0EA6"/>
    <w:pPr>
      <w:spacing w:before="80"/>
      <w:outlineLvl w:val="4"/>
    </w:pPr>
    <w:rPr>
      <w:color w:val="918585"/>
      <w:sz w:val="20"/>
    </w:rPr>
  </w:style>
  <w:style w:type="paragraph" w:styleId="Heading6">
    <w:name w:val="heading 6"/>
    <w:basedOn w:val="HeadingBase"/>
    <w:next w:val="Normal"/>
    <w:link w:val="Heading6Char"/>
    <w:qFormat/>
    <w:rsid w:val="007B0EA6"/>
    <w:pPr>
      <w:spacing w:before="60"/>
      <w:outlineLvl w:val="5"/>
    </w:pPr>
    <w:rPr>
      <w:color w:val="918585"/>
      <w:sz w:val="20"/>
    </w:rPr>
  </w:style>
  <w:style w:type="paragraph" w:styleId="Heading7">
    <w:name w:val="heading 7"/>
    <w:basedOn w:val="Normal"/>
    <w:next w:val="Normal"/>
    <w:link w:val="Heading7Char"/>
    <w:qFormat/>
    <w:rsid w:val="007B0EA6"/>
    <w:pPr>
      <w:ind w:left="720"/>
      <w:outlineLvl w:val="6"/>
    </w:pPr>
    <w:rPr>
      <w:i/>
    </w:rPr>
  </w:style>
  <w:style w:type="paragraph" w:styleId="Heading8">
    <w:name w:val="heading 8"/>
    <w:basedOn w:val="Normal"/>
    <w:next w:val="Normal"/>
    <w:link w:val="Heading8Char"/>
    <w:qFormat/>
    <w:rsid w:val="007B0EA6"/>
    <w:pPr>
      <w:ind w:left="720"/>
      <w:outlineLvl w:val="7"/>
    </w:pPr>
    <w:rPr>
      <w:i/>
    </w:rPr>
  </w:style>
  <w:style w:type="paragraph" w:styleId="Heading9">
    <w:name w:val="heading 9"/>
    <w:basedOn w:val="Normal"/>
    <w:next w:val="Normal"/>
    <w:link w:val="Heading9Char"/>
    <w:qFormat/>
    <w:rsid w:val="007B0EA6"/>
    <w:pPr>
      <w:ind w:left="720"/>
      <w:outlineLvl w:val="8"/>
    </w:pPr>
    <w:rPr>
      <w:i/>
    </w:rPr>
  </w:style>
  <w:style w:type="character" w:default="1" w:styleId="DefaultParagraphFont">
    <w:name w:val="Default Paragraph Font"/>
    <w:uiPriority w:val="1"/>
    <w:unhideWhenUsed/>
    <w:rsid w:val="007B0E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0EA6"/>
  </w:style>
  <w:style w:type="character" w:customStyle="1" w:styleId="Heading1Char">
    <w:name w:val="Heading 1 Char"/>
    <w:basedOn w:val="DefaultParagraphFont"/>
    <w:link w:val="Heading1"/>
    <w:rsid w:val="007B0EA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B0EA6"/>
    <w:rPr>
      <w:rFonts w:ascii="Times New Roman" w:eastAsia="Times New Roman" w:hAnsi="Times New Roman" w:cs="Times New Roman"/>
      <w:b/>
      <w:szCs w:val="20"/>
      <w:lang w:eastAsia="en-US"/>
    </w:rPr>
  </w:style>
  <w:style w:type="paragraph" w:styleId="BodyText">
    <w:name w:val="Body Text"/>
    <w:basedOn w:val="Normal"/>
    <w:link w:val="BodyTextChar"/>
    <w:rsid w:val="007B0E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0EA6"/>
    <w:rPr>
      <w:rFonts w:ascii="Times New Roman" w:eastAsia="Times New Roman" w:hAnsi="Times New Roman" w:cs="Times New Roman"/>
      <w:sz w:val="24"/>
      <w:lang w:eastAsia="en-US"/>
    </w:rPr>
  </w:style>
  <w:style w:type="paragraph" w:styleId="List">
    <w:name w:val="List"/>
    <w:basedOn w:val="BodyText"/>
    <w:next w:val="BodyText"/>
    <w:rsid w:val="007B0EA6"/>
    <w:pPr>
      <w:tabs>
        <w:tab w:val="left" w:pos="340"/>
      </w:tabs>
      <w:spacing w:before="60" w:after="60"/>
      <w:ind w:left="340" w:hanging="340"/>
    </w:pPr>
  </w:style>
  <w:style w:type="paragraph" w:styleId="ListBullet">
    <w:name w:val="List Bullet"/>
    <w:basedOn w:val="List"/>
    <w:rsid w:val="007B0EA6"/>
    <w:pPr>
      <w:numPr>
        <w:numId w:val="13"/>
      </w:numPr>
      <w:tabs>
        <w:tab w:val="clear" w:pos="340"/>
      </w:tabs>
      <w:spacing w:before="40" w:after="40"/>
    </w:pPr>
  </w:style>
  <w:style w:type="character" w:customStyle="1" w:styleId="SpecialBold">
    <w:name w:val="Special Bold"/>
    <w:basedOn w:val="DefaultParagraphFont"/>
    <w:rsid w:val="007B0EA6"/>
    <w:rPr>
      <w:b/>
      <w:spacing w:val="0"/>
    </w:rPr>
  </w:style>
  <w:style w:type="paragraph" w:customStyle="1" w:styleId="SuperHeading">
    <w:name w:val="SuperHeading"/>
    <w:basedOn w:val="Normal"/>
    <w:rsid w:val="007B0EA6"/>
    <w:pPr>
      <w:spacing w:before="240" w:after="120"/>
      <w:outlineLvl w:val="0"/>
    </w:pPr>
    <w:rPr>
      <w:rFonts w:ascii="Times New Roman" w:hAnsi="Times New Roman"/>
      <w:b/>
      <w:sz w:val="32"/>
    </w:rPr>
  </w:style>
  <w:style w:type="paragraph" w:customStyle="1" w:styleId="AllowPageBreak">
    <w:name w:val="AllowPageBreak"/>
    <w:rsid w:val="007B0E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0EA6"/>
    <w:pPr>
      <w:tabs>
        <w:tab w:val="left" w:pos="680"/>
      </w:tabs>
      <w:spacing w:before="60" w:after="60"/>
      <w:ind w:left="680" w:hanging="340"/>
    </w:pPr>
  </w:style>
  <w:style w:type="paragraph" w:styleId="ListBullet3">
    <w:name w:val="List Bullet 3"/>
    <w:basedOn w:val="List3"/>
    <w:rsid w:val="007B0EA6"/>
    <w:pPr>
      <w:numPr>
        <w:numId w:val="2"/>
      </w:numPr>
      <w:tabs>
        <w:tab w:val="clear" w:pos="1021"/>
      </w:tabs>
      <w:ind w:left="1037" w:hanging="357"/>
    </w:pPr>
  </w:style>
  <w:style w:type="character" w:customStyle="1" w:styleId="BoldandItalics">
    <w:name w:val="Bold and Italics"/>
    <w:qFormat/>
    <w:rsid w:val="007B0EA6"/>
    <w:rPr>
      <w:b/>
      <w:i/>
      <w:u w:val="none"/>
    </w:rPr>
  </w:style>
  <w:style w:type="character" w:customStyle="1" w:styleId="Heading2Char">
    <w:name w:val="Heading 2 Char"/>
    <w:basedOn w:val="DefaultParagraphFont"/>
    <w:link w:val="Heading2"/>
    <w:rsid w:val="007B0E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0EA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B0E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0E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0E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0E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0EA6"/>
    <w:rPr>
      <w:rFonts w:ascii="Courier New" w:eastAsia="Times New Roman" w:hAnsi="Courier New" w:cs="Times New Roman"/>
      <w:i/>
      <w:szCs w:val="20"/>
      <w:lang w:eastAsia="en-US"/>
    </w:rPr>
  </w:style>
  <w:style w:type="paragraph" w:customStyle="1" w:styleId="HeadingBase">
    <w:name w:val="Heading Base"/>
    <w:rsid w:val="007B0E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0EA6"/>
    <w:pPr>
      <w:tabs>
        <w:tab w:val="right" w:leader="dot" w:pos="9072"/>
      </w:tabs>
      <w:ind w:left="567"/>
    </w:pPr>
    <w:rPr>
      <w:szCs w:val="22"/>
    </w:rPr>
  </w:style>
  <w:style w:type="paragraph" w:customStyle="1" w:styleId="TOCBase">
    <w:name w:val="TOC Base"/>
    <w:rsid w:val="007B0E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0EA6"/>
    <w:pPr>
      <w:tabs>
        <w:tab w:val="right" w:leader="dot" w:pos="9072"/>
      </w:tabs>
      <w:spacing w:before="40" w:after="40"/>
      <w:ind w:left="284"/>
    </w:pPr>
    <w:rPr>
      <w:rFonts w:ascii="Times New Roman" w:hAnsi="Times New Roman"/>
    </w:rPr>
  </w:style>
  <w:style w:type="paragraph" w:styleId="TOC1">
    <w:name w:val="toc 1"/>
    <w:basedOn w:val="TOCBase"/>
    <w:next w:val="Normal"/>
    <w:rsid w:val="007B0E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0E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0EA6"/>
    <w:rPr>
      <w:rFonts w:ascii="Times New Roman" w:eastAsia="Times New Roman" w:hAnsi="Times New Roman" w:cs="Times New Roman"/>
      <w:sz w:val="16"/>
      <w:lang w:eastAsia="en-US"/>
    </w:rPr>
  </w:style>
  <w:style w:type="paragraph" w:styleId="Title">
    <w:name w:val="Title"/>
    <w:basedOn w:val="HeadingBase"/>
    <w:link w:val="TitleChar"/>
    <w:qFormat/>
    <w:rsid w:val="007B0EA6"/>
    <w:pPr>
      <w:spacing w:before="5040"/>
      <w:jc w:val="center"/>
    </w:pPr>
    <w:rPr>
      <w:sz w:val="48"/>
      <w:szCs w:val="72"/>
      <w:lang w:val="en-US"/>
    </w:rPr>
  </w:style>
  <w:style w:type="character" w:customStyle="1" w:styleId="TitleChar">
    <w:name w:val="Title Char"/>
    <w:basedOn w:val="DefaultParagraphFont"/>
    <w:link w:val="Title"/>
    <w:rsid w:val="007B0E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0EA6"/>
    <w:pPr>
      <w:tabs>
        <w:tab w:val="left" w:pos="3600"/>
        <w:tab w:val="left" w:pos="3958"/>
      </w:tabs>
    </w:pPr>
  </w:style>
  <w:style w:type="paragraph" w:customStyle="1" w:styleId="Note">
    <w:name w:val="Note"/>
    <w:basedOn w:val="BodyText"/>
    <w:rsid w:val="007B0E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0EA6"/>
    <w:pPr>
      <w:framePr w:wrap="auto" w:hAnchor="text" w:y="6049"/>
    </w:pPr>
    <w:rPr>
      <w:color w:val="000000"/>
      <w:sz w:val="40"/>
    </w:rPr>
  </w:style>
  <w:style w:type="paragraph" w:customStyle="1" w:styleId="TOCTitle">
    <w:name w:val="TOCTitle"/>
    <w:basedOn w:val="Heading1"/>
    <w:rsid w:val="007B0EA6"/>
    <w:pPr>
      <w:spacing w:after="240"/>
      <w:jc w:val="center"/>
      <w:outlineLvl w:val="9"/>
    </w:pPr>
    <w:rPr>
      <w:caps/>
    </w:rPr>
  </w:style>
  <w:style w:type="paragraph" w:customStyle="1" w:styleId="Version">
    <w:name w:val="Version"/>
    <w:rsid w:val="007B0E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0EA6"/>
    <w:pPr>
      <w:numPr>
        <w:numId w:val="14"/>
      </w:numPr>
      <w:tabs>
        <w:tab w:val="clear" w:pos="680"/>
      </w:tabs>
    </w:pPr>
  </w:style>
  <w:style w:type="paragraph" w:styleId="Index1">
    <w:name w:val="index 1"/>
    <w:basedOn w:val="Normal"/>
    <w:next w:val="Normal"/>
    <w:semiHidden/>
    <w:rsid w:val="007B0EA6"/>
    <w:pPr>
      <w:keepNext w:val="0"/>
      <w:tabs>
        <w:tab w:val="right" w:pos="4176"/>
      </w:tabs>
      <w:ind w:left="198" w:hanging="198"/>
    </w:pPr>
    <w:rPr>
      <w:rFonts w:ascii="Garamond" w:hAnsi="Garamond"/>
    </w:rPr>
  </w:style>
  <w:style w:type="paragraph" w:styleId="IndexHeading">
    <w:name w:val="index heading"/>
    <w:basedOn w:val="Normal"/>
    <w:next w:val="Index1"/>
    <w:semiHidden/>
    <w:rsid w:val="007B0EA6"/>
    <w:pPr>
      <w:spacing w:before="120" w:after="120"/>
    </w:pPr>
    <w:rPr>
      <w:rFonts w:ascii="Arial" w:hAnsi="Arial"/>
      <w:b/>
      <w:color w:val="918585"/>
      <w:sz w:val="24"/>
    </w:rPr>
  </w:style>
  <w:style w:type="paragraph" w:styleId="Header">
    <w:name w:val="header"/>
    <w:basedOn w:val="Normal"/>
    <w:link w:val="HeaderChar"/>
    <w:rsid w:val="007B0E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0EA6"/>
    <w:rPr>
      <w:rFonts w:ascii="Times New Roman" w:eastAsia="Times New Roman" w:hAnsi="Times New Roman" w:cs="Times New Roman"/>
      <w:sz w:val="16"/>
      <w:szCs w:val="20"/>
      <w:lang w:val="en-GB" w:eastAsia="en-US"/>
    </w:rPr>
  </w:style>
  <w:style w:type="paragraph" w:customStyle="1" w:styleId="Chapter">
    <w:name w:val="Chapter"/>
    <w:basedOn w:val="Normal"/>
    <w:rsid w:val="007B0EA6"/>
    <w:pPr>
      <w:spacing w:before="240"/>
    </w:pPr>
    <w:rPr>
      <w:rFonts w:ascii="Times New Roman" w:hAnsi="Times New Roman"/>
      <w:smallCaps/>
      <w:spacing w:val="80"/>
      <w:sz w:val="28"/>
    </w:rPr>
  </w:style>
  <w:style w:type="paragraph" w:customStyle="1" w:styleId="InChapter">
    <w:name w:val="InChapter"/>
    <w:basedOn w:val="Heading3"/>
    <w:rsid w:val="007B0EA6"/>
    <w:pPr>
      <w:spacing w:after="240"/>
      <w:outlineLvl w:val="9"/>
    </w:pPr>
    <w:rPr>
      <w:noProof/>
    </w:rPr>
  </w:style>
  <w:style w:type="paragraph" w:styleId="Index2">
    <w:name w:val="index 2"/>
    <w:basedOn w:val="Normal"/>
    <w:next w:val="Normal"/>
    <w:semiHidden/>
    <w:rsid w:val="007B0EA6"/>
    <w:pPr>
      <w:tabs>
        <w:tab w:val="right" w:pos="4176"/>
      </w:tabs>
      <w:ind w:left="568" w:hanging="284"/>
    </w:pPr>
    <w:rPr>
      <w:rFonts w:ascii="Garamond" w:hAnsi="Garamond"/>
    </w:rPr>
  </w:style>
  <w:style w:type="paragraph" w:customStyle="1" w:styleId="Byline">
    <w:name w:val="Byline"/>
    <w:rsid w:val="007B0E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0EA6"/>
    <w:pPr>
      <w:tabs>
        <w:tab w:val="clear" w:pos="3600"/>
        <w:tab w:val="clear" w:pos="3958"/>
      </w:tabs>
      <w:jc w:val="right"/>
    </w:pPr>
  </w:style>
  <w:style w:type="character" w:styleId="Emphasis">
    <w:name w:val="Emphasis"/>
    <w:basedOn w:val="DefaultParagraphFont"/>
    <w:qFormat/>
    <w:rsid w:val="007B0EA6"/>
    <w:rPr>
      <w:i/>
    </w:rPr>
  </w:style>
  <w:style w:type="paragraph" w:styleId="Caption">
    <w:name w:val="caption"/>
    <w:basedOn w:val="BodyText"/>
    <w:next w:val="Normal"/>
    <w:qFormat/>
    <w:rsid w:val="007B0EA6"/>
    <w:pPr>
      <w:framePr w:w="2268" w:hSpace="181" w:vSpace="181" w:wrap="around" w:vAnchor="text" w:hAnchor="page" w:x="1135" w:y="285" w:anchorLock="1"/>
    </w:pPr>
    <w:rPr>
      <w:i/>
    </w:rPr>
  </w:style>
  <w:style w:type="paragraph" w:customStyle="1" w:styleId="MiniTOCTitle">
    <w:name w:val="MiniTOCTitle"/>
    <w:basedOn w:val="Heading4"/>
    <w:rsid w:val="007B0EA6"/>
    <w:pPr>
      <w:spacing w:before="240"/>
      <w:outlineLvl w:val="9"/>
    </w:pPr>
    <w:rPr>
      <w:noProof/>
      <w:sz w:val="24"/>
    </w:rPr>
  </w:style>
  <w:style w:type="paragraph" w:customStyle="1" w:styleId="MiniTOCItem">
    <w:name w:val="MiniTOCItem"/>
    <w:basedOn w:val="ListBullet"/>
    <w:rsid w:val="007B0EA6"/>
    <w:pPr>
      <w:numPr>
        <w:numId w:val="0"/>
      </w:numPr>
      <w:tabs>
        <w:tab w:val="right" w:leader="dot" w:pos="6521"/>
      </w:tabs>
      <w:spacing w:before="0" w:after="0"/>
    </w:pPr>
  </w:style>
  <w:style w:type="paragraph" w:customStyle="1" w:styleId="TOFTitle">
    <w:name w:val="TOFTitle"/>
    <w:basedOn w:val="TOCTitle"/>
    <w:rsid w:val="007B0EA6"/>
  </w:style>
  <w:style w:type="paragraph" w:styleId="TableofFigures">
    <w:name w:val="table of figures"/>
    <w:basedOn w:val="Normal"/>
    <w:next w:val="Normal"/>
    <w:semiHidden/>
    <w:rsid w:val="007B0EA6"/>
    <w:pPr>
      <w:tabs>
        <w:tab w:val="right" w:leader="dot" w:pos="9072"/>
      </w:tabs>
      <w:ind w:left="970" w:hanging="403"/>
    </w:pPr>
    <w:rPr>
      <w:rFonts w:ascii="Times New Roman" w:hAnsi="Times New Roman"/>
      <w:b/>
    </w:rPr>
  </w:style>
  <w:style w:type="paragraph" w:styleId="ListNumber">
    <w:name w:val="List Number"/>
    <w:basedOn w:val="List"/>
    <w:rsid w:val="007B0EA6"/>
    <w:pPr>
      <w:numPr>
        <w:numId w:val="11"/>
      </w:numPr>
    </w:pPr>
  </w:style>
  <w:style w:type="character" w:customStyle="1" w:styleId="WingdingSymbols">
    <w:name w:val="Wingding Symbols"/>
    <w:rsid w:val="007B0EA6"/>
    <w:rPr>
      <w:rFonts w:ascii="Wingdings" w:hAnsi="Wingdings"/>
    </w:rPr>
  </w:style>
  <w:style w:type="paragraph" w:customStyle="1" w:styleId="TableHeading">
    <w:name w:val="Table Heading"/>
    <w:basedOn w:val="HeadingBase"/>
    <w:rsid w:val="007B0EA6"/>
    <w:pPr>
      <w:keepLines/>
      <w:pBdr>
        <w:bottom w:val="single" w:sz="6" w:space="1" w:color="918585"/>
      </w:pBdr>
      <w:spacing w:before="240"/>
    </w:pPr>
  </w:style>
  <w:style w:type="character" w:customStyle="1" w:styleId="HotSpot">
    <w:name w:val="HotSpot"/>
    <w:rsid w:val="007B0EA6"/>
    <w:rPr>
      <w:color w:val="0033CC"/>
      <w:u w:val="none"/>
    </w:rPr>
  </w:style>
  <w:style w:type="paragraph" w:customStyle="1" w:styleId="BodyTextRight">
    <w:name w:val="Body Text Right"/>
    <w:basedOn w:val="BodyText"/>
    <w:rsid w:val="007B0EA6"/>
    <w:pPr>
      <w:spacing w:before="0" w:after="0"/>
      <w:jc w:val="right"/>
    </w:pPr>
  </w:style>
  <w:style w:type="paragraph" w:styleId="Index3">
    <w:name w:val="index 3"/>
    <w:basedOn w:val="ListNumber2"/>
    <w:next w:val="Normal"/>
    <w:semiHidden/>
    <w:rsid w:val="007B0EA6"/>
    <w:pPr>
      <w:numPr>
        <w:numId w:val="0"/>
      </w:numPr>
      <w:tabs>
        <w:tab w:val="right" w:leader="dot" w:pos="4176"/>
      </w:tabs>
    </w:pPr>
  </w:style>
  <w:style w:type="paragraph" w:styleId="ListNumber2">
    <w:name w:val="List Number 2"/>
    <w:basedOn w:val="List2"/>
    <w:rsid w:val="007B0EA6"/>
    <w:pPr>
      <w:numPr>
        <w:numId w:val="10"/>
      </w:numPr>
      <w:tabs>
        <w:tab w:val="clear" w:pos="1060"/>
      </w:tabs>
    </w:pPr>
  </w:style>
  <w:style w:type="paragraph" w:customStyle="1" w:styleId="MarginNote">
    <w:name w:val="Margin Note"/>
    <w:basedOn w:val="BodyText"/>
    <w:rsid w:val="007B0E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0E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0E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0EA6"/>
    <w:rPr>
      <w:sz w:val="32"/>
    </w:rPr>
  </w:style>
  <w:style w:type="paragraph" w:customStyle="1" w:styleId="HeadingProcedure">
    <w:name w:val="Heading Procedure"/>
    <w:basedOn w:val="HeadingBase"/>
    <w:next w:val="Normal"/>
    <w:rsid w:val="007B0EA6"/>
    <w:pPr>
      <w:tabs>
        <w:tab w:val="left" w:pos="0"/>
      </w:tabs>
      <w:spacing w:before="120" w:after="60"/>
    </w:pPr>
    <w:rPr>
      <w:i/>
      <w:color w:val="918585"/>
      <w:sz w:val="22"/>
    </w:rPr>
  </w:style>
  <w:style w:type="paragraph" w:customStyle="1" w:styleId="TableBodyText">
    <w:name w:val="Table Body Text"/>
    <w:basedOn w:val="BodyText"/>
    <w:rsid w:val="007B0EA6"/>
    <w:pPr>
      <w:spacing w:before="60" w:after="60"/>
    </w:pPr>
  </w:style>
  <w:style w:type="paragraph" w:styleId="ListContinue">
    <w:name w:val="List Continue"/>
    <w:basedOn w:val="List"/>
    <w:rsid w:val="007B0EA6"/>
    <w:pPr>
      <w:ind w:firstLine="0"/>
    </w:pPr>
  </w:style>
  <w:style w:type="paragraph" w:customStyle="1" w:styleId="ListNote">
    <w:name w:val="List Note"/>
    <w:basedOn w:val="List"/>
    <w:rsid w:val="007B0EA6"/>
    <w:pPr>
      <w:pBdr>
        <w:top w:val="single" w:sz="6" w:space="2" w:color="918585"/>
        <w:bottom w:val="single" w:sz="6" w:space="2" w:color="918585"/>
      </w:pBdr>
      <w:tabs>
        <w:tab w:val="left" w:pos="1021"/>
      </w:tabs>
      <w:ind w:firstLine="0"/>
    </w:pPr>
  </w:style>
  <w:style w:type="paragraph" w:customStyle="1" w:styleId="Warning">
    <w:name w:val="Warning"/>
    <w:basedOn w:val="BodyText"/>
    <w:rsid w:val="007B0EA6"/>
    <w:pPr>
      <w:shd w:val="clear" w:color="auto" w:fill="D9D9D9"/>
      <w:tabs>
        <w:tab w:val="left" w:pos="992"/>
      </w:tabs>
      <w:ind w:left="119" w:right="119"/>
    </w:pPr>
    <w:rPr>
      <w:sz w:val="20"/>
    </w:rPr>
  </w:style>
  <w:style w:type="paragraph" w:customStyle="1" w:styleId="MarginIcons">
    <w:name w:val="Margin Icons"/>
    <w:basedOn w:val="BodyText"/>
    <w:rsid w:val="007B0E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0EA6"/>
    <w:rPr>
      <w:rFonts w:ascii="Courier New" w:hAnsi="Courier New"/>
    </w:rPr>
  </w:style>
  <w:style w:type="paragraph" w:customStyle="1" w:styleId="NoteBullet">
    <w:name w:val="Note Bullet"/>
    <w:basedOn w:val="Note"/>
    <w:rsid w:val="007B0EA6"/>
    <w:pPr>
      <w:tabs>
        <w:tab w:val="clear" w:pos="680"/>
      </w:tabs>
      <w:spacing w:before="60" w:after="60"/>
    </w:pPr>
  </w:style>
  <w:style w:type="paragraph" w:customStyle="1" w:styleId="SubHeading2">
    <w:name w:val="SubHeading2"/>
    <w:basedOn w:val="HeadingBase"/>
    <w:rsid w:val="007B0EA6"/>
    <w:pPr>
      <w:spacing w:before="240" w:after="60"/>
    </w:pPr>
    <w:rPr>
      <w:sz w:val="20"/>
    </w:rPr>
  </w:style>
  <w:style w:type="paragraph" w:customStyle="1" w:styleId="SubHeading1">
    <w:name w:val="SubHeading1"/>
    <w:basedOn w:val="HeadingBase"/>
    <w:rsid w:val="007B0EA6"/>
    <w:pPr>
      <w:spacing w:before="240" w:after="60"/>
    </w:pPr>
    <w:rPr>
      <w:color w:val="918585"/>
      <w:sz w:val="22"/>
    </w:rPr>
  </w:style>
  <w:style w:type="paragraph" w:customStyle="1" w:styleId="SideHeading">
    <w:name w:val="Side Heading"/>
    <w:basedOn w:val="HeadingBase"/>
    <w:rsid w:val="007B0E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0EA6"/>
    <w:pPr>
      <w:numPr>
        <w:numId w:val="12"/>
      </w:numPr>
    </w:pPr>
  </w:style>
  <w:style w:type="paragraph" w:styleId="PlainText">
    <w:name w:val="Plain Text"/>
    <w:basedOn w:val="Normal"/>
    <w:link w:val="PlainTextChar"/>
    <w:rsid w:val="007B0EA6"/>
    <w:rPr>
      <w:sz w:val="20"/>
    </w:rPr>
  </w:style>
  <w:style w:type="character" w:customStyle="1" w:styleId="PlainTextChar">
    <w:name w:val="Plain Text Char"/>
    <w:basedOn w:val="DefaultParagraphFont"/>
    <w:link w:val="PlainText"/>
    <w:rsid w:val="007B0EA6"/>
    <w:rPr>
      <w:rFonts w:ascii="Courier New" w:eastAsia="Times New Roman" w:hAnsi="Courier New" w:cs="Times New Roman"/>
      <w:sz w:val="20"/>
      <w:szCs w:val="20"/>
      <w:lang w:eastAsia="en-US"/>
    </w:rPr>
  </w:style>
  <w:style w:type="character" w:customStyle="1" w:styleId="MenuOption">
    <w:name w:val="Menu Option"/>
    <w:basedOn w:val="DefaultParagraphFont"/>
    <w:rsid w:val="007B0EA6"/>
    <w:rPr>
      <w:b/>
      <w:smallCaps/>
    </w:rPr>
  </w:style>
  <w:style w:type="paragraph" w:customStyle="1" w:styleId="TableListNumber">
    <w:name w:val="Table List Number"/>
    <w:basedOn w:val="ListNumber"/>
    <w:rsid w:val="007B0EA6"/>
    <w:pPr>
      <w:numPr>
        <w:numId w:val="0"/>
      </w:numPr>
    </w:pPr>
  </w:style>
  <w:style w:type="paragraph" w:styleId="TOC4">
    <w:name w:val="toc 4"/>
    <w:basedOn w:val="TOCBase"/>
    <w:next w:val="Normal"/>
    <w:semiHidden/>
    <w:rsid w:val="007B0EA6"/>
    <w:pPr>
      <w:tabs>
        <w:tab w:val="right" w:leader="dot" w:pos="9071"/>
      </w:tabs>
      <w:ind w:left="1701"/>
    </w:pPr>
  </w:style>
  <w:style w:type="paragraph" w:customStyle="1" w:styleId="ListAlpha">
    <w:name w:val="List Alpha"/>
    <w:basedOn w:val="List"/>
    <w:rsid w:val="007B0EA6"/>
    <w:pPr>
      <w:numPr>
        <w:numId w:val="9"/>
      </w:numPr>
    </w:pPr>
  </w:style>
  <w:style w:type="paragraph" w:customStyle="1" w:styleId="ListAlpha2">
    <w:name w:val="List Alpha 2"/>
    <w:basedOn w:val="List2"/>
    <w:rsid w:val="007B0EA6"/>
    <w:pPr>
      <w:numPr>
        <w:numId w:val="8"/>
      </w:numPr>
    </w:pPr>
  </w:style>
  <w:style w:type="paragraph" w:styleId="List3">
    <w:name w:val="List 3"/>
    <w:basedOn w:val="BodyText"/>
    <w:rsid w:val="007B0EA6"/>
    <w:pPr>
      <w:tabs>
        <w:tab w:val="left" w:pos="1021"/>
      </w:tabs>
      <w:spacing w:before="60" w:after="60"/>
      <w:ind w:left="1020" w:hanging="340"/>
    </w:pPr>
  </w:style>
  <w:style w:type="paragraph" w:styleId="List4">
    <w:name w:val="List 4"/>
    <w:basedOn w:val="BodyText"/>
    <w:rsid w:val="007B0EA6"/>
    <w:pPr>
      <w:tabs>
        <w:tab w:val="left" w:pos="1361"/>
      </w:tabs>
      <w:spacing w:before="60" w:after="60"/>
      <w:ind w:left="1361" w:hanging="340"/>
    </w:pPr>
  </w:style>
  <w:style w:type="paragraph" w:styleId="List5">
    <w:name w:val="List 5"/>
    <w:basedOn w:val="BodyText"/>
    <w:rsid w:val="007B0EA6"/>
    <w:pPr>
      <w:tabs>
        <w:tab w:val="left" w:pos="1701"/>
      </w:tabs>
      <w:spacing w:before="60" w:after="60"/>
      <w:ind w:left="1701" w:hanging="340"/>
    </w:pPr>
  </w:style>
  <w:style w:type="paragraph" w:styleId="ListBullet4">
    <w:name w:val="List Bullet 4"/>
    <w:basedOn w:val="List4"/>
    <w:rsid w:val="007B0EA6"/>
    <w:pPr>
      <w:numPr>
        <w:numId w:val="3"/>
      </w:numPr>
    </w:pPr>
  </w:style>
  <w:style w:type="paragraph" w:styleId="ListBullet5">
    <w:name w:val="List Bullet 5"/>
    <w:basedOn w:val="List5"/>
    <w:rsid w:val="007B0EA6"/>
    <w:pPr>
      <w:numPr>
        <w:numId w:val="4"/>
      </w:numPr>
    </w:pPr>
  </w:style>
  <w:style w:type="paragraph" w:styleId="ListContinue2">
    <w:name w:val="List Continue 2"/>
    <w:basedOn w:val="List2"/>
    <w:rsid w:val="007B0EA6"/>
    <w:pPr>
      <w:ind w:firstLine="0"/>
    </w:pPr>
  </w:style>
  <w:style w:type="paragraph" w:styleId="ListContinue3">
    <w:name w:val="List Continue 3"/>
    <w:basedOn w:val="List3"/>
    <w:rsid w:val="007B0EA6"/>
    <w:pPr>
      <w:ind w:left="1021" w:firstLine="0"/>
    </w:pPr>
  </w:style>
  <w:style w:type="paragraph" w:styleId="ListContinue4">
    <w:name w:val="List Continue 4"/>
    <w:basedOn w:val="List4"/>
    <w:rsid w:val="007B0EA6"/>
    <w:pPr>
      <w:ind w:firstLine="0"/>
    </w:pPr>
  </w:style>
  <w:style w:type="paragraph" w:styleId="ListContinue5">
    <w:name w:val="List Continue 5"/>
    <w:basedOn w:val="List5"/>
    <w:rsid w:val="007B0EA6"/>
    <w:pPr>
      <w:ind w:firstLine="0"/>
    </w:pPr>
  </w:style>
  <w:style w:type="paragraph" w:styleId="ListNumber3">
    <w:name w:val="List Number 3"/>
    <w:basedOn w:val="List3"/>
    <w:rsid w:val="007B0EA6"/>
    <w:pPr>
      <w:numPr>
        <w:numId w:val="5"/>
      </w:numPr>
    </w:pPr>
  </w:style>
  <w:style w:type="paragraph" w:styleId="ListNumber4">
    <w:name w:val="List Number 4"/>
    <w:basedOn w:val="List4"/>
    <w:rsid w:val="007B0EA6"/>
    <w:pPr>
      <w:numPr>
        <w:numId w:val="6"/>
      </w:numPr>
    </w:pPr>
  </w:style>
  <w:style w:type="paragraph" w:styleId="ListNumber5">
    <w:name w:val="List Number 5"/>
    <w:basedOn w:val="List5"/>
    <w:rsid w:val="007B0EA6"/>
    <w:pPr>
      <w:numPr>
        <w:numId w:val="7"/>
      </w:numPr>
    </w:pPr>
  </w:style>
  <w:style w:type="paragraph" w:styleId="BlockText">
    <w:name w:val="Block Text"/>
    <w:basedOn w:val="Normal"/>
    <w:rsid w:val="007B0EA6"/>
    <w:pPr>
      <w:spacing w:after="120"/>
      <w:ind w:left="1440" w:right="1440"/>
    </w:pPr>
  </w:style>
  <w:style w:type="character" w:customStyle="1" w:styleId="Subscript">
    <w:name w:val="Subscript"/>
    <w:basedOn w:val="DefaultParagraphFont"/>
    <w:rsid w:val="007B0EA6"/>
    <w:rPr>
      <w:sz w:val="16"/>
      <w:vertAlign w:val="subscript"/>
    </w:rPr>
  </w:style>
  <w:style w:type="character" w:customStyle="1" w:styleId="Superscript">
    <w:name w:val="Superscript"/>
    <w:basedOn w:val="DefaultParagraphFont"/>
    <w:rsid w:val="007B0EA6"/>
    <w:rPr>
      <w:sz w:val="16"/>
      <w:vertAlign w:val="superscript"/>
    </w:rPr>
  </w:style>
  <w:style w:type="character" w:customStyle="1" w:styleId="Symbols">
    <w:name w:val="Symbols"/>
    <w:basedOn w:val="DefaultParagraphFont"/>
    <w:rsid w:val="007B0EA6"/>
    <w:rPr>
      <w:rFonts w:ascii="Symbol" w:hAnsi="Symbol"/>
    </w:rPr>
  </w:style>
  <w:style w:type="character" w:customStyle="1" w:styleId="MenuOptions">
    <w:name w:val="Menu Options"/>
    <w:basedOn w:val="DefaultParagraphFont"/>
    <w:rsid w:val="007B0EA6"/>
    <w:rPr>
      <w:rFonts w:ascii="Arial Narrow" w:hAnsi="Arial Narrow"/>
      <w:smallCaps/>
    </w:rPr>
  </w:style>
  <w:style w:type="character" w:customStyle="1" w:styleId="Buttons">
    <w:name w:val="Buttons"/>
    <w:basedOn w:val="DefaultParagraphFont"/>
    <w:rsid w:val="007B0EA6"/>
    <w:rPr>
      <w:b/>
    </w:rPr>
  </w:style>
  <w:style w:type="character" w:customStyle="1" w:styleId="Underlined">
    <w:name w:val="Underlined"/>
    <w:basedOn w:val="DefaultParagraphFont"/>
    <w:rsid w:val="007B0EA6"/>
    <w:rPr>
      <w:u w:val="single"/>
    </w:rPr>
  </w:style>
  <w:style w:type="paragraph" w:customStyle="1" w:styleId="TableBodyTextRight">
    <w:name w:val="Table Body Text Right"/>
    <w:basedOn w:val="TableBodyText"/>
    <w:rsid w:val="007B0EA6"/>
    <w:pPr>
      <w:widowControl w:val="0"/>
      <w:autoSpaceDE w:val="0"/>
      <w:autoSpaceDN w:val="0"/>
      <w:adjustRightInd w:val="0"/>
      <w:jc w:val="right"/>
    </w:pPr>
    <w:rPr>
      <w:rFonts w:cs="Arial"/>
      <w:szCs w:val="18"/>
    </w:rPr>
  </w:style>
  <w:style w:type="paragraph" w:customStyle="1" w:styleId="CopyrightText">
    <w:name w:val="Copyright Text"/>
    <w:basedOn w:val="BodyText"/>
    <w:rsid w:val="007B0EA6"/>
    <w:rPr>
      <w:sz w:val="18"/>
    </w:rPr>
  </w:style>
  <w:style w:type="paragraph" w:customStyle="1" w:styleId="BodySmallRight">
    <w:name w:val="Body Small Right"/>
    <w:basedOn w:val="BodyTextRight"/>
    <w:rsid w:val="007B0EA6"/>
    <w:rPr>
      <w:sz w:val="18"/>
      <w:szCs w:val="18"/>
    </w:rPr>
  </w:style>
  <w:style w:type="paragraph" w:customStyle="1" w:styleId="MarginEdition">
    <w:name w:val="Margin Edition"/>
    <w:basedOn w:val="MarginNote"/>
    <w:rsid w:val="007B0EA6"/>
    <w:pPr>
      <w:spacing w:before="0" w:after="0"/>
    </w:pPr>
    <w:rPr>
      <w:rFonts w:ascii="Times New Roman" w:hAnsi="Times New Roman"/>
      <w:color w:val="999999"/>
    </w:rPr>
  </w:style>
  <w:style w:type="paragraph" w:customStyle="1" w:styleId="Spacer">
    <w:name w:val="Spacer"/>
    <w:basedOn w:val="Normal"/>
    <w:rsid w:val="007B0EA6"/>
    <w:rPr>
      <w:sz w:val="2"/>
      <w:szCs w:val="2"/>
    </w:rPr>
  </w:style>
  <w:style w:type="character" w:customStyle="1" w:styleId="Small">
    <w:name w:val="Small"/>
    <w:basedOn w:val="DefaultParagraphFont"/>
    <w:rsid w:val="007B0EA6"/>
    <w:rPr>
      <w:sz w:val="16"/>
    </w:rPr>
  </w:style>
  <w:style w:type="paragraph" w:customStyle="1" w:styleId="WideTable">
    <w:name w:val="Wide Table"/>
    <w:basedOn w:val="Normal"/>
    <w:rsid w:val="007B0EA6"/>
    <w:pPr>
      <w:ind w:left="-1418"/>
    </w:pPr>
    <w:rPr>
      <w:sz w:val="2"/>
      <w:szCs w:val="2"/>
    </w:rPr>
  </w:style>
  <w:style w:type="character" w:styleId="PageNumber">
    <w:name w:val="page number"/>
    <w:basedOn w:val="DefaultParagraphFont"/>
    <w:rsid w:val="007B0EA6"/>
  </w:style>
  <w:style w:type="paragraph" w:styleId="Quote">
    <w:name w:val="Quote"/>
    <w:basedOn w:val="Heading1"/>
    <w:link w:val="QuoteChar"/>
    <w:qFormat/>
    <w:rsid w:val="007B0EA6"/>
    <w:rPr>
      <w:b w:val="0"/>
      <w:sz w:val="72"/>
      <w:szCs w:val="72"/>
      <w:lang w:val="en-NZ"/>
    </w:rPr>
  </w:style>
  <w:style w:type="character" w:customStyle="1" w:styleId="QuoteChar">
    <w:name w:val="Quote Char"/>
    <w:basedOn w:val="DefaultParagraphFont"/>
    <w:link w:val="Quote"/>
    <w:rsid w:val="007B0E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0EA6"/>
    <w:pPr>
      <w:pageBreakBefore/>
    </w:pPr>
  </w:style>
  <w:style w:type="paragraph" w:customStyle="1" w:styleId="Border">
    <w:name w:val="Border"/>
    <w:basedOn w:val="Normal"/>
    <w:qFormat/>
    <w:rsid w:val="007B0E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0EA6"/>
    <w:rPr>
      <w:b/>
      <w:bCs/>
      <w:i/>
      <w:iCs/>
      <w:color w:val="auto"/>
    </w:rPr>
  </w:style>
  <w:style w:type="paragraph" w:styleId="IntenseQuote">
    <w:name w:val="Intense Quote"/>
    <w:basedOn w:val="Normal"/>
    <w:next w:val="Normal"/>
    <w:link w:val="IntenseQuoteChar"/>
    <w:uiPriority w:val="30"/>
    <w:qFormat/>
    <w:rsid w:val="007B0E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0E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0EA6"/>
    <w:rPr>
      <w:smallCaps/>
      <w:color w:val="auto"/>
      <w:u w:val="single"/>
    </w:rPr>
  </w:style>
  <w:style w:type="character" w:styleId="IntenseReference">
    <w:name w:val="Intense Reference"/>
    <w:basedOn w:val="DefaultParagraphFont"/>
    <w:uiPriority w:val="32"/>
    <w:qFormat/>
    <w:rsid w:val="007B0EA6"/>
    <w:rPr>
      <w:b/>
      <w:bCs/>
      <w:smallCaps/>
      <w:color w:val="auto"/>
      <w:spacing w:val="5"/>
      <w:u w:val="single"/>
    </w:rPr>
  </w:style>
  <w:style w:type="paragraph" w:customStyle="1" w:styleId="2ColumnHeading">
    <w:name w:val="2Column Heading"/>
    <w:basedOn w:val="BodyText"/>
    <w:qFormat/>
    <w:rsid w:val="007B0EA6"/>
    <w:pPr>
      <w:spacing w:after="60"/>
      <w:ind w:left="-2268"/>
    </w:pPr>
    <w:rPr>
      <w:b/>
    </w:rPr>
  </w:style>
  <w:style w:type="paragraph" w:customStyle="1" w:styleId="Heading1TOC">
    <w:name w:val="Heading1 TOC"/>
    <w:basedOn w:val="Normal"/>
    <w:qFormat/>
    <w:rsid w:val="007B0EA6"/>
    <w:pPr>
      <w:spacing w:before="240" w:after="120"/>
    </w:pPr>
    <w:rPr>
      <w:rFonts w:ascii="Times New Roman" w:hAnsi="Times New Roman"/>
      <w:b/>
      <w:sz w:val="32"/>
    </w:rPr>
  </w:style>
  <w:style w:type="paragraph" w:customStyle="1" w:styleId="Heading2TOC">
    <w:name w:val="Heading2 TOC"/>
    <w:basedOn w:val="Normal"/>
    <w:qFormat/>
    <w:rsid w:val="007B0EA6"/>
    <w:pPr>
      <w:spacing w:before="240" w:after="60"/>
    </w:pPr>
    <w:rPr>
      <w:rFonts w:ascii="Times New Roman" w:hAnsi="Times New Roman"/>
      <w:b/>
      <w:sz w:val="28"/>
    </w:rPr>
  </w:style>
  <w:style w:type="character" w:customStyle="1" w:styleId="Underline">
    <w:name w:val="Underline"/>
    <w:basedOn w:val="DefaultParagraphFont"/>
    <w:qFormat/>
    <w:rsid w:val="007B0EA6"/>
    <w:rPr>
      <w:u w:val="single"/>
    </w:rPr>
  </w:style>
  <w:style w:type="paragraph" w:styleId="BalloonText">
    <w:name w:val="Balloon Text"/>
    <w:basedOn w:val="Normal"/>
    <w:link w:val="BalloonTextChar"/>
    <w:rsid w:val="007B0EA6"/>
    <w:rPr>
      <w:rFonts w:ascii="Tahoma" w:hAnsi="Tahoma" w:cs="Tahoma"/>
      <w:sz w:val="16"/>
      <w:szCs w:val="16"/>
    </w:rPr>
  </w:style>
  <w:style w:type="character" w:customStyle="1" w:styleId="BalloonTextChar">
    <w:name w:val="Balloon Text Char"/>
    <w:basedOn w:val="DefaultParagraphFont"/>
    <w:link w:val="BalloonText"/>
    <w:rsid w:val="007B0E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0E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0E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0EA6"/>
    <w:rPr>
      <w:b/>
      <w:color w:val="660033"/>
      <w:spacing w:val="0"/>
    </w:rPr>
  </w:style>
  <w:style w:type="paragraph" w:customStyle="1" w:styleId="Nameditemlist">
    <w:name w:val="Named item list"/>
    <w:basedOn w:val="BodyText"/>
    <w:qFormat/>
    <w:rsid w:val="007B0E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1850</Words>
  <Characters>11669</Characters>
  <Application>Microsoft Office Word</Application>
  <DocSecurity>0</DocSecurity>
  <Lines>402</Lines>
  <Paragraphs>216</Paragraphs>
  <ScaleCrop>false</ScaleCrop>
  <Company>Author-it Software Corporation Ltd.</Company>
  <LinksUpToDate>false</LinksUpToDate>
  <CharactersWithSpaces>13443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FPICOT2238A Cut materials with a hand-held chainsaw</dc:title>
  <dc:subject>Approved</dc:subject>
  <dc:creator>Forestworks Learning and Skill Development</dc:creator>
  <cp:keywords>Release 2</cp:keywords>
  <dc:description>Review Date: 12 April 2008</dc:description>
  <cp:lastModifiedBy>HSD_TPCMSd.prod</cp:lastModifiedBy>
  <cp:revision>3</cp:revision>
  <dcterms:created xsi:type="dcterms:W3CDTF">2013-10-28T14:45:01Z</dcterms:created>
  <dcterms:modified xsi:type="dcterms:W3CDTF">2013-10-25T02:24:00Z</dcterms:modified>
</cp:coreProperties>
</file>