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EDB" w:rsidP="00131EDB">
      <w:pPr>
        <w:pStyle w:val="Title"/>
      </w:pPr>
      <w:r>
        <w:fldChar w:fldCharType="begin"/>
      </w:r>
      <w:r>
        <w:instrText xml:space="preserve"> TITLE   \* MERGEFORMAT </w:instrText>
      </w:r>
      <w:r>
        <w:fldChar w:fldCharType="separate"/>
      </w:r>
      <w:r>
        <w:t>FPICOT2208B Resaw boards and timber</w:t>
      </w:r>
      <w:r>
        <w:fldChar w:fldCharType="end"/>
      </w:r>
    </w:p>
    <w:p w:rsidR="00131EDB" w:rsidP="00131EDB">
      <w:pPr>
        <w:pStyle w:val="Version"/>
        <w:sectPr w:rsidSect="007C1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591" w:rsidP="007C1591">
      <w:pPr>
        <w:pStyle w:val="SuperHeading"/>
      </w:pPr>
      <w:r w:rsidRPr="007C1591">
        <w:t>FPICOT2208B Resaw boards and timber</w:t>
      </w:r>
    </w:p>
    <w:p w:rsidR="00000000" w:rsidRPr="007C1591" w:rsidP="007C1591">
      <w:pPr>
        <w:pStyle w:val="Heading1"/>
      </w:pPr>
      <w:bookmarkStart w:id="1" w:name="O_270504"/>
      <w:bookmarkEnd w:id="1"/>
      <w:r w:rsidRPr="007C1591">
        <w:t>Modification History</w:t>
      </w:r>
    </w:p>
    <w:p w:rsidR="00000000" w:rsidRPr="007C1591" w:rsidP="007C1591">
      <w:pPr>
        <w:pStyle w:val="BodyText"/>
      </w:pPr>
      <w:r w:rsidRPr="007C1591">
        <w:t>Not Applicable</w:t>
      </w:r>
    </w:p>
    <w:p w:rsidR="00000000" w:rsidRPr="007C1591" w:rsidP="007C1591">
      <w:pPr>
        <w:pStyle w:val="AllowPageBreak"/>
      </w:pPr>
    </w:p>
    <w:p w:rsidR="00000000" w:rsidRPr="007C1591" w:rsidP="007C1591">
      <w:pPr>
        <w:pStyle w:val="Heading1"/>
      </w:pPr>
      <w:bookmarkStart w:id="2" w:name="O_203127"/>
      <w:bookmarkEnd w:id="2"/>
      <w:r w:rsidRPr="007C1591">
        <w:t>Unit Descriptor</w:t>
      </w:r>
    </w:p>
    <w:tbl>
      <w:tblPr>
        <w:tblW w:w="0" w:type="auto"/>
        <w:tblLayout w:type="fixed"/>
        <w:tblCellMar>
          <w:left w:w="62" w:type="dxa"/>
          <w:right w:w="62" w:type="dxa"/>
        </w:tblCellMar>
        <w:tblLook w:val="0000"/>
      </w:tblPr>
      <w:tblGrid>
        <w:gridCol w:w="2664"/>
        <w:gridCol w:w="5858"/>
      </w:tblGrid>
      <w:tr w:rsidTr="00131ED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 xml:space="preserve">This unit describes the outcomes required to plan and produce boards by resawing larger boards. This unit includes </w:t>
            </w:r>
            <w:r w:rsidRPr="007C1591">
              <w:t>adjusting and maintaining sawing equipment</w:t>
            </w:r>
          </w:p>
          <w:p w:rsidR="00000000" w:rsidRPr="007C1591" w:rsidP="007C1591">
            <w:pPr>
              <w:pStyle w:val="BodyText"/>
            </w:pPr>
            <w:r w:rsidRPr="007C1591">
              <w:t>General workplace legislative and regulatory requirements apply to this unit; however there are no specific licensing or certification requirements at the time of publication</w:t>
            </w:r>
          </w:p>
          <w:p w:rsidR="00000000" w:rsidRPr="007C1591" w:rsidP="007C1591">
            <w:pPr>
              <w:pStyle w:val="BodyText"/>
            </w:pPr>
            <w:r w:rsidRPr="007C1591">
              <w:t>This unit replaces FPICOT2208A Resaw b</w:t>
            </w:r>
            <w:r w:rsidRPr="007C1591">
              <w:t>oards and timber</w:t>
            </w:r>
          </w:p>
        </w:tc>
      </w:tr>
    </w:tbl>
    <w:p w:rsidR="00131EDB" w:rsidP="007C1591">
      <w:pPr>
        <w:pStyle w:val="BodyText"/>
      </w:pPr>
    </w:p>
    <w:p w:rsidR="00131EDB" w:rsidP="007C1591">
      <w:pPr>
        <w:pStyle w:val="BodyText"/>
      </w:pPr>
    </w:p>
    <w:p w:rsidR="00000000" w:rsidRPr="007C1591" w:rsidP="007C1591">
      <w:pPr>
        <w:pStyle w:val="Heading1"/>
      </w:pPr>
      <w:bookmarkStart w:id="3" w:name="O_203129"/>
      <w:bookmarkEnd w:id="3"/>
      <w:r w:rsidRPr="007C1591">
        <w:t>Application of the Unit</w:t>
      </w:r>
    </w:p>
    <w:tbl>
      <w:tblPr>
        <w:tblW w:w="0" w:type="auto"/>
        <w:tblLayout w:type="fixed"/>
        <w:tblCellMar>
          <w:left w:w="62" w:type="dxa"/>
          <w:right w:w="62" w:type="dxa"/>
        </w:tblCellMar>
        <w:tblLook w:val="0000"/>
      </w:tblPr>
      <w:tblGrid>
        <w:gridCol w:w="2755"/>
        <w:gridCol w:w="5767"/>
      </w:tblGrid>
      <w:tr w:rsidTr="00131ED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The unit involves resawing boards and timber in a forest products factory setting</w:t>
            </w:r>
          </w:p>
          <w:p w:rsidR="00000000" w:rsidRPr="007C1591" w:rsidP="007C1591">
            <w:pPr>
              <w:pStyle w:val="BodyText"/>
            </w:pPr>
            <w:r w:rsidRPr="007C1591">
              <w:t>The skills and knowledge re</w:t>
            </w:r>
            <w:r w:rsidRPr="007C1591">
              <w:t>quired for competent workplace performance are to be used within the scope of the person's job and authority</w:t>
            </w:r>
          </w:p>
        </w:tc>
      </w:tr>
    </w:tbl>
    <w:p w:rsidR="00131EDB" w:rsidP="007C1591">
      <w:pPr>
        <w:pStyle w:val="BodyText"/>
      </w:pPr>
    </w:p>
    <w:p w:rsidR="00131EDB" w:rsidP="007C1591">
      <w:pPr>
        <w:pStyle w:val="BodyText"/>
      </w:pPr>
    </w:p>
    <w:p w:rsidR="00000000" w:rsidRPr="007C1591" w:rsidP="007C1591">
      <w:pPr>
        <w:pStyle w:val="Heading1"/>
      </w:pPr>
      <w:bookmarkStart w:id="4" w:name="O_278764"/>
      <w:bookmarkEnd w:id="4"/>
      <w:r w:rsidRPr="007C1591">
        <w:t>Licensing/Regulatory Information</w:t>
      </w:r>
    </w:p>
    <w:p w:rsidR="00000000" w:rsidRPr="007C1591" w:rsidP="007C1591">
      <w:pPr>
        <w:pStyle w:val="BodyText"/>
      </w:pPr>
      <w:r w:rsidRPr="007C1591">
        <w:t>Refer to Unit Descriptor</w:t>
      </w:r>
    </w:p>
    <w:p w:rsidR="00000000" w:rsidRPr="007C1591" w:rsidP="007C1591">
      <w:pPr>
        <w:pStyle w:val="AllowPageBreak"/>
      </w:pPr>
    </w:p>
    <w:p w:rsidR="00000000" w:rsidRPr="007C1591" w:rsidP="007C1591">
      <w:pPr>
        <w:pStyle w:val="Heading1"/>
      </w:pPr>
      <w:bookmarkStart w:id="5" w:name="O_283677"/>
      <w:bookmarkEnd w:id="5"/>
      <w:r w:rsidRPr="007C1591">
        <w:t>Pre-Requisites</w:t>
      </w:r>
    </w:p>
    <w:p w:rsidR="00000000" w:rsidRPr="007C1591" w:rsidP="007C1591">
      <w:pPr>
        <w:pStyle w:val="BodyText"/>
      </w:pPr>
      <w:r w:rsidRPr="007C1591">
        <w:t>Not Applicable</w:t>
      </w:r>
    </w:p>
    <w:p w:rsidR="00000000" w:rsidRPr="007C1591" w:rsidP="007C1591">
      <w:pPr>
        <w:pStyle w:val="AllowPageBreak"/>
      </w:pPr>
    </w:p>
    <w:p w:rsidR="00000000" w:rsidRPr="007C1591" w:rsidP="007C1591">
      <w:pPr>
        <w:pStyle w:val="Heading1"/>
      </w:pPr>
      <w:bookmarkStart w:id="6" w:name="O_203128"/>
      <w:bookmarkEnd w:id="6"/>
      <w:r w:rsidRPr="007C1591">
        <w:t>Employability Skills Information</w:t>
      </w:r>
    </w:p>
    <w:tbl>
      <w:tblPr>
        <w:tblW w:w="0" w:type="auto"/>
        <w:tblLayout w:type="fixed"/>
        <w:tblCellMar>
          <w:left w:w="62" w:type="dxa"/>
          <w:right w:w="62" w:type="dxa"/>
        </w:tblCellMar>
        <w:tblLook w:val="0000"/>
      </w:tblPr>
      <w:tblGrid>
        <w:gridCol w:w="2802"/>
        <w:gridCol w:w="5720"/>
      </w:tblGrid>
      <w:tr w:rsidTr="00131ED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This unit contains employability skills</w:t>
            </w:r>
          </w:p>
        </w:tc>
      </w:tr>
    </w:tbl>
    <w:p w:rsidR="00131EDB" w:rsidP="007C1591">
      <w:pPr>
        <w:pStyle w:val="BodyText"/>
      </w:pPr>
    </w:p>
    <w:p w:rsidR="00131EDB" w:rsidP="007C1591">
      <w:pPr>
        <w:pStyle w:val="BodyText"/>
      </w:pPr>
    </w:p>
    <w:p w:rsidR="00000000" w:rsidRPr="007C1591" w:rsidP="007C1591">
      <w:pPr>
        <w:pStyle w:val="Heading1"/>
      </w:pPr>
      <w:bookmarkStart w:id="7" w:name="O_288550"/>
      <w:bookmarkEnd w:id="7"/>
      <w:r w:rsidRPr="007C1591">
        <w:t>Elements and Performance Criteria Pre-Content</w:t>
      </w:r>
    </w:p>
    <w:tbl>
      <w:tblPr>
        <w:tblW w:w="0" w:type="auto"/>
        <w:tblLayout w:type="fixed"/>
        <w:tblCellMar>
          <w:left w:w="62" w:type="dxa"/>
          <w:right w:w="62" w:type="dxa"/>
        </w:tblCellMar>
        <w:tblLook w:val="0000"/>
      </w:tblPr>
      <w:tblGrid>
        <w:gridCol w:w="2551"/>
        <w:gridCol w:w="5971"/>
      </w:tblGrid>
      <w:tr w:rsidTr="00131ED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 xml:space="preserve">Performance criteria describe </w:t>
            </w:r>
            <w:r w:rsidRPr="007C1591">
              <w:t>the performance needed to demonstrate achievement of the element. Where bold italicised text is used, further information is detailed in the required skills and knowledge section and the range statement. Assessment of performance is to be consistent with t</w:t>
            </w:r>
            <w:r w:rsidRPr="007C1591">
              <w:t>he evidence guide.</w:t>
            </w:r>
          </w:p>
        </w:tc>
      </w:tr>
    </w:tbl>
    <w:p w:rsidR="00000000" w:rsidRPr="007C1591" w:rsidP="007C1591">
      <w:pPr>
        <w:pStyle w:val="BodyText"/>
      </w:pPr>
    </w:p>
    <w:p w:rsidR="00000000" w:rsidRPr="007C1591" w:rsidP="007C1591">
      <w:pPr>
        <w:pStyle w:val="AllowPageBreak"/>
      </w:pPr>
    </w:p>
    <w:p w:rsidR="00000000" w:rsidRPr="007C1591" w:rsidP="007C1591">
      <w:pPr>
        <w:pStyle w:val="Heading1"/>
      </w:pPr>
      <w:bookmarkStart w:id="8" w:name="O_235217"/>
      <w:bookmarkEnd w:id="8"/>
      <w:r w:rsidRPr="007C1591">
        <w:t>Elements and Performance Criteria</w:t>
      </w:r>
    </w:p>
    <w:tbl>
      <w:tblPr>
        <w:tblW w:w="0" w:type="auto"/>
        <w:tblLayout w:type="fixed"/>
        <w:tblCellMar>
          <w:left w:w="62" w:type="dxa"/>
          <w:right w:w="62" w:type="dxa"/>
        </w:tblCellMar>
        <w:tblLook w:val="0000"/>
      </w:tblPr>
      <w:tblGrid>
        <w:gridCol w:w="2551"/>
        <w:gridCol w:w="5971"/>
      </w:tblGrid>
      <w:tr w:rsidTr="00131EDB">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PERFORMANCE CRITERIA</w:t>
            </w:r>
          </w:p>
        </w:tc>
      </w:tr>
      <w:tr w:rsidTr="00131ED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C1591">
            <w:pPr>
              <w:pStyle w:val="List"/>
              <w:rPr>
                <w:lang w:val="en-NZ"/>
              </w:rPr>
            </w:pPr>
            <w:r w:rsidRPr="007C1591">
              <w:t>1.</w:t>
            </w:r>
            <w:r w:rsidRPr="007C1591">
              <w:tab/>
              <w:t>Prepare for operation</w:t>
            </w:r>
          </w:p>
        </w:tc>
        <w:tc>
          <w:tcPr>
            <w:tcW w:w="5971" w:type="dxa"/>
            <w:tcBorders>
              <w:top w:val="nil"/>
              <w:left w:val="nil"/>
              <w:bottom w:val="nil"/>
              <w:right w:val="nil"/>
            </w:tcBorders>
            <w:tcMar>
              <w:top w:w="0" w:type="dxa"/>
              <w:left w:w="62" w:type="dxa"/>
              <w:bottom w:w="0" w:type="dxa"/>
              <w:right w:w="62" w:type="dxa"/>
            </w:tcMar>
          </w:tcPr>
          <w:p w:rsidR="00000000" w:rsidRPr="007C1591" w:rsidP="007C1591">
            <w:pPr>
              <w:pStyle w:val="List2"/>
            </w:pPr>
            <w:r w:rsidRPr="007C1591">
              <w:t>1.1.</w:t>
            </w:r>
            <w:r w:rsidRPr="007C1591">
              <w:tab/>
              <w:t xml:space="preserve">Applicable </w:t>
            </w:r>
            <w:r w:rsidRPr="007C1591">
              <w:rPr>
                <w:rStyle w:val="BoldandItalics"/>
              </w:rPr>
              <w:t>occupational health and safety</w:t>
            </w:r>
            <w:r w:rsidRPr="007C1591">
              <w:t xml:space="preserve"> (OHS), </w:t>
            </w:r>
            <w:r w:rsidRPr="007C1591">
              <w:rPr>
                <w:rStyle w:val="BoldandItalics"/>
              </w:rPr>
              <w:t>environmental</w:t>
            </w:r>
            <w:r w:rsidRPr="007C1591">
              <w:t xml:space="preserve">, </w:t>
            </w:r>
            <w:r w:rsidRPr="007C1591">
              <w:rPr>
                <w:rStyle w:val="BoldandItalics"/>
              </w:rPr>
              <w:t>legislative</w:t>
            </w:r>
            <w:r w:rsidRPr="007C1591">
              <w:t xml:space="preserve"> and </w:t>
            </w:r>
            <w:r w:rsidRPr="007C1591">
              <w:rPr>
                <w:rStyle w:val="BoldandItalics"/>
              </w:rPr>
              <w:t>organisational requirements</w:t>
            </w:r>
            <w:r w:rsidRPr="007C1591">
              <w:t xml:space="preserve"> relevant to </w:t>
            </w:r>
            <w:r w:rsidRPr="007C1591">
              <w:t xml:space="preserve">resawing </w:t>
            </w:r>
            <w:r w:rsidRPr="007C1591">
              <w:rPr>
                <w:rStyle w:val="BoldandItalics"/>
              </w:rPr>
              <w:t>boards</w:t>
            </w:r>
            <w:r w:rsidRPr="007C1591">
              <w:t xml:space="preserve"> and </w:t>
            </w:r>
            <w:r w:rsidRPr="007C1591">
              <w:rPr>
                <w:rStyle w:val="BoldandItalics"/>
              </w:rPr>
              <w:t>timber</w:t>
            </w:r>
            <w:r w:rsidRPr="007C1591">
              <w:t xml:space="preserve"> are identified and followed</w:t>
            </w:r>
          </w:p>
          <w:p w:rsidR="00000000" w:rsidRPr="007C1591" w:rsidP="007C1591">
            <w:pPr>
              <w:pStyle w:val="List2"/>
            </w:pPr>
            <w:r w:rsidRPr="007C1591">
              <w:t>1.2.</w:t>
            </w:r>
            <w:r w:rsidRPr="007C1591">
              <w:tab/>
            </w:r>
            <w:r w:rsidRPr="007C1591">
              <w:rPr>
                <w:rStyle w:val="BoldandItalics"/>
              </w:rPr>
              <w:t>Work order</w:t>
            </w:r>
            <w:r w:rsidRPr="007C1591">
              <w:t xml:space="preserve"> is reviewed and clarified with </w:t>
            </w:r>
            <w:r w:rsidRPr="007C1591">
              <w:rPr>
                <w:rStyle w:val="BoldandItalics"/>
              </w:rPr>
              <w:t>appropriate personnel</w:t>
            </w:r>
          </w:p>
          <w:p w:rsidR="00000000" w:rsidRPr="007C1591" w:rsidP="007C1591">
            <w:pPr>
              <w:pStyle w:val="List2"/>
            </w:pPr>
            <w:r w:rsidRPr="007C1591">
              <w:t>1.3.</w:t>
            </w:r>
            <w:r w:rsidRPr="007C1591">
              <w:tab/>
              <w:t xml:space="preserve">Machinery and </w:t>
            </w:r>
            <w:r w:rsidRPr="007C1591">
              <w:rPr>
                <w:rStyle w:val="BoldandItalics"/>
              </w:rPr>
              <w:t>equipment</w:t>
            </w:r>
            <w:r w:rsidRPr="007C1591">
              <w:t xml:space="preserve"> are selected appropriate to work requirements and checked for operational effectiveness in line with ma</w:t>
            </w:r>
            <w:r w:rsidRPr="007C1591">
              <w:t>nufacturer recommendations</w:t>
            </w:r>
          </w:p>
          <w:p w:rsidR="00000000" w:rsidRPr="007C1591" w:rsidP="007C1591">
            <w:pPr>
              <w:pStyle w:val="List2"/>
            </w:pPr>
            <w:r w:rsidRPr="007C1591">
              <w:t>1.4.</w:t>
            </w:r>
            <w:r w:rsidRPr="007C1591">
              <w:tab/>
              <w:t>Machinery is adjusted to suit size and type of boards/timber to be processed in line with work order instructions</w:t>
            </w:r>
          </w:p>
          <w:p w:rsidR="00000000" w:rsidRPr="007C1591" w:rsidP="007C1591">
            <w:pPr>
              <w:pStyle w:val="List2"/>
            </w:pPr>
            <w:r w:rsidRPr="007C1591">
              <w:t>1.5.</w:t>
            </w:r>
            <w:r w:rsidRPr="007C1591">
              <w:tab/>
              <w:t>Pre-operational checks and lock-out procedures are conducted in line with manufacturer recommendations</w:t>
            </w:r>
          </w:p>
          <w:p w:rsidR="00000000" w:rsidRPr="007C1591" w:rsidP="007C1591">
            <w:pPr>
              <w:pStyle w:val="List2"/>
            </w:pPr>
            <w:r w:rsidRPr="007C1591">
              <w:t>1.</w:t>
            </w:r>
            <w:r w:rsidRPr="007C1591">
              <w:t>6.</w:t>
            </w:r>
            <w:r w:rsidRPr="007C1591">
              <w:tab/>
              <w:t>Required sawn board sizes and quantities and available material for sawing are identified from work order, schedules and site procedures</w:t>
            </w:r>
          </w:p>
          <w:p w:rsidR="00000000" w:rsidRPr="007C1591" w:rsidP="007C1591">
            <w:pPr>
              <w:pStyle w:val="List2"/>
            </w:pPr>
            <w:r w:rsidRPr="007C1591">
              <w:t>1.7.</w:t>
            </w:r>
            <w:r w:rsidRPr="007C1591">
              <w:tab/>
              <w:t>Sequence of cuts is planned where multiple cuts are required</w:t>
            </w:r>
          </w:p>
          <w:p w:rsidR="00000000" w:rsidP="007C1591">
            <w:pPr>
              <w:pStyle w:val="List2"/>
              <w:rPr>
                <w:lang w:val="en-NZ"/>
              </w:rPr>
            </w:pPr>
            <w:r w:rsidRPr="007C1591">
              <w:t>1.8.</w:t>
            </w:r>
            <w:r w:rsidRPr="007C1591">
              <w:tab/>
            </w:r>
            <w:r w:rsidRPr="007C1591">
              <w:rPr>
                <w:rStyle w:val="BoldandItalics"/>
              </w:rPr>
              <w:t>Communication</w:t>
            </w:r>
            <w:r w:rsidRPr="007C1591">
              <w:t xml:space="preserve"> with others is established and </w:t>
            </w:r>
            <w:r w:rsidRPr="007C1591">
              <w:t>maintained in line with OHS requirements</w:t>
            </w:r>
          </w:p>
        </w:tc>
      </w:tr>
      <w:tr w:rsidTr="00131ED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C1591">
            <w:pPr>
              <w:pStyle w:val="List"/>
              <w:rPr>
                <w:lang w:val="en-NZ"/>
              </w:rPr>
            </w:pPr>
            <w:r w:rsidRPr="007C1591">
              <w:t>2.</w:t>
            </w:r>
            <w:r w:rsidRPr="007C1591">
              <w:tab/>
              <w:t>Produce boards</w:t>
            </w:r>
          </w:p>
        </w:tc>
        <w:tc>
          <w:tcPr>
            <w:tcW w:w="5971" w:type="dxa"/>
            <w:tcBorders>
              <w:top w:val="nil"/>
              <w:left w:val="nil"/>
              <w:bottom w:val="nil"/>
              <w:right w:val="nil"/>
            </w:tcBorders>
            <w:tcMar>
              <w:top w:w="0" w:type="dxa"/>
              <w:left w:w="62" w:type="dxa"/>
              <w:bottom w:w="0" w:type="dxa"/>
              <w:right w:w="62" w:type="dxa"/>
            </w:tcMar>
          </w:tcPr>
          <w:p w:rsidR="00000000" w:rsidRPr="007C1591" w:rsidP="007C1591">
            <w:pPr>
              <w:pStyle w:val="List2"/>
            </w:pPr>
            <w:r w:rsidRPr="007C1591">
              <w:t>2.1.</w:t>
            </w:r>
            <w:r w:rsidRPr="007C1591">
              <w:tab/>
              <w:t>Boards and timber are sawn in line with work order, and environmental and OHS requirements</w:t>
            </w:r>
          </w:p>
          <w:p w:rsidR="00000000" w:rsidRPr="007C1591" w:rsidP="007C1591">
            <w:pPr>
              <w:pStyle w:val="List2"/>
            </w:pPr>
            <w:r w:rsidRPr="007C1591">
              <w:t>2.2.</w:t>
            </w:r>
            <w:r w:rsidRPr="007C1591">
              <w:tab/>
            </w:r>
            <w:r w:rsidRPr="007C1591">
              <w:t>Boards and timber are sawn using appropriate equipment in line with manufacturer recommendations, and OHS and site requirements</w:t>
            </w:r>
          </w:p>
          <w:p w:rsidR="00000000" w:rsidRPr="007C1591" w:rsidP="007C1591">
            <w:pPr>
              <w:pStyle w:val="List2"/>
            </w:pPr>
            <w:r w:rsidRPr="007C1591">
              <w:t>2.3.</w:t>
            </w:r>
            <w:r w:rsidRPr="007C1591">
              <w:tab/>
              <w:t>Saws, carriage and feeds are adjusted to suit dimensions and cutting sequence selected</w:t>
            </w:r>
          </w:p>
          <w:p w:rsidR="00000000" w:rsidRPr="007C1591" w:rsidP="007C1591">
            <w:pPr>
              <w:pStyle w:val="List2"/>
            </w:pPr>
            <w:r w:rsidRPr="007C1591">
              <w:t>2.4.</w:t>
            </w:r>
            <w:r w:rsidRPr="007C1591">
              <w:tab/>
              <w:t>Product quality, finish and mat</w:t>
            </w:r>
            <w:r w:rsidRPr="007C1591">
              <w:t xml:space="preserve">erial flow are maximised through </w:t>
            </w:r>
            <w:r w:rsidRPr="007C1591">
              <w:rPr>
                <w:rStyle w:val="BoldandItalics"/>
              </w:rPr>
              <w:t>cutting processes</w:t>
            </w:r>
            <w:r w:rsidRPr="007C1591">
              <w:t xml:space="preserve"> in line with OHS requirements, work order and site procedures</w:t>
            </w:r>
          </w:p>
          <w:p w:rsidR="00000000" w:rsidRPr="007C1591" w:rsidP="007C1591">
            <w:pPr>
              <w:pStyle w:val="List2"/>
            </w:pPr>
            <w:r w:rsidRPr="007C1591">
              <w:t>2.5.</w:t>
            </w:r>
            <w:r w:rsidRPr="007C1591">
              <w:tab/>
            </w:r>
            <w:r w:rsidRPr="007C1591">
              <w:rPr>
                <w:rStyle w:val="BoldandItalics"/>
              </w:rPr>
              <w:t>Work area is regularly cleared</w:t>
            </w:r>
            <w:r w:rsidRPr="007C1591">
              <w:t xml:space="preserve"> in line with site standards, and environmental and OHS requirements</w:t>
            </w:r>
          </w:p>
          <w:p w:rsidR="00000000" w:rsidRPr="007C1591" w:rsidP="007C1591">
            <w:pPr>
              <w:pStyle w:val="List2"/>
            </w:pPr>
            <w:r w:rsidRPr="007C1591">
              <w:t>2.6.</w:t>
            </w:r>
            <w:r w:rsidRPr="007C1591">
              <w:tab/>
            </w:r>
            <w:r w:rsidRPr="007C1591">
              <w:rPr>
                <w:rStyle w:val="BoldandItalics"/>
              </w:rPr>
              <w:t>Problems</w:t>
            </w:r>
            <w:r w:rsidRPr="007C1591">
              <w:t xml:space="preserve"> are identified and resolv</w:t>
            </w:r>
            <w:r w:rsidRPr="007C1591">
              <w:t>ed in line with site procedures</w:t>
            </w:r>
          </w:p>
          <w:p w:rsidR="00000000" w:rsidRPr="007C1591" w:rsidP="007C1591">
            <w:pPr>
              <w:pStyle w:val="List2"/>
            </w:pPr>
            <w:r w:rsidRPr="007C1591">
              <w:t>2.7.</w:t>
            </w:r>
            <w:r w:rsidRPr="007C1591">
              <w:tab/>
              <w:t xml:space="preserve">Damaged sawn material is </w:t>
            </w:r>
            <w:r w:rsidRPr="007C1591">
              <w:rPr>
                <w:rStyle w:val="BoldandItalics"/>
              </w:rPr>
              <w:t>disposed of</w:t>
            </w:r>
            <w:r w:rsidRPr="007C1591">
              <w:t xml:space="preserve"> in line with site procedures and environmental requirements</w:t>
            </w:r>
          </w:p>
          <w:p w:rsidR="00000000" w:rsidP="007C1591">
            <w:pPr>
              <w:pStyle w:val="List2"/>
              <w:rPr>
                <w:lang w:val="en-NZ"/>
              </w:rPr>
            </w:pPr>
            <w:r w:rsidRPr="007C1591">
              <w:t>2.8.</w:t>
            </w:r>
            <w:r w:rsidRPr="007C1591">
              <w:tab/>
              <w:t>Sawn material is tallied and monitored against work order</w:t>
            </w:r>
          </w:p>
        </w:tc>
      </w:tr>
      <w:tr w:rsidTr="00131ED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C1591">
            <w:pPr>
              <w:pStyle w:val="List"/>
              <w:rPr>
                <w:lang w:val="en-NZ"/>
              </w:rPr>
            </w:pPr>
            <w:r w:rsidRPr="007C1591">
              <w:t>3.</w:t>
            </w:r>
            <w:r w:rsidRPr="007C1591">
              <w:tab/>
              <w:t>Maintain sawing conditions</w:t>
            </w:r>
          </w:p>
        </w:tc>
        <w:tc>
          <w:tcPr>
            <w:tcW w:w="5971" w:type="dxa"/>
            <w:tcBorders>
              <w:top w:val="nil"/>
              <w:left w:val="nil"/>
              <w:bottom w:val="nil"/>
              <w:right w:val="nil"/>
            </w:tcBorders>
            <w:tcMar>
              <w:top w:w="0" w:type="dxa"/>
              <w:left w:w="62" w:type="dxa"/>
              <w:bottom w:w="0" w:type="dxa"/>
              <w:right w:w="62" w:type="dxa"/>
            </w:tcMar>
          </w:tcPr>
          <w:p w:rsidR="00000000" w:rsidRPr="007C1591" w:rsidP="007C1591">
            <w:pPr>
              <w:pStyle w:val="List2"/>
            </w:pPr>
            <w:r w:rsidRPr="007C1591">
              <w:t>3.1.</w:t>
            </w:r>
            <w:r w:rsidRPr="007C1591">
              <w:tab/>
              <w:t>Sawing conditions are r</w:t>
            </w:r>
            <w:r w:rsidRPr="007C1591">
              <w:t>egularly assessed and adjusted to optimise feed rate and finish in line with OHS requirements, site standards and procedures</w:t>
            </w:r>
          </w:p>
          <w:p w:rsidR="00000000" w:rsidRPr="007C1591" w:rsidP="007C1591">
            <w:pPr>
              <w:pStyle w:val="List2"/>
            </w:pPr>
            <w:r w:rsidRPr="007C1591">
              <w:t>3.2.</w:t>
            </w:r>
            <w:r w:rsidRPr="007C1591">
              <w:tab/>
              <w:t>Sawing feed rates and finish are evaluated to determine board size, timber species and condition in line with site procedures</w:t>
            </w:r>
          </w:p>
          <w:p w:rsidR="00000000" w:rsidRPr="007C1591" w:rsidP="007C1591">
            <w:pPr>
              <w:pStyle w:val="List2"/>
            </w:pPr>
            <w:r w:rsidRPr="007C1591">
              <w:t>3.3.</w:t>
            </w:r>
            <w:r w:rsidRPr="007C1591">
              <w:tab/>
              <w:t>Cross section dimensions of sawn boards are regularly monitored against standard sizes and tolerances, and sawing process is adjusted as required</w:t>
            </w:r>
          </w:p>
          <w:p w:rsidR="00000000" w:rsidRPr="007C1591" w:rsidP="007C1591">
            <w:pPr>
              <w:pStyle w:val="List2"/>
            </w:pPr>
            <w:r w:rsidRPr="007C1591">
              <w:t>3.4.</w:t>
            </w:r>
            <w:r w:rsidRPr="007C1591">
              <w:tab/>
              <w:t xml:space="preserve">Routine sawing and equipment </w:t>
            </w:r>
            <w:r w:rsidRPr="007C1591">
              <w:rPr>
                <w:rStyle w:val="BoldandItalics"/>
              </w:rPr>
              <w:t>faults</w:t>
            </w:r>
            <w:r w:rsidRPr="007C1591">
              <w:t xml:space="preserve"> are recognised and resolved or reported in line with site proced</w:t>
            </w:r>
            <w:r w:rsidRPr="007C1591">
              <w:t>ures</w:t>
            </w:r>
          </w:p>
          <w:p w:rsidR="00000000" w:rsidRPr="007C1591" w:rsidP="007C1591">
            <w:pPr>
              <w:pStyle w:val="List2"/>
            </w:pPr>
            <w:r w:rsidRPr="007C1591">
              <w:t>3.5.</w:t>
            </w:r>
            <w:r w:rsidRPr="007C1591">
              <w:tab/>
              <w:t xml:space="preserve">Equipment is </w:t>
            </w:r>
            <w:r w:rsidRPr="007C1591">
              <w:rPr>
                <w:rStyle w:val="BoldandItalics"/>
              </w:rPr>
              <w:t>maintained</w:t>
            </w:r>
            <w:r w:rsidRPr="007C1591">
              <w:t xml:space="preserve"> in line with OHS requirements, site procedures, manufacturer recommendations and environmental requirements</w:t>
            </w:r>
          </w:p>
          <w:p w:rsidR="00000000" w:rsidRPr="007C1591" w:rsidP="007C1591">
            <w:pPr>
              <w:pStyle w:val="List2"/>
            </w:pPr>
            <w:r w:rsidRPr="007C1591">
              <w:t>3.6.</w:t>
            </w:r>
            <w:r w:rsidRPr="007C1591">
              <w:tab/>
              <w:t xml:space="preserve">Blunt cutters or saw blades are </w:t>
            </w:r>
            <w:r w:rsidRPr="007C1591">
              <w:rPr>
                <w:rStyle w:val="BoldandItalics"/>
              </w:rPr>
              <w:t>dealt with</w:t>
            </w:r>
            <w:r w:rsidRPr="007C1591">
              <w:t xml:space="preserve"> in line with site procedures, manufacturer recommendations and env</w:t>
            </w:r>
            <w:r w:rsidRPr="007C1591">
              <w:t>ironmental requirements</w:t>
            </w:r>
          </w:p>
          <w:p w:rsidR="00000000" w:rsidRPr="007C1591" w:rsidP="007C1591">
            <w:pPr>
              <w:pStyle w:val="List2"/>
            </w:pPr>
            <w:r w:rsidRPr="007C1591">
              <w:t>3.7.</w:t>
            </w:r>
            <w:r w:rsidRPr="007C1591">
              <w:tab/>
              <w:t>Equipment lock-out procedures are applied in line with OHS requirements and site procedures</w:t>
            </w:r>
          </w:p>
          <w:p w:rsidR="00000000" w:rsidRPr="007C1591" w:rsidP="007C1591">
            <w:pPr>
              <w:pStyle w:val="List2"/>
            </w:pPr>
            <w:r w:rsidRPr="007C1591">
              <w:t>3.8.</w:t>
            </w:r>
            <w:r w:rsidRPr="007C1591">
              <w:tab/>
              <w:t xml:space="preserve">Production and quality </w:t>
            </w:r>
            <w:r w:rsidRPr="007C1591">
              <w:rPr>
                <w:rStyle w:val="BoldandItalics"/>
              </w:rPr>
              <w:t>records and reports</w:t>
            </w:r>
            <w:r w:rsidRPr="007C1591">
              <w:t xml:space="preserve"> are processed in line with site procedures and organisational requirements</w:t>
            </w:r>
          </w:p>
        </w:tc>
      </w:tr>
    </w:tbl>
    <w:p w:rsidR="00131EDB" w:rsidP="007C1591">
      <w:pPr>
        <w:pStyle w:val="BodyText"/>
      </w:pPr>
    </w:p>
    <w:p w:rsidR="00131EDB" w:rsidP="007C1591">
      <w:pPr>
        <w:pStyle w:val="BodyText"/>
      </w:pPr>
    </w:p>
    <w:p w:rsidR="00000000" w:rsidRPr="007C1591" w:rsidP="007C1591">
      <w:pPr>
        <w:pStyle w:val="Heading1"/>
      </w:pPr>
      <w:bookmarkStart w:id="9" w:name="O_259167"/>
      <w:bookmarkEnd w:id="9"/>
      <w:r w:rsidRPr="007C1591">
        <w:t>Required Skills and Knowledge</w:t>
      </w:r>
    </w:p>
    <w:tbl>
      <w:tblPr>
        <w:tblW w:w="0" w:type="auto"/>
        <w:tblLayout w:type="fixed"/>
        <w:tblCellMar>
          <w:left w:w="62" w:type="dxa"/>
          <w:right w:w="62" w:type="dxa"/>
        </w:tblCellMar>
        <w:tblLook w:val="0000"/>
      </w:tblPr>
      <w:tblGrid>
        <w:gridCol w:w="8522"/>
      </w:tblGrid>
      <w:tr w:rsidTr="00131ED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REQUIRED SKILLS AND KNOWLEDGE</w:t>
            </w:r>
          </w:p>
        </w:tc>
      </w:tr>
      <w:tr w:rsidTr="00131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t>This describes the essential skills and knowledge and their level required for this unit.</w:t>
            </w:r>
          </w:p>
        </w:tc>
      </w:tr>
      <w:tr w:rsidTr="00131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Required skills</w:t>
            </w:r>
          </w:p>
        </w:tc>
      </w:tr>
      <w:tr w:rsidTr="00131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Technical skills sufficient to use and maintain relevant tools, machinery and equipment, including to carry out lock-out procedures; safely saw boards and timber at optimum rate and finish</w:t>
            </w:r>
          </w:p>
          <w:p w:rsidR="00000000" w:rsidRPr="007C1591" w:rsidP="007C1591">
            <w:pPr>
              <w:pStyle w:val="ListBullet"/>
            </w:pPr>
            <w:r w:rsidRPr="007C1591">
              <w:t>Communication skills and interpersonal techniques sufficient to int</w:t>
            </w:r>
            <w:r w:rsidRPr="007C1591">
              <w:t>eract appropriately with colleagues and others in the workplace; locate, record and report information</w:t>
            </w:r>
          </w:p>
          <w:p w:rsidR="00000000" w:rsidRPr="007C1591" w:rsidP="007C1591">
            <w:pPr>
              <w:pStyle w:val="ListBullet"/>
            </w:pPr>
            <w:r w:rsidRPr="007C1591">
              <w:t>Literacy skills sufficient to follow legislation, regulations, standards, codes of practice and established safe practices and procedures for resawing bo</w:t>
            </w:r>
            <w:r w:rsidRPr="007C1591">
              <w:t>ards and timber</w:t>
            </w:r>
          </w:p>
          <w:p w:rsidR="00000000" w:rsidRPr="007C1591" w:rsidP="007C1591">
            <w:pPr>
              <w:pStyle w:val="ListBullet"/>
            </w:pPr>
            <w:r w:rsidRPr="007C1591">
              <w:t>Numeracy skills sufficient to apply mathematical processes to measure sawn dimensions with accuracy appropriate to tolerances; estimate, measure and calculate time required to complete a task</w:t>
            </w:r>
          </w:p>
          <w:p w:rsidR="00000000" w:rsidP="007C1591">
            <w:pPr>
              <w:pStyle w:val="ListBullet"/>
              <w:rPr>
                <w:lang w:val="en-NZ"/>
              </w:rPr>
            </w:pPr>
            <w:r w:rsidRPr="007C1591">
              <w:t>Problem solving skills sufficient to review and identify work requirements; identify problems and equipment faults; demonstrate appropriate response procedures</w:t>
            </w:r>
          </w:p>
        </w:tc>
      </w:tr>
      <w:tr w:rsidTr="00131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Required knowledge</w:t>
            </w:r>
          </w:p>
        </w:tc>
      </w:tr>
      <w:tr w:rsidTr="00131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Applicable commonwealth, state or territory legislation, regulations, stan</w:t>
            </w:r>
            <w:r w:rsidRPr="007C1591">
              <w:t>dards, codes of practice and established safe practices relevant to the full range of processes for resawing boards and timber</w:t>
            </w:r>
          </w:p>
          <w:p w:rsidR="00000000" w:rsidRPr="007C1591" w:rsidP="007C1591">
            <w:pPr>
              <w:pStyle w:val="ListBullet"/>
            </w:pPr>
            <w:r w:rsidRPr="007C1591">
              <w:t>Environmental protection requirements, including the safe disposal of waste material and the cleaning of plant, tools and equipme</w:t>
            </w:r>
            <w:r w:rsidRPr="007C1591">
              <w:t>nt</w:t>
            </w:r>
          </w:p>
          <w:p w:rsidR="00000000" w:rsidRPr="007C1591" w:rsidP="007C1591">
            <w:pPr>
              <w:pStyle w:val="ListBullet"/>
            </w:pPr>
            <w:r w:rsidRPr="007C1591">
              <w:t>Organisational and site standards, requirements, policies and procedures for resawing boards and timber</w:t>
            </w:r>
          </w:p>
          <w:p w:rsidR="00000000" w:rsidRPr="007C1591" w:rsidP="007C1591">
            <w:pPr>
              <w:pStyle w:val="ListBullet"/>
            </w:pPr>
            <w:r w:rsidRPr="007C1591">
              <w:t>Environmental risks and hazards</w:t>
            </w:r>
          </w:p>
          <w:p w:rsidR="00000000" w:rsidRPr="007C1591" w:rsidP="007C1591">
            <w:pPr>
              <w:pStyle w:val="ListBullet"/>
            </w:pPr>
            <w:r w:rsidRPr="007C1591">
              <w:t>Criteria for recycling and re-using damaged sawn material</w:t>
            </w:r>
          </w:p>
          <w:p w:rsidR="00000000" w:rsidRPr="007C1591" w:rsidP="007C1591">
            <w:pPr>
              <w:pStyle w:val="ListBullet"/>
            </w:pPr>
            <w:r w:rsidRPr="007C1591">
              <w:t>Industry standard cross section and length dimensions and t</w:t>
            </w:r>
            <w:r w:rsidRPr="007C1591">
              <w:t>olerances</w:t>
            </w:r>
          </w:p>
          <w:p w:rsidR="00000000" w:rsidRPr="007C1591" w:rsidP="007C1591">
            <w:pPr>
              <w:pStyle w:val="ListBullet"/>
            </w:pPr>
            <w:r w:rsidRPr="007C1591">
              <w:t>Typical cutting patterns</w:t>
            </w:r>
          </w:p>
          <w:p w:rsidR="00000000" w:rsidRPr="007C1591" w:rsidP="007C1591">
            <w:pPr>
              <w:pStyle w:val="ListBullet"/>
            </w:pPr>
            <w:r w:rsidRPr="007C1591">
              <w:t>Established communication channels and protocols</w:t>
            </w:r>
          </w:p>
          <w:p w:rsidR="00000000" w:rsidRPr="007C1591" w:rsidP="007C1591">
            <w:pPr>
              <w:pStyle w:val="ListBullet"/>
            </w:pPr>
            <w:r w:rsidRPr="007C1591">
              <w:t>Problem identification and resolution strategies, and common fault finding techniques</w:t>
            </w:r>
          </w:p>
          <w:p w:rsidR="00000000" w:rsidRPr="007C1591" w:rsidP="007C1591">
            <w:pPr>
              <w:pStyle w:val="ListBullet"/>
            </w:pPr>
            <w:r w:rsidRPr="007C1591">
              <w:t>Types of tools and equipment, and procedures for their safe use, operation and mainten</w:t>
            </w:r>
            <w:r w:rsidRPr="007C1591">
              <w:t>ance</w:t>
            </w:r>
          </w:p>
          <w:p w:rsidR="00000000" w:rsidRPr="007C1591" w:rsidP="007C1591">
            <w:pPr>
              <w:pStyle w:val="ListBullet"/>
            </w:pPr>
            <w:r w:rsidRPr="007C1591">
              <w:t>Appropriate mathematical procedures for estimating and measuring, including calculating time to complete tasks</w:t>
            </w:r>
          </w:p>
          <w:p w:rsidR="00000000" w:rsidRPr="007C1591" w:rsidP="007C1591">
            <w:pPr>
              <w:pStyle w:val="ListBullet"/>
            </w:pPr>
            <w:r w:rsidRPr="007C1591">
              <w:t>Procedures for recording and reporting workplace information</w:t>
            </w:r>
          </w:p>
        </w:tc>
      </w:tr>
    </w:tbl>
    <w:p w:rsidR="00131EDB" w:rsidP="007C1591">
      <w:pPr>
        <w:pStyle w:val="BodyText"/>
      </w:pPr>
    </w:p>
    <w:p w:rsidR="00131EDB" w:rsidP="007C1591">
      <w:pPr>
        <w:pStyle w:val="BodyText"/>
      </w:pPr>
    </w:p>
    <w:p w:rsidR="00000000" w:rsidRPr="007C1591" w:rsidP="007C1591">
      <w:pPr>
        <w:pStyle w:val="AllowPageBreak"/>
      </w:pPr>
    </w:p>
    <w:p w:rsidR="00000000" w:rsidRPr="007C1591" w:rsidP="007C1591">
      <w:pPr>
        <w:pStyle w:val="Heading1"/>
      </w:pPr>
      <w:bookmarkStart w:id="10" w:name="O_243201"/>
      <w:bookmarkEnd w:id="10"/>
      <w:r w:rsidRPr="007C1591">
        <w:t>Evidence Guide</w:t>
      </w:r>
    </w:p>
    <w:tbl>
      <w:tblPr>
        <w:tblW w:w="9570" w:type="dxa"/>
        <w:tblLayout w:type="fixed"/>
        <w:tblCellMar>
          <w:left w:w="62" w:type="dxa"/>
          <w:right w:w="62" w:type="dxa"/>
        </w:tblCellMar>
        <w:tblLook w:val="0000"/>
      </w:tblPr>
      <w:tblGrid>
        <w:gridCol w:w="3908"/>
        <w:gridCol w:w="5662"/>
      </w:tblGrid>
      <w:tr w:rsidTr="00131ED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EVIDENCE GUIDE</w:t>
            </w:r>
          </w:p>
        </w:tc>
      </w:tr>
      <w:tr w:rsidTr="00131ED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t>The evidence guide provides advice on assessment and must be read in conjunction with the performance criteria, required skills and knowledge, range statement and the Assessment Guidelines for the Training Package.</w:t>
            </w:r>
          </w:p>
        </w:tc>
      </w:tr>
      <w:tr w:rsidTr="00131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A person who demonstrates competency in this unit must be able to provide evidence that they can safely and efficiently:</w:t>
            </w:r>
          </w:p>
          <w:p w:rsidR="00000000" w:rsidRPr="007C1591" w:rsidP="007C1591">
            <w:pPr>
              <w:pStyle w:val="ListBullet"/>
            </w:pPr>
            <w:r w:rsidRPr="007C1591">
              <w:t>resaw boards and timber</w:t>
            </w:r>
          </w:p>
          <w:p w:rsidR="00000000" w:rsidP="007C1591">
            <w:pPr>
              <w:pStyle w:val="ListBullet"/>
              <w:rPr>
                <w:lang w:val="en-NZ"/>
              </w:rPr>
            </w:pPr>
            <w:r w:rsidRPr="007C1591">
              <w:t>maintain sawing conditions and equipment according to organisational guidelines</w:t>
            </w:r>
          </w:p>
        </w:tc>
      </w:tr>
      <w:tr w:rsidTr="00131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Critical aspects for assessme</w:t>
            </w:r>
            <w:r w:rsidRPr="007C1591">
              <w:rPr>
                <w:rStyle w:val="SpecialBold"/>
              </w:rPr>
              <w:t>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 xml:space="preserve">The evidence required to demonstrate competency in this unit must be relevant to, and satisfy, all of the requirements of the elements of this unit and include demonstration of: </w:t>
            </w:r>
          </w:p>
          <w:p w:rsidR="00000000" w:rsidRPr="007C1591" w:rsidP="007C1591">
            <w:pPr>
              <w:pStyle w:val="ListBullet"/>
            </w:pPr>
            <w:r w:rsidRPr="007C1591">
              <w:t>following ap</w:t>
            </w:r>
            <w:r w:rsidRPr="007C1591">
              <w:t>plicable commonwealth, state or territory legislative and regulatory requirements and codes of practice relevant to resawing boards and timber</w:t>
            </w:r>
          </w:p>
          <w:p w:rsidR="00000000" w:rsidRPr="007C1591" w:rsidP="007C1591">
            <w:pPr>
              <w:pStyle w:val="ListBullet"/>
            </w:pPr>
            <w:r w:rsidRPr="007C1591">
              <w:t>following organisational policies and procedures relevant to resawing boards and timber</w:t>
            </w:r>
          </w:p>
          <w:p w:rsidR="00000000" w:rsidRPr="007C1591" w:rsidP="007C1591">
            <w:pPr>
              <w:pStyle w:val="ListBullet"/>
            </w:pPr>
            <w:r w:rsidRPr="007C1591">
              <w:t>communicating and working</w:t>
            </w:r>
            <w:r w:rsidRPr="007C1591">
              <w:t xml:space="preserve"> safely with others in the work area</w:t>
            </w:r>
          </w:p>
          <w:p w:rsidR="00000000" w:rsidRPr="007C1591" w:rsidP="007C1591">
            <w:pPr>
              <w:pStyle w:val="ListBullet"/>
            </w:pPr>
            <w:r w:rsidRPr="007C1591">
              <w:t>preparing for, monitoring and maintaining sawing processes and conditions to produce boards at an appropriate finish and volume</w:t>
            </w:r>
          </w:p>
          <w:p w:rsidR="00000000" w:rsidP="007C1591">
            <w:pPr>
              <w:pStyle w:val="ListBullet"/>
              <w:rPr>
                <w:lang w:val="en-NZ"/>
              </w:rPr>
            </w:pPr>
            <w:r w:rsidRPr="007C1591">
              <w:t>operating and maintaining equipment to suit required dimensions, cutting sequence, feed rat</w:t>
            </w:r>
            <w:r w:rsidRPr="007C1591">
              <w:t>es and finish</w:t>
            </w:r>
          </w:p>
        </w:tc>
      </w:tr>
      <w:tr w:rsidTr="00131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Competency is to be assessed in the workplace or realistically simulated workplace</w:t>
            </w:r>
          </w:p>
          <w:p w:rsidR="00000000" w:rsidRPr="007C1591" w:rsidP="007C1591">
            <w:pPr>
              <w:pStyle w:val="ListBullet"/>
            </w:pPr>
            <w:r w:rsidRPr="007C1591">
              <w:t>Assessment is to occur under standard and authorised work practices, safety requirements and environmental c</w:t>
            </w:r>
            <w:r w:rsidRPr="007C1591">
              <w:t>onstraints</w:t>
            </w:r>
          </w:p>
          <w:p w:rsidR="00000000" w:rsidRPr="007C1591" w:rsidP="007C1591">
            <w:pPr>
              <w:pStyle w:val="ListBullet"/>
            </w:pPr>
            <w:r w:rsidRPr="007C1591">
              <w:t>Assessment of required knowledge, other than confirmatory questions, will usually be conducted in an off-site context</w:t>
            </w:r>
          </w:p>
          <w:p w:rsidR="00000000" w:rsidRPr="007C1591" w:rsidP="007C1591">
            <w:pPr>
              <w:pStyle w:val="ListBullet"/>
            </w:pPr>
            <w:r w:rsidRPr="007C1591">
              <w:t>Assessment is to follow relevant regulatory or Australian Standards requirements</w:t>
            </w:r>
          </w:p>
          <w:p w:rsidR="00000000" w:rsidRPr="007C1591" w:rsidP="007C1591">
            <w:pPr>
              <w:pStyle w:val="ListBullet"/>
            </w:pPr>
            <w:r w:rsidRPr="007C1591">
              <w:t>The following resources should be made available:</w:t>
            </w:r>
          </w:p>
          <w:p w:rsidR="00000000" w:rsidRPr="007C1591" w:rsidP="007C1591">
            <w:pPr>
              <w:pStyle w:val="ListBullet3"/>
            </w:pPr>
            <w:r w:rsidRPr="007C1591">
              <w:t>workplace location or simulated workplace</w:t>
            </w:r>
          </w:p>
          <w:p w:rsidR="00000000" w:rsidRPr="007C1591" w:rsidP="007C1591">
            <w:pPr>
              <w:pStyle w:val="ListBullet3"/>
            </w:pPr>
            <w:r w:rsidRPr="007C1591">
              <w:t>materials and equipment relevant to undertaking work applicable to this unit</w:t>
            </w:r>
          </w:p>
          <w:p w:rsidR="00000000" w:rsidP="007C1591">
            <w:pPr>
              <w:pStyle w:val="ListBullet3"/>
              <w:rPr>
                <w:lang w:val="en-NZ"/>
              </w:rPr>
            </w:pPr>
            <w:r w:rsidRPr="007C1591">
              <w:t>specifications and work instructions</w:t>
            </w:r>
          </w:p>
        </w:tc>
      </w:tr>
      <w:tr w:rsidTr="00131ED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Assessment must satisfy th</w:t>
            </w:r>
            <w:r w:rsidRPr="007C1591">
              <w:t>e endorsed Assessment Guidelines of the FPI11 Training Package</w:t>
            </w:r>
          </w:p>
          <w:p w:rsidR="00000000" w:rsidRPr="007C1591" w:rsidP="007C1591">
            <w:pPr>
              <w:pStyle w:val="ListBullet"/>
            </w:pPr>
            <w:r w:rsidRPr="007C1591">
              <w:t>Assessment methods must confirm consistency and accuracy of performance (over time and in a range of workplace relevant contexts) together with application of required knowledge</w:t>
            </w:r>
          </w:p>
          <w:p w:rsidR="00000000" w:rsidRPr="007C1591" w:rsidP="007C1591">
            <w:pPr>
              <w:pStyle w:val="ListBullet"/>
            </w:pPr>
            <w:r w:rsidRPr="007C1591">
              <w:t>Assessment must</w:t>
            </w:r>
            <w:r w:rsidRPr="007C1591">
              <w:t xml:space="preserve"> be by direct observation of tasks, with questioning on required knowledge and it must also reinforce the integration of employability skills</w:t>
            </w:r>
          </w:p>
          <w:p w:rsidR="00000000" w:rsidRPr="007C1591" w:rsidP="007C1591">
            <w:pPr>
              <w:pStyle w:val="ListBullet"/>
            </w:pPr>
            <w:r w:rsidRPr="007C1591">
              <w:t>Assessment methods must confirm the ability to access and correctly interpret and apply the required knowledge</w:t>
            </w:r>
          </w:p>
          <w:p w:rsidR="00000000" w:rsidRPr="007C1591" w:rsidP="007C1591">
            <w:pPr>
              <w:pStyle w:val="ListBullet"/>
            </w:pPr>
            <w:r w:rsidRPr="007C1591">
              <w:t>Ass</w:t>
            </w:r>
            <w:r w:rsidRPr="007C1591">
              <w:t>essment may be applied under project-related conditions (real or simulated) and require evidence of process</w:t>
            </w:r>
          </w:p>
          <w:p w:rsidR="00000000" w:rsidRPr="007C1591" w:rsidP="007C1591">
            <w:pPr>
              <w:pStyle w:val="ListBullet"/>
            </w:pPr>
            <w:r w:rsidRPr="007C1591">
              <w:t>Assessment must confirm a reasonable inference that competency is able not only to be satisfied under the particular circumstance, but is able to be</w:t>
            </w:r>
            <w:r w:rsidRPr="007C1591">
              <w:t xml:space="preserve"> transferred to other circumstances</w:t>
            </w:r>
          </w:p>
          <w:p w:rsidR="00000000" w:rsidRPr="007C1591" w:rsidP="007C1591">
            <w:pPr>
              <w:pStyle w:val="ListBullet"/>
            </w:pPr>
            <w:r w:rsidRPr="007C1591">
              <w:t>Assessment may be in conjunction with assessment of other units of competency</w:t>
            </w:r>
          </w:p>
          <w:p w:rsidR="00000000" w:rsidRPr="007C1591" w:rsidP="007C1591">
            <w:pPr>
              <w:pStyle w:val="ListBullet"/>
            </w:pPr>
            <w:r w:rsidRPr="007C1591">
              <w:t>The assessment environment should not disadvantage the candidate</w:t>
            </w:r>
          </w:p>
          <w:p w:rsidR="00000000" w:rsidRPr="007C1591" w:rsidP="007C1591">
            <w:pPr>
              <w:pStyle w:val="ListBullet"/>
            </w:pPr>
            <w:r w:rsidRPr="007C1591">
              <w:t>Assessment practices should take into account any relevant language or cultur</w:t>
            </w:r>
            <w:r w:rsidRPr="007C1591">
              <w:t>al issues related to Aboriginality, gender or language backgrounds other than English</w:t>
            </w:r>
          </w:p>
          <w:p w:rsidR="00000000" w:rsidRPr="007C1591" w:rsidP="007C1591">
            <w:pPr>
              <w:pStyle w:val="ListBullet"/>
            </w:pPr>
            <w:r w:rsidRPr="007C1591">
              <w:t>Where the participant has a disability, reasonable adjustment may be applied during assessment</w:t>
            </w:r>
          </w:p>
          <w:p w:rsidR="00000000" w:rsidRPr="007C1591" w:rsidP="007C1591">
            <w:pPr>
              <w:pStyle w:val="ListBullet"/>
            </w:pPr>
            <w:r w:rsidRPr="007C1591">
              <w:t>Language and literacy demands of the assessment task should not be higher t</w:t>
            </w:r>
            <w:r w:rsidRPr="007C1591">
              <w:t>han those of the work role</w:t>
            </w:r>
          </w:p>
        </w:tc>
      </w:tr>
    </w:tbl>
    <w:p w:rsidR="00131EDB" w:rsidP="007C1591">
      <w:pPr>
        <w:pStyle w:val="BodyText"/>
      </w:pPr>
    </w:p>
    <w:p w:rsidR="00131EDB" w:rsidP="007C1591">
      <w:pPr>
        <w:pStyle w:val="BodyText"/>
      </w:pPr>
    </w:p>
    <w:p w:rsidR="00000000" w:rsidRPr="007C1591" w:rsidP="007C1591">
      <w:pPr>
        <w:pStyle w:val="Heading1"/>
      </w:pPr>
      <w:bookmarkStart w:id="11" w:name="O_251184"/>
      <w:bookmarkEnd w:id="11"/>
      <w:r w:rsidRPr="007C1591">
        <w:t>Range Statement</w:t>
      </w:r>
    </w:p>
    <w:tbl>
      <w:tblPr>
        <w:tblW w:w="0" w:type="auto"/>
        <w:tblLayout w:type="fixed"/>
        <w:tblCellMar>
          <w:left w:w="62" w:type="dxa"/>
          <w:right w:w="62" w:type="dxa"/>
        </w:tblCellMar>
        <w:tblLook w:val="0000"/>
      </w:tblPr>
      <w:tblGrid>
        <w:gridCol w:w="3537"/>
        <w:gridCol w:w="4985"/>
      </w:tblGrid>
      <w:tr w:rsidTr="00131ED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RANGE STATEMENT</w:t>
            </w:r>
          </w:p>
        </w:tc>
      </w:tr>
      <w:tr w:rsidTr="00131ED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t xml:space="preserve">The range statement relates to the unit of competency as a whole. It allows for different work environments and situations that may affect </w:t>
            </w:r>
            <w:r w:rsidRPr="007C1591">
              <w:t>performance. Bold italicised wording, if used in the performance criteria, is detailed below. Essential operating conditions that may be present with training and assessment (depending on the work situation, needs of the candidate, accessibility of the ite</w:t>
            </w:r>
            <w:r w:rsidRPr="007C1591">
              <w:t>m, and local industry and regional contexts) may also be included.</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OHS requirements</w:t>
            </w:r>
            <w:r w:rsidRPr="007C1591">
              <w:t>:</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are to be in line with applicable commonwealth, state or territory legislation and regulations, and organisational safety policies and procedures, and may include:</w:t>
            </w:r>
          </w:p>
          <w:p w:rsidR="00000000" w:rsidRPr="007C1591" w:rsidP="007C1591">
            <w:pPr>
              <w:pStyle w:val="ListBullet"/>
            </w:pPr>
            <w:r w:rsidRPr="007C1591">
              <w:t>pers</w:t>
            </w:r>
            <w:r w:rsidRPr="007C1591">
              <w:t>onal protective equipment and clothing</w:t>
            </w:r>
          </w:p>
          <w:p w:rsidR="00000000" w:rsidRPr="007C1591" w:rsidP="007C1591">
            <w:pPr>
              <w:pStyle w:val="ListBullet"/>
            </w:pPr>
            <w:r w:rsidRPr="007C1591">
              <w:t>safety equipment</w:t>
            </w:r>
          </w:p>
          <w:p w:rsidR="00000000" w:rsidRPr="007C1591" w:rsidP="007C1591">
            <w:pPr>
              <w:pStyle w:val="ListBullet"/>
            </w:pPr>
            <w:r w:rsidRPr="007C1591">
              <w:t>first aid equipment</w:t>
            </w:r>
          </w:p>
          <w:p w:rsidR="00000000" w:rsidRPr="007C1591" w:rsidP="007C1591">
            <w:pPr>
              <w:pStyle w:val="ListBullet"/>
            </w:pPr>
            <w:r w:rsidRPr="007C1591">
              <w:t>fire fighting equipment</w:t>
            </w:r>
          </w:p>
          <w:p w:rsidR="00000000" w:rsidRPr="007C1591" w:rsidP="007C1591">
            <w:pPr>
              <w:pStyle w:val="ListBullet"/>
            </w:pPr>
            <w:r w:rsidRPr="007C1591">
              <w:t>hazard and risk control</w:t>
            </w:r>
          </w:p>
          <w:p w:rsidR="00000000" w:rsidRPr="007C1591" w:rsidP="007C1591">
            <w:pPr>
              <w:pStyle w:val="ListBullet"/>
            </w:pPr>
            <w:r w:rsidRPr="007C1591">
              <w:t>fatigue management</w:t>
            </w:r>
          </w:p>
          <w:p w:rsidR="00000000" w:rsidRPr="007C1591" w:rsidP="007C1591">
            <w:pPr>
              <w:pStyle w:val="ListBullet"/>
            </w:pPr>
            <w:r w:rsidRPr="007C1591">
              <w:t>elimination of hazardous materials and substances</w:t>
            </w:r>
          </w:p>
          <w:p w:rsidR="00000000" w:rsidRPr="007C1591" w:rsidP="007C1591">
            <w:pPr>
              <w:pStyle w:val="ListBullet"/>
            </w:pPr>
            <w:r w:rsidRPr="007C1591">
              <w:t>safe forest practices, including required actions relating to forest fire</w:t>
            </w:r>
          </w:p>
          <w:p w:rsidR="00000000" w:rsidP="007C1591">
            <w:pPr>
              <w:pStyle w:val="ListBullet"/>
              <w:rPr>
                <w:lang w:val="en-NZ"/>
              </w:rPr>
            </w:pPr>
            <w:r w:rsidRPr="007C1591">
              <w:t>manual handling including shifting, lifting and carrying</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Environmental requirements may include</w:t>
            </w:r>
            <w:r w:rsidRPr="007C1591">
              <w:t>:</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legislation</w:t>
            </w:r>
          </w:p>
          <w:p w:rsidR="00000000" w:rsidRPr="007C1591" w:rsidP="007C1591">
            <w:pPr>
              <w:pStyle w:val="ListBullet"/>
            </w:pPr>
            <w:r w:rsidRPr="007C1591">
              <w:t>organisational policies and procedures</w:t>
            </w:r>
          </w:p>
          <w:p w:rsidR="00000000" w:rsidP="007C1591">
            <w:pPr>
              <w:pStyle w:val="ListBullet"/>
              <w:rPr>
                <w:lang w:val="en-NZ"/>
              </w:rPr>
            </w:pPr>
            <w:r w:rsidRPr="007C1591">
              <w:t>workplace practices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Legislative</w:t>
            </w:r>
            <w:r w:rsidRPr="007C1591">
              <w:rPr>
                <w:rStyle w:val="SpecialBold"/>
              </w:rPr>
              <w:t xml:space="preserve"> requirements</w:t>
            </w:r>
            <w:r w:rsidRPr="007C1591">
              <w:t>:</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are to be in line with applicable commonwealth, state or territory legislation, regulations, certification requirements and codes of practice and may include:</w:t>
            </w:r>
          </w:p>
          <w:p w:rsidR="00000000" w:rsidRPr="007C1591" w:rsidP="007C1591">
            <w:pPr>
              <w:pStyle w:val="ListBullet"/>
            </w:pPr>
            <w:r w:rsidRPr="007C1591">
              <w:t>award and enterprise agreements</w:t>
            </w:r>
          </w:p>
          <w:p w:rsidR="00000000" w:rsidRPr="007C1591" w:rsidP="007C1591">
            <w:pPr>
              <w:pStyle w:val="ListBullet"/>
            </w:pPr>
            <w:r w:rsidRPr="007C1591">
              <w:t>industrial relations</w:t>
            </w:r>
          </w:p>
          <w:p w:rsidR="00000000" w:rsidRPr="007C1591" w:rsidP="007C1591">
            <w:pPr>
              <w:pStyle w:val="ListBullet"/>
            </w:pPr>
            <w:r w:rsidRPr="007C1591">
              <w:t>Australian Standards</w:t>
            </w:r>
          </w:p>
          <w:p w:rsidR="00000000" w:rsidRPr="007C1591" w:rsidP="007C1591">
            <w:pPr>
              <w:pStyle w:val="ListBullet"/>
            </w:pPr>
            <w:r w:rsidRPr="007C1591">
              <w:t>confi</w:t>
            </w:r>
            <w:r w:rsidRPr="007C1591">
              <w:t>dentiality and privacy</w:t>
            </w:r>
          </w:p>
          <w:p w:rsidR="00000000" w:rsidRPr="007C1591" w:rsidP="007C1591">
            <w:pPr>
              <w:pStyle w:val="ListBullet"/>
            </w:pPr>
            <w:r w:rsidRPr="007C1591">
              <w:t>OHS</w:t>
            </w:r>
          </w:p>
          <w:p w:rsidR="00000000" w:rsidRPr="007C1591" w:rsidP="007C1591">
            <w:pPr>
              <w:pStyle w:val="ListBullet"/>
            </w:pPr>
            <w:r w:rsidRPr="007C1591">
              <w:t>the environment</w:t>
            </w:r>
          </w:p>
          <w:p w:rsidR="00000000" w:rsidRPr="007C1591" w:rsidP="007C1591">
            <w:pPr>
              <w:pStyle w:val="ListBullet"/>
            </w:pPr>
            <w:r w:rsidRPr="007C1591">
              <w:t>equal opportunity</w:t>
            </w:r>
          </w:p>
          <w:p w:rsidR="00000000" w:rsidRPr="007C1591" w:rsidP="007C1591">
            <w:pPr>
              <w:pStyle w:val="ListBullet"/>
            </w:pPr>
            <w:r w:rsidRPr="007C1591">
              <w:t>anti-discrimination</w:t>
            </w:r>
          </w:p>
          <w:p w:rsidR="00000000" w:rsidRPr="007C1591" w:rsidP="007C1591">
            <w:pPr>
              <w:pStyle w:val="ListBullet"/>
            </w:pPr>
            <w:r w:rsidRPr="007C1591">
              <w:t>relevant industry codes of practice</w:t>
            </w:r>
          </w:p>
          <w:p w:rsidR="00000000" w:rsidP="007C1591">
            <w:pPr>
              <w:pStyle w:val="ListBullet"/>
              <w:rPr>
                <w:lang w:val="en-NZ"/>
              </w:rPr>
            </w:pPr>
            <w:r w:rsidRPr="007C1591">
              <w:t>duty of care</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Organisational requirements</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 xml:space="preserve">legal </w:t>
            </w:r>
          </w:p>
          <w:p w:rsidR="00000000" w:rsidRPr="007C1591" w:rsidP="007C1591">
            <w:pPr>
              <w:pStyle w:val="ListBullet"/>
            </w:pPr>
            <w:r w:rsidRPr="007C1591">
              <w:t>organisational and site guidelines</w:t>
            </w:r>
          </w:p>
          <w:p w:rsidR="00000000" w:rsidRPr="007C1591" w:rsidP="007C1591">
            <w:pPr>
              <w:pStyle w:val="ListBullet"/>
            </w:pPr>
            <w:r w:rsidRPr="007C1591">
              <w:t>policies and procedures relating to own role and responsibility</w:t>
            </w:r>
          </w:p>
          <w:p w:rsidR="00000000" w:rsidRPr="007C1591" w:rsidP="007C1591">
            <w:pPr>
              <w:pStyle w:val="ListBullet"/>
            </w:pPr>
            <w:r w:rsidRPr="007C1591">
              <w:t>quality assurance</w:t>
            </w:r>
          </w:p>
          <w:p w:rsidR="00000000" w:rsidRPr="007C1591" w:rsidP="007C1591">
            <w:pPr>
              <w:pStyle w:val="ListBullet"/>
            </w:pPr>
            <w:r w:rsidRPr="007C1591">
              <w:t>procedural manuals</w:t>
            </w:r>
          </w:p>
          <w:p w:rsidR="00000000" w:rsidRPr="007C1591" w:rsidP="007C1591">
            <w:pPr>
              <w:pStyle w:val="ListBullet"/>
            </w:pPr>
            <w:r w:rsidRPr="007C1591">
              <w:t>quality and continuous improvement processes and standards</w:t>
            </w:r>
          </w:p>
          <w:p w:rsidR="00000000" w:rsidRPr="007C1591" w:rsidP="007C1591">
            <w:pPr>
              <w:pStyle w:val="ListBullet"/>
            </w:pPr>
            <w:r w:rsidRPr="007C1591">
              <w:t>OHS, emergency and evacuation procedures</w:t>
            </w:r>
          </w:p>
          <w:p w:rsidR="00000000" w:rsidRPr="007C1591" w:rsidP="007C1591">
            <w:pPr>
              <w:pStyle w:val="ListBullet"/>
            </w:pPr>
            <w:r w:rsidRPr="007C1591">
              <w:t>ethical standards</w:t>
            </w:r>
          </w:p>
          <w:p w:rsidR="00000000" w:rsidRPr="007C1591" w:rsidP="007C1591">
            <w:pPr>
              <w:pStyle w:val="ListBullet"/>
            </w:pPr>
            <w:r w:rsidRPr="007C1591">
              <w:t>recording and reporting requirements</w:t>
            </w:r>
          </w:p>
          <w:p w:rsidR="00000000" w:rsidRPr="007C1591" w:rsidP="007C1591">
            <w:pPr>
              <w:pStyle w:val="ListBullet"/>
            </w:pPr>
            <w:r w:rsidRPr="007C1591">
              <w:t>equipment use, maintenance and storage requirements</w:t>
            </w:r>
          </w:p>
          <w:p w:rsidR="00000000" w:rsidP="007C1591">
            <w:pPr>
              <w:pStyle w:val="ListBullet"/>
              <w:rPr>
                <w:lang w:val="en-NZ"/>
              </w:rPr>
            </w:pPr>
            <w:r w:rsidRPr="007C1591">
              <w:t>environmental management requirements (waste minimisation and disposal, recycling and re-use guidelines)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Boards</w:t>
            </w:r>
            <w:r w:rsidRPr="007C1591">
              <w:t xml:space="preserve"> may be produced by:</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resawing larger boards, for example, recovering boards from one edge a</w:t>
            </w:r>
            <w:r w:rsidRPr="007C1591">
              <w:t>t each pass</w:t>
            </w:r>
          </w:p>
          <w:p w:rsidR="00000000" w:rsidP="007C1591">
            <w:pPr>
              <w:pStyle w:val="ListBullet"/>
              <w:rPr>
                <w:lang w:val="en-NZ"/>
              </w:rPr>
            </w:pPr>
            <w:r w:rsidRPr="007C1591">
              <w:t>splitting a larger board into two or more sections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Timber</w:t>
            </w:r>
            <w:r w:rsidRPr="007C1591">
              <w:t xml:space="preserve"> may be: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solid</w:t>
            </w:r>
          </w:p>
          <w:p w:rsidR="00000000" w:rsidP="007C1591">
            <w:pPr>
              <w:pStyle w:val="ListBullet"/>
              <w:rPr>
                <w:lang w:val="en-NZ"/>
              </w:rPr>
            </w:pPr>
            <w:r w:rsidRPr="007C1591">
              <w:t>manufactured by lamination of boards or veneers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Work order</w:t>
            </w:r>
            <w:r w:rsidRPr="007C159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details of material to be resawn</w:t>
            </w:r>
          </w:p>
          <w:p w:rsidR="00000000" w:rsidRPr="007C1591" w:rsidP="007C1591">
            <w:pPr>
              <w:pStyle w:val="ListBullet"/>
            </w:pPr>
            <w:r w:rsidRPr="007C1591">
              <w:t>special client requirements</w:t>
            </w:r>
          </w:p>
          <w:p w:rsidR="00000000" w:rsidRPr="007C1591" w:rsidP="007C1591">
            <w:pPr>
              <w:pStyle w:val="ListBullet"/>
            </w:pPr>
            <w:r w:rsidRPr="007C1591">
              <w:t>production timelines</w:t>
            </w:r>
          </w:p>
          <w:p w:rsidR="00000000" w:rsidRPr="007C1591" w:rsidP="007C1591">
            <w:pPr>
              <w:pStyle w:val="ListBullet"/>
            </w:pPr>
            <w:r w:rsidRPr="007C1591">
              <w:t>instructions for the environmental monitoring of work and procedures</w:t>
            </w:r>
          </w:p>
          <w:p w:rsidR="00000000" w:rsidP="007C1591">
            <w:pPr>
              <w:pStyle w:val="ListBullet"/>
              <w:rPr>
                <w:lang w:val="en-NZ"/>
              </w:rPr>
            </w:pPr>
            <w:r w:rsidRPr="007C1591">
              <w:t>environmental care requirements relevant to the work</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Appropriate personnel</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supervisors</w:t>
            </w:r>
          </w:p>
          <w:p w:rsidR="00000000" w:rsidRPr="007C1591" w:rsidP="007C1591">
            <w:pPr>
              <w:pStyle w:val="ListBullet"/>
            </w:pPr>
            <w:r w:rsidRPr="007C1591">
              <w:t>clients</w:t>
            </w:r>
          </w:p>
          <w:p w:rsidR="00000000" w:rsidRPr="007C1591" w:rsidP="007C1591">
            <w:pPr>
              <w:pStyle w:val="ListBullet"/>
            </w:pPr>
            <w:r w:rsidRPr="007C1591">
              <w:t>colleagues</w:t>
            </w:r>
          </w:p>
          <w:p w:rsidR="00000000" w:rsidP="007C1591">
            <w:pPr>
              <w:pStyle w:val="ListBullet"/>
              <w:rPr>
                <w:lang w:val="en-NZ"/>
              </w:rPr>
            </w:pPr>
            <w:r w:rsidRPr="007C1591">
              <w:t>line management</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Equipment</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simple saw benches necessitating significant manual handling, to more complex handling arrangements using conveyor systems to transfer and position material</w:t>
            </w:r>
          </w:p>
          <w:p w:rsidR="00000000" w:rsidRPr="007C1591" w:rsidP="007C1591">
            <w:pPr>
              <w:pStyle w:val="ListBullet"/>
            </w:pPr>
            <w:r w:rsidRPr="007C1591">
              <w:t>circular or band saws</w:t>
            </w:r>
          </w:p>
          <w:p w:rsidR="00000000" w:rsidP="007C1591">
            <w:pPr>
              <w:pStyle w:val="ListBullet"/>
              <w:rPr>
                <w:lang w:val="en-NZ"/>
              </w:rPr>
            </w:pPr>
            <w:r w:rsidRPr="007C1591">
              <w:t>single or multiple saws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Communication</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verbal and non-verbal la</w:t>
            </w:r>
            <w:r w:rsidRPr="007C1591">
              <w:t>nguage</w:t>
            </w:r>
          </w:p>
          <w:p w:rsidR="00000000" w:rsidRPr="007C1591" w:rsidP="007C1591">
            <w:pPr>
              <w:pStyle w:val="ListBullet"/>
            </w:pPr>
            <w:r w:rsidRPr="007C1591">
              <w:t>constructive feedback</w:t>
            </w:r>
          </w:p>
          <w:p w:rsidR="00000000" w:rsidRPr="007C1591" w:rsidP="007C1591">
            <w:pPr>
              <w:pStyle w:val="ListBullet"/>
            </w:pPr>
            <w:r w:rsidRPr="007C1591">
              <w:t>active listening</w:t>
            </w:r>
          </w:p>
          <w:p w:rsidR="00000000" w:rsidRPr="007C1591" w:rsidP="007C1591">
            <w:pPr>
              <w:pStyle w:val="ListBullet"/>
            </w:pPr>
            <w:r w:rsidRPr="007C1591">
              <w:t>questioning to clarify and confirm understanding</w:t>
            </w:r>
          </w:p>
          <w:p w:rsidR="00000000" w:rsidRPr="007C1591" w:rsidP="007C1591">
            <w:pPr>
              <w:pStyle w:val="ListBullet"/>
            </w:pPr>
            <w:r w:rsidRPr="007C1591">
              <w:t>use of positive, confident and cooperative language</w:t>
            </w:r>
          </w:p>
          <w:p w:rsidR="00000000" w:rsidRPr="007C1591" w:rsidP="007C1591">
            <w:pPr>
              <w:pStyle w:val="ListBullet"/>
            </w:pPr>
            <w:r w:rsidRPr="007C1591">
              <w:t>use of language and concepts appropriate to individual social and cultural differences</w:t>
            </w:r>
          </w:p>
          <w:p w:rsidR="00000000" w:rsidP="007C1591">
            <w:pPr>
              <w:pStyle w:val="ListBullet"/>
              <w:rPr>
                <w:lang w:val="en-NZ"/>
              </w:rPr>
            </w:pPr>
            <w:r w:rsidRPr="007C1591">
              <w:t>control of tone of voi</w:t>
            </w:r>
            <w:r w:rsidRPr="007C1591">
              <w:t>ce</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Cutting processes</w:t>
            </w:r>
            <w:r w:rsidRPr="007C1591">
              <w:t xml:space="preserve"> involve:</w:t>
            </w:r>
          </w:p>
        </w:tc>
        <w:tc>
          <w:tcPr>
            <w:tcW w:w="4985" w:type="dxa"/>
            <w:tcBorders>
              <w:top w:val="nil"/>
              <w:left w:val="nil"/>
              <w:bottom w:val="nil"/>
              <w:right w:val="nil"/>
            </w:tcBorders>
            <w:tcMar>
              <w:top w:w="0" w:type="dxa"/>
              <w:left w:w="62" w:type="dxa"/>
              <w:bottom w:w="0" w:type="dxa"/>
              <w:right w:w="62" w:type="dxa"/>
            </w:tcMar>
          </w:tcPr>
          <w:p w:rsidR="00000000" w:rsidP="007C1591">
            <w:pPr>
              <w:pStyle w:val="ListBullet"/>
              <w:rPr>
                <w:lang w:val="en-NZ"/>
              </w:rPr>
            </w:pPr>
            <w:r w:rsidRPr="007C1591">
              <w:t>adjusting saws, carriage and feeds to suit dimensions and cutting sequence selected</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Regularly clearing work area</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area around equipment and conveyors</w:t>
            </w:r>
          </w:p>
          <w:p w:rsidR="00000000" w:rsidRPr="007C1591" w:rsidP="007C1591">
            <w:pPr>
              <w:pStyle w:val="ListBullet"/>
            </w:pPr>
            <w:r w:rsidRPr="007C1591">
              <w:t>clearing timber scraps around equipment and conveyors</w:t>
            </w:r>
          </w:p>
          <w:p w:rsidR="00000000" w:rsidP="007C1591">
            <w:pPr>
              <w:pStyle w:val="ListBullet"/>
              <w:rPr>
                <w:lang w:val="en-NZ"/>
              </w:rPr>
            </w:pPr>
            <w:r w:rsidRPr="007C1591">
              <w:t>regularly monitoring conveyors for material flow problems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Problems</w:t>
            </w:r>
            <w:r w:rsidRPr="007C1591">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equipment faults and malfunctions</w:t>
            </w:r>
          </w:p>
          <w:p w:rsidR="00000000" w:rsidRPr="007C1591" w:rsidP="007C1591">
            <w:pPr>
              <w:pStyle w:val="ListBullet"/>
            </w:pPr>
            <w:r w:rsidRPr="007C1591">
              <w:t>quality of product and machine settings</w:t>
            </w:r>
          </w:p>
          <w:p w:rsidR="00000000" w:rsidRPr="007C1591" w:rsidP="007C1591">
            <w:pPr>
              <w:pStyle w:val="ListBullet"/>
            </w:pPr>
            <w:r w:rsidRPr="007C1591">
              <w:t>transfer and flow of material</w:t>
            </w:r>
          </w:p>
          <w:p w:rsidR="00000000" w:rsidRPr="007C1591" w:rsidP="007C1591">
            <w:pPr>
              <w:pStyle w:val="ListBullet"/>
            </w:pPr>
            <w:r w:rsidRPr="007C1591">
              <w:t>routine sawing problems</w:t>
            </w:r>
          </w:p>
          <w:p w:rsidR="00000000" w:rsidRPr="007C1591" w:rsidP="007C1591">
            <w:pPr>
              <w:pStyle w:val="ListBullet"/>
            </w:pPr>
            <w:r w:rsidRPr="007C1591">
              <w:t>feed rate and product finish</w:t>
            </w:r>
          </w:p>
          <w:p w:rsidR="00000000" w:rsidRPr="007C1591" w:rsidP="007C1591">
            <w:pPr>
              <w:pStyle w:val="ListBullet"/>
            </w:pPr>
            <w:r w:rsidRPr="007C1591">
              <w:t>infeed and outf</w:t>
            </w:r>
            <w:r w:rsidRPr="007C1591">
              <w:t>eed systems</w:t>
            </w:r>
          </w:p>
          <w:p w:rsidR="00000000" w:rsidRPr="007C1591" w:rsidP="007C1591">
            <w:pPr>
              <w:pStyle w:val="ListBullet"/>
            </w:pPr>
            <w:r w:rsidRPr="007C1591">
              <w:t>damage to sawn board</w:t>
            </w:r>
          </w:p>
          <w:p w:rsidR="00000000" w:rsidRPr="007C1591" w:rsidP="007C1591">
            <w:pPr>
              <w:pStyle w:val="ListBullet"/>
            </w:pPr>
            <w:r w:rsidRPr="007C1591">
              <w:t>damage to saw blade</w:t>
            </w:r>
          </w:p>
          <w:p w:rsidR="00000000" w:rsidP="007C1591">
            <w:pPr>
              <w:pStyle w:val="ListBullet"/>
              <w:rPr>
                <w:lang w:val="en-NZ"/>
              </w:rPr>
            </w:pPr>
            <w:r w:rsidRPr="007C1591">
              <w:t>timber positioning</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Disposing of</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 xml:space="preserve">recycling damaged sawn material </w:t>
            </w:r>
          </w:p>
          <w:p w:rsidR="00000000" w:rsidRPr="007C1591" w:rsidP="007C1591">
            <w:pPr>
              <w:pStyle w:val="ListBullet"/>
            </w:pPr>
            <w:r w:rsidRPr="007C1591">
              <w:t>re-using damaged sawn material</w:t>
            </w:r>
          </w:p>
          <w:p w:rsidR="00000000" w:rsidP="007C1591">
            <w:pPr>
              <w:pStyle w:val="ListBullet"/>
              <w:rPr>
                <w:lang w:val="en-NZ"/>
              </w:rPr>
            </w:pPr>
            <w:r w:rsidRPr="007C1591">
              <w:t>redirecting damaged sawn material for energy recovery</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Faults</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blunt or damaged saw blade</w:t>
            </w:r>
          </w:p>
          <w:p w:rsidR="00000000" w:rsidRPr="007C1591" w:rsidP="007C1591">
            <w:pPr>
              <w:pStyle w:val="ListBullet"/>
            </w:pPr>
            <w:r w:rsidRPr="007C1591">
              <w:t>problems with the carriage or feeds</w:t>
            </w:r>
          </w:p>
          <w:p w:rsidR="00000000" w:rsidRPr="007C1591" w:rsidP="007C1591">
            <w:pPr>
              <w:pStyle w:val="ListBullet"/>
            </w:pPr>
            <w:r w:rsidRPr="007C1591">
              <w:t>inadequate supply of materials</w:t>
            </w:r>
          </w:p>
          <w:p w:rsidR="00000000" w:rsidRPr="007C1591" w:rsidP="007C1591">
            <w:pPr>
              <w:pStyle w:val="ListBullet"/>
            </w:pPr>
            <w:r w:rsidRPr="007C1591">
              <w:t>disruption to continuity of flow</w:t>
            </w:r>
          </w:p>
          <w:p w:rsidR="00000000" w:rsidP="007C1591">
            <w:pPr>
              <w:pStyle w:val="ListBullet"/>
              <w:rPr>
                <w:lang w:val="en-NZ"/>
              </w:rPr>
            </w:pPr>
            <w:r w:rsidRPr="007C1591">
              <w:t>sub-optimal production rate and finish</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Maintenance</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cleaning the machine of wood chips and sawdust</w:t>
            </w:r>
          </w:p>
          <w:p w:rsidR="00000000" w:rsidRPr="007C1591" w:rsidP="007C1591">
            <w:pPr>
              <w:pStyle w:val="ListBullet"/>
            </w:pPr>
            <w:r w:rsidRPr="007C1591">
              <w:t>replacing blunt cutters or saw blades</w:t>
            </w:r>
          </w:p>
          <w:p w:rsidR="00000000" w:rsidRPr="007C1591" w:rsidP="007C1591">
            <w:pPr>
              <w:pStyle w:val="ListBullet"/>
            </w:pPr>
            <w:r w:rsidRPr="007C1591">
              <w:t>inspecting machine parts for wear or damage (including guards)</w:t>
            </w:r>
          </w:p>
          <w:p w:rsidR="00000000" w:rsidRPr="007C1591" w:rsidP="007C1591">
            <w:pPr>
              <w:pStyle w:val="ListBullet"/>
            </w:pPr>
            <w:r w:rsidRPr="007C1591">
              <w:t>greasing and lubricating moving parts</w:t>
            </w:r>
          </w:p>
          <w:p w:rsidR="00000000" w:rsidP="007C1591">
            <w:pPr>
              <w:pStyle w:val="ListBullet"/>
              <w:rPr>
                <w:lang w:val="en-NZ"/>
              </w:rPr>
            </w:pPr>
            <w:r w:rsidRPr="007C1591">
              <w:t>checking the operation of emergency stop buttons and lock-out systems</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Dealing with</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repairing or sendin</w:t>
            </w:r>
            <w:r w:rsidRPr="007C1591">
              <w:t>g for repair blunt cutters or saw blades</w:t>
            </w:r>
          </w:p>
          <w:p w:rsidR="00000000" w:rsidRPr="007C1591" w:rsidP="007C1591">
            <w:pPr>
              <w:pStyle w:val="ListBullet"/>
            </w:pPr>
            <w:r w:rsidRPr="007C1591">
              <w:t>recycling blunt cutters or saw blades that cannot be repaired</w:t>
            </w:r>
          </w:p>
          <w:p w:rsidR="00000000" w:rsidP="007C1591">
            <w:pPr>
              <w:pStyle w:val="ListBullet"/>
              <w:rPr>
                <w:lang w:val="en-NZ"/>
              </w:rPr>
            </w:pPr>
            <w:r w:rsidRPr="007C1591">
              <w:t>sending blunt cutters or saw blades that cannot be repaired to landfill</w:t>
            </w:r>
          </w:p>
        </w:tc>
      </w:tr>
      <w:tr w:rsidTr="00131ED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Records and reports</w:t>
            </w:r>
            <w:r w:rsidRPr="007C159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1591" w:rsidP="007C1591">
            <w:pPr>
              <w:pStyle w:val="ListBullet"/>
            </w:pPr>
            <w:r w:rsidRPr="007C1591">
              <w:t>tally sheets</w:t>
            </w:r>
          </w:p>
          <w:p w:rsidR="00000000" w:rsidRPr="007C1591" w:rsidP="007C1591">
            <w:pPr>
              <w:pStyle w:val="ListBullet"/>
            </w:pPr>
            <w:r w:rsidRPr="007C1591">
              <w:t>quality sheets and forms</w:t>
            </w:r>
          </w:p>
          <w:p w:rsidR="00000000" w:rsidRPr="007C1591" w:rsidP="007C1591">
            <w:pPr>
              <w:pStyle w:val="ListBullet"/>
            </w:pPr>
            <w:r w:rsidRPr="007C1591">
              <w:t>production sheets and downtime sheets</w:t>
            </w:r>
          </w:p>
          <w:p w:rsidR="00000000" w:rsidRPr="007C1591" w:rsidP="007C1591">
            <w:pPr>
              <w:pStyle w:val="BodyText"/>
            </w:pPr>
            <w:r w:rsidRPr="007C1591">
              <w:t>and may relate to:</w:t>
            </w:r>
          </w:p>
          <w:p w:rsidR="00000000" w:rsidRPr="007C1591" w:rsidP="007C1591">
            <w:pPr>
              <w:pStyle w:val="ListBullet"/>
            </w:pPr>
            <w:r w:rsidRPr="007C1591">
              <w:t>production details</w:t>
            </w:r>
          </w:p>
          <w:p w:rsidR="00000000" w:rsidRPr="007C1591" w:rsidP="007C1591">
            <w:pPr>
              <w:pStyle w:val="ListBullet"/>
            </w:pPr>
            <w:r w:rsidRPr="007C1591">
              <w:t>maintenance details</w:t>
            </w:r>
          </w:p>
          <w:p w:rsidR="00000000" w:rsidRPr="007C1591" w:rsidP="007C1591">
            <w:pPr>
              <w:pStyle w:val="ListBullet"/>
            </w:pPr>
            <w:r w:rsidRPr="007C1591">
              <w:t>breakdowns or equipment faults</w:t>
            </w:r>
          </w:p>
          <w:p w:rsidR="00000000" w:rsidRPr="007C1591" w:rsidP="007C1591">
            <w:pPr>
              <w:pStyle w:val="ListBullet"/>
            </w:pPr>
            <w:r w:rsidRPr="007C1591">
              <w:t>computer problems</w:t>
            </w:r>
          </w:p>
          <w:p w:rsidR="00000000" w:rsidRPr="007C1591" w:rsidP="007C1591">
            <w:pPr>
              <w:pStyle w:val="ListBullet"/>
            </w:pPr>
            <w:r w:rsidRPr="007C1591">
              <w:t>interruptions to production</w:t>
            </w:r>
          </w:p>
          <w:p w:rsidR="00000000" w:rsidRPr="007C1591" w:rsidP="007C1591">
            <w:pPr>
              <w:pStyle w:val="BodyText"/>
            </w:pPr>
            <w:r w:rsidRPr="007C1591">
              <w:t>and may be:</w:t>
            </w:r>
          </w:p>
          <w:p w:rsidR="00000000" w:rsidRPr="007C1591" w:rsidP="007C1591">
            <w:pPr>
              <w:pStyle w:val="ListBullet"/>
            </w:pPr>
            <w:r w:rsidRPr="007C1591">
              <w:t>manual</w:t>
            </w:r>
          </w:p>
          <w:p w:rsidR="00000000" w:rsidRPr="007C1591" w:rsidP="007C1591">
            <w:pPr>
              <w:pStyle w:val="ListBullet"/>
            </w:pPr>
            <w:r w:rsidRPr="007C1591">
              <w:t>computer-based system</w:t>
            </w:r>
          </w:p>
          <w:p w:rsidR="00000000" w:rsidRPr="007C1591" w:rsidP="007C1591">
            <w:pPr>
              <w:pStyle w:val="ListBullet"/>
            </w:pPr>
            <w:r w:rsidRPr="007C1591">
              <w:t>other appropriate organisational communi</w:t>
            </w:r>
            <w:r w:rsidRPr="007C1591">
              <w:t>cation system</w:t>
            </w:r>
          </w:p>
        </w:tc>
      </w:tr>
    </w:tbl>
    <w:p w:rsidR="00131EDB" w:rsidP="007C1591">
      <w:pPr>
        <w:pStyle w:val="BodyText"/>
      </w:pPr>
    </w:p>
    <w:p w:rsidR="00131EDB" w:rsidP="007C1591">
      <w:pPr>
        <w:pStyle w:val="BodyText"/>
      </w:pPr>
    </w:p>
    <w:p w:rsidR="00000000" w:rsidRPr="007C1591" w:rsidP="007C1591">
      <w:pPr>
        <w:pStyle w:val="Heading1"/>
      </w:pPr>
      <w:bookmarkStart w:id="12" w:name="O_294525"/>
      <w:bookmarkEnd w:id="12"/>
      <w:r w:rsidRPr="007C1591">
        <w:t>Unit Sector(s)</w:t>
      </w:r>
    </w:p>
    <w:p w:rsidR="00000000" w:rsidRPr="007C1591" w:rsidP="007C1591">
      <w:pPr>
        <w:pStyle w:val="BodyText"/>
      </w:pPr>
      <w:r w:rsidRPr="007C1591">
        <w:t>Not Applicable</w:t>
      </w:r>
    </w:p>
    <w:p w:rsidR="00000000" w:rsidRPr="007C1591" w:rsidP="007C1591">
      <w:pPr>
        <w:pStyle w:val="AllowPageBreak"/>
      </w:pPr>
    </w:p>
    <w:p w:rsidR="00000000" w:rsidRPr="007C1591" w:rsidP="007C1591">
      <w:pPr>
        <w:pStyle w:val="Heading1"/>
      </w:pPr>
      <w:bookmarkStart w:id="13" w:name="O_203130"/>
      <w:bookmarkEnd w:id="13"/>
      <w:r w:rsidRPr="007C1591">
        <w:t>Competency field</w:t>
      </w:r>
    </w:p>
    <w:tbl>
      <w:tblPr>
        <w:tblW w:w="0" w:type="auto"/>
        <w:tblLayout w:type="fixed"/>
        <w:tblCellMar>
          <w:left w:w="62" w:type="dxa"/>
          <w:right w:w="62" w:type="dxa"/>
        </w:tblCellMar>
        <w:tblLook w:val="0000"/>
      </w:tblPr>
      <w:tblGrid>
        <w:gridCol w:w="2777"/>
        <w:gridCol w:w="5745"/>
      </w:tblGrid>
      <w:tr w:rsidTr="00131ED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C1591">
            <w:pPr>
              <w:pStyle w:val="BodyText"/>
              <w:rPr>
                <w:lang w:val="en-NZ"/>
              </w:rPr>
            </w:pPr>
            <w:r w:rsidRPr="007C159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C1591" w:rsidP="007C1591">
            <w:pPr>
              <w:pStyle w:val="BodyText"/>
            </w:pPr>
            <w:r w:rsidRPr="007C1591">
              <w:t>Common Technical</w:t>
            </w:r>
          </w:p>
        </w:tc>
      </w:tr>
    </w:tbl>
    <w:p w:rsidR="00131EDB" w:rsidP="007C1591">
      <w:pPr>
        <w:pStyle w:val="BodyText"/>
      </w:pPr>
    </w:p>
    <w:p w:rsidR="00131EDB" w:rsidP="007C1591">
      <w:pPr>
        <w:pStyle w:val="BodyText"/>
      </w:pPr>
    </w:p>
    <w:p w:rsidR="00000000" w:rsidRPr="007C1591" w:rsidP="007C1591"/>
    <w:sectPr w:rsidSect="007C1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EDB" w:rsidP="00131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DB" w:rsidP="007C1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1EDB" w:rsidP="007C15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31EDB" w:rsidP="007C15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EDB" w:rsidP="00131E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DB" w:rsidP="007C1591">
    <w:pPr>
      <w:pStyle w:val="Header"/>
      <w:framePr w:wrap="around"/>
    </w:pPr>
    <w:r>
      <w:fldChar w:fldCharType="begin"/>
    </w:r>
    <w:r>
      <w:instrText xml:space="preserve"> TITLE   \* MERGEFORMAT </w:instrText>
    </w:r>
    <w:r>
      <w:fldChar w:fldCharType="separate"/>
    </w:r>
    <w:r>
      <w:t>FPICOT2208B Resaw boards and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1EDB" w:rsidP="007C15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8CA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A0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5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1591"/>
    <w:pPr>
      <w:spacing w:before="360" w:after="60"/>
      <w:outlineLvl w:val="0"/>
    </w:pPr>
    <w:rPr>
      <w:sz w:val="32"/>
    </w:rPr>
  </w:style>
  <w:style w:type="paragraph" w:styleId="Heading2">
    <w:name w:val="heading 2"/>
    <w:basedOn w:val="HeadingBase"/>
    <w:next w:val="BodyText"/>
    <w:link w:val="Heading2Char"/>
    <w:qFormat/>
    <w:rsid w:val="007C1591"/>
    <w:pPr>
      <w:keepLines/>
      <w:spacing w:before="240" w:after="120"/>
      <w:outlineLvl w:val="1"/>
    </w:pPr>
    <w:rPr>
      <w:sz w:val="28"/>
      <w:szCs w:val="40"/>
    </w:rPr>
  </w:style>
  <w:style w:type="paragraph" w:styleId="Heading3">
    <w:name w:val="heading 3"/>
    <w:basedOn w:val="HeadingBase"/>
    <w:next w:val="BodyText"/>
    <w:link w:val="Heading3Char"/>
    <w:qFormat/>
    <w:rsid w:val="007C1591"/>
    <w:pPr>
      <w:spacing w:before="180" w:after="120"/>
      <w:outlineLvl w:val="2"/>
    </w:pPr>
    <w:rPr>
      <w:spacing w:val="-10"/>
      <w:kern w:val="32"/>
    </w:rPr>
  </w:style>
  <w:style w:type="paragraph" w:styleId="Heading4">
    <w:name w:val="heading 4"/>
    <w:basedOn w:val="HeadingBase"/>
    <w:next w:val="BodyText"/>
    <w:link w:val="Heading4Char"/>
    <w:qFormat/>
    <w:rsid w:val="007C1591"/>
    <w:pPr>
      <w:spacing w:before="160" w:after="120"/>
      <w:outlineLvl w:val="3"/>
    </w:pPr>
    <w:rPr>
      <w:sz w:val="22"/>
    </w:rPr>
  </w:style>
  <w:style w:type="paragraph" w:styleId="Heading5">
    <w:name w:val="heading 5"/>
    <w:basedOn w:val="HeadingBase"/>
    <w:next w:val="Normal"/>
    <w:link w:val="Heading5Char"/>
    <w:qFormat/>
    <w:rsid w:val="007C1591"/>
    <w:pPr>
      <w:spacing w:before="80"/>
      <w:outlineLvl w:val="4"/>
    </w:pPr>
    <w:rPr>
      <w:color w:val="918585"/>
      <w:sz w:val="20"/>
    </w:rPr>
  </w:style>
  <w:style w:type="paragraph" w:styleId="Heading6">
    <w:name w:val="heading 6"/>
    <w:basedOn w:val="HeadingBase"/>
    <w:next w:val="Normal"/>
    <w:link w:val="Heading6Char"/>
    <w:qFormat/>
    <w:rsid w:val="007C1591"/>
    <w:pPr>
      <w:spacing w:before="60"/>
      <w:outlineLvl w:val="5"/>
    </w:pPr>
    <w:rPr>
      <w:color w:val="918585"/>
      <w:sz w:val="20"/>
    </w:rPr>
  </w:style>
  <w:style w:type="paragraph" w:styleId="Heading7">
    <w:name w:val="heading 7"/>
    <w:basedOn w:val="Normal"/>
    <w:next w:val="Normal"/>
    <w:link w:val="Heading7Char"/>
    <w:qFormat/>
    <w:rsid w:val="007C1591"/>
    <w:pPr>
      <w:ind w:left="720"/>
      <w:outlineLvl w:val="6"/>
    </w:pPr>
    <w:rPr>
      <w:i/>
    </w:rPr>
  </w:style>
  <w:style w:type="paragraph" w:styleId="Heading8">
    <w:name w:val="heading 8"/>
    <w:basedOn w:val="Normal"/>
    <w:next w:val="Normal"/>
    <w:link w:val="Heading8Char"/>
    <w:qFormat/>
    <w:rsid w:val="007C1591"/>
    <w:pPr>
      <w:ind w:left="720"/>
      <w:outlineLvl w:val="7"/>
    </w:pPr>
    <w:rPr>
      <w:i/>
    </w:rPr>
  </w:style>
  <w:style w:type="paragraph" w:styleId="Heading9">
    <w:name w:val="heading 9"/>
    <w:basedOn w:val="Normal"/>
    <w:next w:val="Normal"/>
    <w:link w:val="Heading9Char"/>
    <w:qFormat/>
    <w:rsid w:val="007C1591"/>
    <w:pPr>
      <w:ind w:left="720"/>
      <w:outlineLvl w:val="8"/>
    </w:pPr>
    <w:rPr>
      <w:i/>
    </w:rPr>
  </w:style>
  <w:style w:type="character" w:default="1" w:styleId="DefaultParagraphFont">
    <w:name w:val="Default Paragraph Font"/>
    <w:uiPriority w:val="1"/>
    <w:unhideWhenUsed/>
    <w:rsid w:val="007C1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591"/>
  </w:style>
  <w:style w:type="character" w:customStyle="1" w:styleId="Heading1Char">
    <w:name w:val="Heading 1 Char"/>
    <w:basedOn w:val="DefaultParagraphFont"/>
    <w:link w:val="Heading1"/>
    <w:rsid w:val="007C1591"/>
    <w:rPr>
      <w:rFonts w:ascii="Times New Roman" w:eastAsia="Times New Roman" w:hAnsi="Times New Roman" w:cs="Times New Roman"/>
      <w:b/>
      <w:sz w:val="32"/>
      <w:szCs w:val="20"/>
      <w:lang w:eastAsia="en-US"/>
    </w:rPr>
  </w:style>
  <w:style w:type="paragraph" w:styleId="BodyText">
    <w:name w:val="Body Text"/>
    <w:basedOn w:val="Normal"/>
    <w:link w:val="BodyTextChar"/>
    <w:rsid w:val="007C15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591"/>
    <w:rPr>
      <w:rFonts w:ascii="Times New Roman" w:eastAsia="Times New Roman" w:hAnsi="Times New Roman" w:cs="Times New Roman"/>
      <w:sz w:val="24"/>
      <w:lang w:val="en-US" w:eastAsia="en-US"/>
    </w:rPr>
  </w:style>
  <w:style w:type="paragraph" w:styleId="Footer">
    <w:name w:val="footer"/>
    <w:basedOn w:val="Normal"/>
    <w:link w:val="FooterChar"/>
    <w:rsid w:val="007C1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591"/>
    <w:rPr>
      <w:rFonts w:ascii="Times New Roman" w:eastAsia="Times New Roman" w:hAnsi="Times New Roman" w:cs="Times New Roman"/>
      <w:sz w:val="16"/>
      <w:lang w:val="en-US" w:eastAsia="en-US"/>
    </w:rPr>
  </w:style>
  <w:style w:type="paragraph" w:styleId="List">
    <w:name w:val="List"/>
    <w:basedOn w:val="BodyText"/>
    <w:next w:val="BodyText"/>
    <w:rsid w:val="007C1591"/>
    <w:pPr>
      <w:tabs>
        <w:tab w:val="left" w:pos="340"/>
      </w:tabs>
      <w:spacing w:before="60" w:after="60"/>
      <w:ind w:left="340" w:hanging="340"/>
    </w:pPr>
  </w:style>
  <w:style w:type="paragraph" w:styleId="ListBullet">
    <w:name w:val="List Bullet"/>
    <w:basedOn w:val="List"/>
    <w:rsid w:val="007C1591"/>
    <w:pPr>
      <w:numPr>
        <w:numId w:val="13"/>
      </w:numPr>
      <w:tabs>
        <w:tab w:val="clear" w:pos="340"/>
      </w:tabs>
      <w:spacing w:before="40" w:after="40"/>
    </w:pPr>
  </w:style>
  <w:style w:type="character" w:customStyle="1" w:styleId="SpecialBold">
    <w:name w:val="Special Bold"/>
    <w:basedOn w:val="DefaultParagraphFont"/>
    <w:rsid w:val="007C1591"/>
    <w:rPr>
      <w:b/>
      <w:spacing w:val="0"/>
    </w:rPr>
  </w:style>
  <w:style w:type="paragraph" w:styleId="Header">
    <w:name w:val="header"/>
    <w:basedOn w:val="Normal"/>
    <w:link w:val="HeaderChar"/>
    <w:rsid w:val="007C1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5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1591"/>
    <w:pPr>
      <w:spacing w:before="240" w:after="120"/>
      <w:outlineLvl w:val="0"/>
    </w:pPr>
    <w:rPr>
      <w:rFonts w:ascii="Times New Roman" w:hAnsi="Times New Roman"/>
      <w:b/>
      <w:sz w:val="28"/>
    </w:rPr>
  </w:style>
  <w:style w:type="paragraph" w:customStyle="1" w:styleId="AllowPageBreak">
    <w:name w:val="AllowPageBreak"/>
    <w:rsid w:val="007C15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1591"/>
    <w:pPr>
      <w:tabs>
        <w:tab w:val="left" w:pos="680"/>
      </w:tabs>
      <w:spacing w:before="60" w:after="60"/>
      <w:ind w:left="680" w:hanging="340"/>
    </w:pPr>
  </w:style>
  <w:style w:type="paragraph" w:styleId="ListBullet3">
    <w:name w:val="List Bullet 3"/>
    <w:basedOn w:val="List3"/>
    <w:rsid w:val="007C1591"/>
    <w:pPr>
      <w:numPr>
        <w:numId w:val="2"/>
      </w:numPr>
      <w:tabs>
        <w:tab w:val="clear" w:pos="1021"/>
      </w:tabs>
      <w:ind w:left="1037" w:hanging="357"/>
    </w:pPr>
  </w:style>
  <w:style w:type="character" w:customStyle="1" w:styleId="BoldandItalics">
    <w:name w:val="Bold and Italics"/>
    <w:qFormat/>
    <w:rsid w:val="007C1591"/>
    <w:rPr>
      <w:b/>
      <w:i/>
      <w:u w:val="none"/>
    </w:rPr>
  </w:style>
  <w:style w:type="character" w:customStyle="1" w:styleId="Heading2Char">
    <w:name w:val="Heading 2 Char"/>
    <w:basedOn w:val="DefaultParagraphFont"/>
    <w:link w:val="Heading2"/>
    <w:rsid w:val="007C1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5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15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1591"/>
    <w:rPr>
      <w:rFonts w:ascii="Courier New" w:eastAsia="Times New Roman" w:hAnsi="Courier New" w:cs="Times New Roman"/>
      <w:i/>
      <w:szCs w:val="20"/>
      <w:lang w:val="en-US" w:eastAsia="en-US"/>
    </w:rPr>
  </w:style>
  <w:style w:type="paragraph" w:customStyle="1" w:styleId="HeadingBase">
    <w:name w:val="Heading Base"/>
    <w:rsid w:val="007C1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591"/>
    <w:pPr>
      <w:tabs>
        <w:tab w:val="right" w:leader="dot" w:pos="9072"/>
      </w:tabs>
      <w:ind w:left="567"/>
    </w:pPr>
    <w:rPr>
      <w:szCs w:val="22"/>
    </w:rPr>
  </w:style>
  <w:style w:type="paragraph" w:customStyle="1" w:styleId="TOCBase">
    <w:name w:val="TOC Base"/>
    <w:rsid w:val="007C1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591"/>
    <w:pPr>
      <w:tabs>
        <w:tab w:val="right" w:leader="dot" w:pos="9072"/>
      </w:tabs>
      <w:spacing w:before="40" w:after="40"/>
      <w:ind w:left="284"/>
    </w:pPr>
    <w:rPr>
      <w:rFonts w:ascii="Times New Roman" w:hAnsi="Times New Roman"/>
    </w:rPr>
  </w:style>
  <w:style w:type="paragraph" w:styleId="TOC1">
    <w:name w:val="toc 1"/>
    <w:basedOn w:val="TOCBase"/>
    <w:next w:val="Normal"/>
    <w:rsid w:val="007C15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1591"/>
    <w:pPr>
      <w:spacing w:before="5040"/>
      <w:jc w:val="center"/>
    </w:pPr>
    <w:rPr>
      <w:sz w:val="48"/>
      <w:szCs w:val="72"/>
      <w:lang w:val="en-US"/>
    </w:rPr>
  </w:style>
  <w:style w:type="character" w:customStyle="1" w:styleId="TitleChar">
    <w:name w:val="Title Char"/>
    <w:basedOn w:val="DefaultParagraphFont"/>
    <w:link w:val="Title"/>
    <w:rsid w:val="007C1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591"/>
    <w:pPr>
      <w:tabs>
        <w:tab w:val="left" w:pos="3600"/>
        <w:tab w:val="left" w:pos="3958"/>
      </w:tabs>
    </w:pPr>
  </w:style>
  <w:style w:type="paragraph" w:customStyle="1" w:styleId="Note">
    <w:name w:val="Note"/>
    <w:basedOn w:val="BodyText"/>
    <w:rsid w:val="007C1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591"/>
    <w:pPr>
      <w:framePr w:wrap="auto" w:hAnchor="text" w:y="6049"/>
    </w:pPr>
    <w:rPr>
      <w:color w:val="000000"/>
      <w:sz w:val="40"/>
    </w:rPr>
  </w:style>
  <w:style w:type="paragraph" w:customStyle="1" w:styleId="TOCTitle">
    <w:name w:val="TOCTitle"/>
    <w:basedOn w:val="Heading1"/>
    <w:rsid w:val="007C1591"/>
    <w:pPr>
      <w:spacing w:after="240"/>
      <w:jc w:val="center"/>
      <w:outlineLvl w:val="9"/>
    </w:pPr>
    <w:rPr>
      <w:caps/>
    </w:rPr>
  </w:style>
  <w:style w:type="paragraph" w:customStyle="1" w:styleId="Version">
    <w:name w:val="Version"/>
    <w:rsid w:val="007C1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591"/>
    <w:pPr>
      <w:numPr>
        <w:numId w:val="14"/>
      </w:numPr>
      <w:tabs>
        <w:tab w:val="clear" w:pos="680"/>
      </w:tabs>
    </w:pPr>
  </w:style>
  <w:style w:type="paragraph" w:styleId="Index1">
    <w:name w:val="index 1"/>
    <w:basedOn w:val="Normal"/>
    <w:next w:val="Normal"/>
    <w:semiHidden/>
    <w:rsid w:val="007C1591"/>
    <w:pPr>
      <w:keepNext w:val="0"/>
      <w:tabs>
        <w:tab w:val="right" w:pos="4176"/>
      </w:tabs>
      <w:ind w:left="198" w:hanging="198"/>
    </w:pPr>
    <w:rPr>
      <w:rFonts w:ascii="Garamond" w:hAnsi="Garamond"/>
    </w:rPr>
  </w:style>
  <w:style w:type="paragraph" w:styleId="IndexHeading">
    <w:name w:val="index heading"/>
    <w:basedOn w:val="Normal"/>
    <w:next w:val="Index1"/>
    <w:semiHidden/>
    <w:rsid w:val="007C1591"/>
    <w:pPr>
      <w:spacing w:before="120" w:after="120"/>
    </w:pPr>
    <w:rPr>
      <w:rFonts w:ascii="Arial" w:hAnsi="Arial"/>
      <w:b/>
      <w:color w:val="918585"/>
      <w:sz w:val="24"/>
    </w:rPr>
  </w:style>
  <w:style w:type="paragraph" w:customStyle="1" w:styleId="Chapter">
    <w:name w:val="Chapter"/>
    <w:basedOn w:val="Normal"/>
    <w:rsid w:val="007C1591"/>
    <w:pPr>
      <w:spacing w:before="240"/>
    </w:pPr>
    <w:rPr>
      <w:rFonts w:ascii="Times New Roman" w:hAnsi="Times New Roman"/>
      <w:smallCaps/>
      <w:spacing w:val="80"/>
      <w:sz w:val="28"/>
    </w:rPr>
  </w:style>
  <w:style w:type="paragraph" w:customStyle="1" w:styleId="InChapter">
    <w:name w:val="InChapter"/>
    <w:basedOn w:val="Heading3"/>
    <w:rsid w:val="007C1591"/>
    <w:pPr>
      <w:spacing w:after="240"/>
      <w:outlineLvl w:val="9"/>
    </w:pPr>
    <w:rPr>
      <w:noProof/>
    </w:rPr>
  </w:style>
  <w:style w:type="paragraph" w:styleId="Index2">
    <w:name w:val="index 2"/>
    <w:basedOn w:val="Normal"/>
    <w:next w:val="Normal"/>
    <w:semiHidden/>
    <w:rsid w:val="007C1591"/>
    <w:pPr>
      <w:tabs>
        <w:tab w:val="right" w:pos="4176"/>
      </w:tabs>
      <w:ind w:left="568" w:hanging="284"/>
    </w:pPr>
    <w:rPr>
      <w:rFonts w:ascii="Garamond" w:hAnsi="Garamond"/>
    </w:rPr>
  </w:style>
  <w:style w:type="paragraph" w:customStyle="1" w:styleId="Byline">
    <w:name w:val="Byline"/>
    <w:rsid w:val="007C1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591"/>
    <w:pPr>
      <w:tabs>
        <w:tab w:val="clear" w:pos="3600"/>
        <w:tab w:val="clear" w:pos="3958"/>
      </w:tabs>
      <w:jc w:val="right"/>
    </w:pPr>
  </w:style>
  <w:style w:type="character" w:styleId="Emphasis">
    <w:name w:val="Emphasis"/>
    <w:basedOn w:val="DefaultParagraphFont"/>
    <w:qFormat/>
    <w:rsid w:val="007C1591"/>
    <w:rPr>
      <w:i/>
    </w:rPr>
  </w:style>
  <w:style w:type="paragraph" w:styleId="Caption">
    <w:name w:val="caption"/>
    <w:basedOn w:val="BodyText"/>
    <w:next w:val="Normal"/>
    <w:qFormat/>
    <w:rsid w:val="007C1591"/>
    <w:pPr>
      <w:framePr w:w="2268" w:hSpace="181" w:vSpace="181" w:wrap="around" w:vAnchor="text" w:hAnchor="page" w:x="1135" w:y="285" w:anchorLock="1"/>
    </w:pPr>
    <w:rPr>
      <w:i/>
    </w:rPr>
  </w:style>
  <w:style w:type="paragraph" w:customStyle="1" w:styleId="MiniTOCTitle">
    <w:name w:val="MiniTOCTitle"/>
    <w:basedOn w:val="Heading4"/>
    <w:rsid w:val="007C1591"/>
    <w:pPr>
      <w:spacing w:before="240"/>
      <w:outlineLvl w:val="9"/>
    </w:pPr>
    <w:rPr>
      <w:noProof/>
      <w:sz w:val="24"/>
    </w:rPr>
  </w:style>
  <w:style w:type="paragraph" w:customStyle="1" w:styleId="MiniTOCItem">
    <w:name w:val="MiniTOCItem"/>
    <w:basedOn w:val="ListBullet"/>
    <w:rsid w:val="007C1591"/>
    <w:pPr>
      <w:numPr>
        <w:numId w:val="0"/>
      </w:numPr>
      <w:tabs>
        <w:tab w:val="right" w:leader="dot" w:pos="6521"/>
      </w:tabs>
      <w:spacing w:before="0" w:after="0"/>
    </w:pPr>
  </w:style>
  <w:style w:type="paragraph" w:customStyle="1" w:styleId="TOFTitle">
    <w:name w:val="TOFTitle"/>
    <w:basedOn w:val="TOCTitle"/>
    <w:rsid w:val="007C1591"/>
  </w:style>
  <w:style w:type="paragraph" w:styleId="TableofFigures">
    <w:name w:val="table of figures"/>
    <w:basedOn w:val="Normal"/>
    <w:next w:val="Normal"/>
    <w:semiHidden/>
    <w:rsid w:val="007C1591"/>
    <w:pPr>
      <w:tabs>
        <w:tab w:val="right" w:leader="dot" w:pos="9072"/>
      </w:tabs>
      <w:ind w:left="970" w:hanging="403"/>
    </w:pPr>
    <w:rPr>
      <w:rFonts w:ascii="Times New Roman" w:hAnsi="Times New Roman"/>
      <w:b/>
    </w:rPr>
  </w:style>
  <w:style w:type="paragraph" w:styleId="ListNumber">
    <w:name w:val="List Number"/>
    <w:basedOn w:val="List"/>
    <w:rsid w:val="007C1591"/>
    <w:pPr>
      <w:numPr>
        <w:numId w:val="11"/>
      </w:numPr>
    </w:pPr>
  </w:style>
  <w:style w:type="character" w:customStyle="1" w:styleId="WingdingSymbols">
    <w:name w:val="Wingding Symbols"/>
    <w:rsid w:val="007C1591"/>
    <w:rPr>
      <w:rFonts w:ascii="Wingdings" w:hAnsi="Wingdings"/>
    </w:rPr>
  </w:style>
  <w:style w:type="paragraph" w:customStyle="1" w:styleId="TableHeading">
    <w:name w:val="Table Heading"/>
    <w:basedOn w:val="HeadingBase"/>
    <w:rsid w:val="007C1591"/>
    <w:pPr>
      <w:keepLines/>
      <w:pBdr>
        <w:bottom w:val="single" w:sz="6" w:space="1" w:color="918585"/>
      </w:pBdr>
      <w:spacing w:before="240"/>
    </w:pPr>
  </w:style>
  <w:style w:type="character" w:customStyle="1" w:styleId="HotSpot">
    <w:name w:val="HotSpot"/>
    <w:rsid w:val="007C1591"/>
    <w:rPr>
      <w:color w:val="0033CC"/>
      <w:u w:val="none"/>
    </w:rPr>
  </w:style>
  <w:style w:type="paragraph" w:customStyle="1" w:styleId="BodyTextRight">
    <w:name w:val="Body Text Right"/>
    <w:basedOn w:val="BodyText"/>
    <w:rsid w:val="007C1591"/>
    <w:pPr>
      <w:spacing w:before="0" w:after="0"/>
      <w:jc w:val="right"/>
    </w:pPr>
  </w:style>
  <w:style w:type="paragraph" w:styleId="Index3">
    <w:name w:val="index 3"/>
    <w:basedOn w:val="ListNumber2"/>
    <w:next w:val="Normal"/>
    <w:semiHidden/>
    <w:rsid w:val="007C1591"/>
    <w:pPr>
      <w:numPr>
        <w:numId w:val="0"/>
      </w:numPr>
      <w:tabs>
        <w:tab w:val="right" w:leader="dot" w:pos="4176"/>
      </w:tabs>
    </w:pPr>
  </w:style>
  <w:style w:type="paragraph" w:styleId="ListNumber2">
    <w:name w:val="List Number 2"/>
    <w:basedOn w:val="List2"/>
    <w:rsid w:val="007C1591"/>
    <w:pPr>
      <w:numPr>
        <w:numId w:val="10"/>
      </w:numPr>
      <w:tabs>
        <w:tab w:val="clear" w:pos="1060"/>
      </w:tabs>
    </w:pPr>
  </w:style>
  <w:style w:type="paragraph" w:customStyle="1" w:styleId="MarginNote">
    <w:name w:val="Margin Note"/>
    <w:basedOn w:val="BodyText"/>
    <w:rsid w:val="007C1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5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1591"/>
    <w:rPr>
      <w:sz w:val="32"/>
    </w:rPr>
  </w:style>
  <w:style w:type="paragraph" w:customStyle="1" w:styleId="HeadingProcedure">
    <w:name w:val="Heading Procedure"/>
    <w:basedOn w:val="HeadingBase"/>
    <w:next w:val="Normal"/>
    <w:rsid w:val="007C1591"/>
    <w:pPr>
      <w:tabs>
        <w:tab w:val="left" w:pos="0"/>
      </w:tabs>
      <w:spacing w:before="120" w:after="60"/>
    </w:pPr>
    <w:rPr>
      <w:i/>
      <w:color w:val="918585"/>
      <w:sz w:val="22"/>
    </w:rPr>
  </w:style>
  <w:style w:type="paragraph" w:customStyle="1" w:styleId="TableBodyText">
    <w:name w:val="Table Body Text"/>
    <w:basedOn w:val="BodyText"/>
    <w:rsid w:val="007C1591"/>
    <w:pPr>
      <w:spacing w:before="60" w:after="60"/>
    </w:pPr>
  </w:style>
  <w:style w:type="paragraph" w:styleId="ListContinue">
    <w:name w:val="List Continue"/>
    <w:basedOn w:val="List"/>
    <w:rsid w:val="007C1591"/>
    <w:pPr>
      <w:ind w:firstLine="0"/>
    </w:pPr>
  </w:style>
  <w:style w:type="paragraph" w:customStyle="1" w:styleId="ListNote">
    <w:name w:val="List Note"/>
    <w:basedOn w:val="List"/>
    <w:rsid w:val="007C1591"/>
    <w:pPr>
      <w:pBdr>
        <w:top w:val="single" w:sz="6" w:space="2" w:color="918585"/>
        <w:bottom w:val="single" w:sz="6" w:space="2" w:color="918585"/>
      </w:pBdr>
      <w:tabs>
        <w:tab w:val="left" w:pos="1021"/>
      </w:tabs>
      <w:ind w:firstLine="0"/>
    </w:pPr>
  </w:style>
  <w:style w:type="paragraph" w:customStyle="1" w:styleId="Warning">
    <w:name w:val="Warning"/>
    <w:basedOn w:val="BodyText"/>
    <w:rsid w:val="007C1591"/>
    <w:pPr>
      <w:shd w:val="clear" w:color="auto" w:fill="D9D9D9"/>
      <w:tabs>
        <w:tab w:val="left" w:pos="992"/>
      </w:tabs>
      <w:ind w:left="119" w:right="119"/>
    </w:pPr>
    <w:rPr>
      <w:sz w:val="20"/>
    </w:rPr>
  </w:style>
  <w:style w:type="paragraph" w:customStyle="1" w:styleId="MarginIcons">
    <w:name w:val="Margin Icons"/>
    <w:basedOn w:val="BodyText"/>
    <w:rsid w:val="007C1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591"/>
    <w:rPr>
      <w:rFonts w:ascii="Courier New" w:hAnsi="Courier New"/>
    </w:rPr>
  </w:style>
  <w:style w:type="paragraph" w:customStyle="1" w:styleId="NoteBullet">
    <w:name w:val="Note Bullet"/>
    <w:basedOn w:val="Note"/>
    <w:rsid w:val="007C1591"/>
    <w:pPr>
      <w:tabs>
        <w:tab w:val="clear" w:pos="680"/>
      </w:tabs>
      <w:spacing w:before="60" w:after="60"/>
    </w:pPr>
  </w:style>
  <w:style w:type="paragraph" w:customStyle="1" w:styleId="SubHeading2">
    <w:name w:val="SubHeading2"/>
    <w:basedOn w:val="HeadingBase"/>
    <w:rsid w:val="007C1591"/>
    <w:pPr>
      <w:spacing w:before="240" w:after="60"/>
    </w:pPr>
    <w:rPr>
      <w:sz w:val="20"/>
    </w:rPr>
  </w:style>
  <w:style w:type="paragraph" w:customStyle="1" w:styleId="SubHeading1">
    <w:name w:val="SubHeading1"/>
    <w:basedOn w:val="HeadingBase"/>
    <w:rsid w:val="007C1591"/>
    <w:pPr>
      <w:spacing w:before="240" w:after="60"/>
    </w:pPr>
    <w:rPr>
      <w:color w:val="918585"/>
      <w:sz w:val="22"/>
    </w:rPr>
  </w:style>
  <w:style w:type="paragraph" w:customStyle="1" w:styleId="SideHeading">
    <w:name w:val="Side Heading"/>
    <w:basedOn w:val="HeadingBase"/>
    <w:rsid w:val="007C1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591"/>
    <w:pPr>
      <w:numPr>
        <w:numId w:val="12"/>
      </w:numPr>
    </w:pPr>
  </w:style>
  <w:style w:type="paragraph" w:styleId="PlainText">
    <w:name w:val="Plain Text"/>
    <w:basedOn w:val="Normal"/>
    <w:link w:val="PlainTextChar"/>
    <w:rsid w:val="007C1591"/>
    <w:rPr>
      <w:sz w:val="20"/>
    </w:rPr>
  </w:style>
  <w:style w:type="character" w:customStyle="1" w:styleId="PlainTextChar">
    <w:name w:val="Plain Text Char"/>
    <w:basedOn w:val="DefaultParagraphFont"/>
    <w:link w:val="PlainText"/>
    <w:rsid w:val="007C15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1591"/>
    <w:rPr>
      <w:b/>
      <w:smallCaps/>
    </w:rPr>
  </w:style>
  <w:style w:type="paragraph" w:customStyle="1" w:styleId="TableListNumber">
    <w:name w:val="Table List Number"/>
    <w:basedOn w:val="ListNumber"/>
    <w:rsid w:val="007C1591"/>
    <w:pPr>
      <w:numPr>
        <w:numId w:val="0"/>
      </w:numPr>
    </w:pPr>
  </w:style>
  <w:style w:type="paragraph" w:styleId="TOC4">
    <w:name w:val="toc 4"/>
    <w:basedOn w:val="TOCBase"/>
    <w:next w:val="Normal"/>
    <w:semiHidden/>
    <w:rsid w:val="007C1591"/>
    <w:pPr>
      <w:tabs>
        <w:tab w:val="right" w:leader="dot" w:pos="9071"/>
      </w:tabs>
      <w:ind w:left="1701"/>
    </w:pPr>
  </w:style>
  <w:style w:type="paragraph" w:customStyle="1" w:styleId="ListAlpha">
    <w:name w:val="List Alpha"/>
    <w:basedOn w:val="List"/>
    <w:rsid w:val="007C1591"/>
    <w:pPr>
      <w:numPr>
        <w:numId w:val="9"/>
      </w:numPr>
    </w:pPr>
  </w:style>
  <w:style w:type="paragraph" w:customStyle="1" w:styleId="ListAlpha2">
    <w:name w:val="List Alpha 2"/>
    <w:basedOn w:val="List2"/>
    <w:rsid w:val="007C1591"/>
    <w:pPr>
      <w:numPr>
        <w:numId w:val="8"/>
      </w:numPr>
    </w:pPr>
  </w:style>
  <w:style w:type="paragraph" w:styleId="List3">
    <w:name w:val="List 3"/>
    <w:basedOn w:val="BodyText"/>
    <w:rsid w:val="007C1591"/>
    <w:pPr>
      <w:tabs>
        <w:tab w:val="left" w:pos="1021"/>
      </w:tabs>
      <w:spacing w:before="60" w:after="60"/>
      <w:ind w:left="1020" w:hanging="340"/>
    </w:pPr>
  </w:style>
  <w:style w:type="paragraph" w:styleId="List4">
    <w:name w:val="List 4"/>
    <w:basedOn w:val="BodyText"/>
    <w:rsid w:val="007C1591"/>
    <w:pPr>
      <w:tabs>
        <w:tab w:val="left" w:pos="1361"/>
      </w:tabs>
      <w:spacing w:before="60" w:after="60"/>
      <w:ind w:left="1361" w:hanging="340"/>
    </w:pPr>
  </w:style>
  <w:style w:type="paragraph" w:styleId="List5">
    <w:name w:val="List 5"/>
    <w:basedOn w:val="BodyText"/>
    <w:rsid w:val="007C1591"/>
    <w:pPr>
      <w:tabs>
        <w:tab w:val="left" w:pos="1701"/>
      </w:tabs>
      <w:spacing w:before="60" w:after="60"/>
      <w:ind w:left="1701" w:hanging="340"/>
    </w:pPr>
  </w:style>
  <w:style w:type="paragraph" w:styleId="ListBullet4">
    <w:name w:val="List Bullet 4"/>
    <w:basedOn w:val="List4"/>
    <w:rsid w:val="007C1591"/>
    <w:pPr>
      <w:numPr>
        <w:numId w:val="3"/>
      </w:numPr>
    </w:pPr>
  </w:style>
  <w:style w:type="paragraph" w:styleId="ListBullet5">
    <w:name w:val="List Bullet 5"/>
    <w:basedOn w:val="List5"/>
    <w:rsid w:val="007C1591"/>
    <w:pPr>
      <w:numPr>
        <w:numId w:val="4"/>
      </w:numPr>
    </w:pPr>
  </w:style>
  <w:style w:type="paragraph" w:styleId="ListContinue2">
    <w:name w:val="List Continue 2"/>
    <w:basedOn w:val="List2"/>
    <w:rsid w:val="007C1591"/>
    <w:pPr>
      <w:ind w:firstLine="0"/>
    </w:pPr>
  </w:style>
  <w:style w:type="paragraph" w:styleId="ListContinue3">
    <w:name w:val="List Continue 3"/>
    <w:basedOn w:val="List3"/>
    <w:rsid w:val="007C1591"/>
    <w:pPr>
      <w:ind w:left="1021" w:firstLine="0"/>
    </w:pPr>
  </w:style>
  <w:style w:type="paragraph" w:styleId="ListContinue4">
    <w:name w:val="List Continue 4"/>
    <w:basedOn w:val="List4"/>
    <w:rsid w:val="007C1591"/>
    <w:pPr>
      <w:ind w:firstLine="0"/>
    </w:pPr>
  </w:style>
  <w:style w:type="paragraph" w:styleId="ListContinue5">
    <w:name w:val="List Continue 5"/>
    <w:basedOn w:val="List5"/>
    <w:rsid w:val="007C1591"/>
    <w:pPr>
      <w:ind w:firstLine="0"/>
    </w:pPr>
  </w:style>
  <w:style w:type="paragraph" w:styleId="ListNumber3">
    <w:name w:val="List Number 3"/>
    <w:basedOn w:val="List3"/>
    <w:rsid w:val="007C1591"/>
    <w:pPr>
      <w:numPr>
        <w:numId w:val="5"/>
      </w:numPr>
    </w:pPr>
  </w:style>
  <w:style w:type="paragraph" w:styleId="ListNumber4">
    <w:name w:val="List Number 4"/>
    <w:basedOn w:val="List4"/>
    <w:rsid w:val="007C1591"/>
    <w:pPr>
      <w:numPr>
        <w:numId w:val="6"/>
      </w:numPr>
    </w:pPr>
  </w:style>
  <w:style w:type="paragraph" w:styleId="ListNumber5">
    <w:name w:val="List Number 5"/>
    <w:basedOn w:val="List5"/>
    <w:rsid w:val="007C1591"/>
    <w:pPr>
      <w:numPr>
        <w:numId w:val="7"/>
      </w:numPr>
    </w:pPr>
  </w:style>
  <w:style w:type="paragraph" w:styleId="BlockText">
    <w:name w:val="Block Text"/>
    <w:basedOn w:val="Normal"/>
    <w:rsid w:val="007C1591"/>
    <w:pPr>
      <w:spacing w:after="120"/>
      <w:ind w:left="1440" w:right="1440"/>
    </w:pPr>
  </w:style>
  <w:style w:type="character" w:customStyle="1" w:styleId="Subscript">
    <w:name w:val="Subscript"/>
    <w:basedOn w:val="DefaultParagraphFont"/>
    <w:rsid w:val="007C1591"/>
    <w:rPr>
      <w:sz w:val="16"/>
      <w:vertAlign w:val="subscript"/>
    </w:rPr>
  </w:style>
  <w:style w:type="character" w:customStyle="1" w:styleId="Superscript">
    <w:name w:val="Superscript"/>
    <w:basedOn w:val="DefaultParagraphFont"/>
    <w:rsid w:val="007C1591"/>
    <w:rPr>
      <w:sz w:val="16"/>
      <w:vertAlign w:val="superscript"/>
    </w:rPr>
  </w:style>
  <w:style w:type="character" w:customStyle="1" w:styleId="Symbols">
    <w:name w:val="Symbols"/>
    <w:basedOn w:val="DefaultParagraphFont"/>
    <w:rsid w:val="007C1591"/>
    <w:rPr>
      <w:rFonts w:ascii="Symbol" w:hAnsi="Symbol"/>
    </w:rPr>
  </w:style>
  <w:style w:type="character" w:customStyle="1" w:styleId="MenuOptions">
    <w:name w:val="Menu Options"/>
    <w:basedOn w:val="DefaultParagraphFont"/>
    <w:rsid w:val="007C1591"/>
    <w:rPr>
      <w:rFonts w:ascii="Arial Narrow" w:hAnsi="Arial Narrow"/>
      <w:smallCaps/>
    </w:rPr>
  </w:style>
  <w:style w:type="character" w:customStyle="1" w:styleId="Buttons">
    <w:name w:val="Buttons"/>
    <w:basedOn w:val="DefaultParagraphFont"/>
    <w:rsid w:val="007C1591"/>
    <w:rPr>
      <w:b/>
    </w:rPr>
  </w:style>
  <w:style w:type="character" w:customStyle="1" w:styleId="Underlined">
    <w:name w:val="Underlined"/>
    <w:basedOn w:val="DefaultParagraphFont"/>
    <w:rsid w:val="007C1591"/>
    <w:rPr>
      <w:u w:val="single"/>
    </w:rPr>
  </w:style>
  <w:style w:type="paragraph" w:customStyle="1" w:styleId="TableBodyTextRight">
    <w:name w:val="Table Body Text Right"/>
    <w:basedOn w:val="TableBodyText"/>
    <w:rsid w:val="007C1591"/>
    <w:pPr>
      <w:widowControl w:val="0"/>
      <w:autoSpaceDE w:val="0"/>
      <w:autoSpaceDN w:val="0"/>
      <w:adjustRightInd w:val="0"/>
      <w:jc w:val="right"/>
    </w:pPr>
    <w:rPr>
      <w:rFonts w:cs="Arial"/>
      <w:szCs w:val="18"/>
    </w:rPr>
  </w:style>
  <w:style w:type="paragraph" w:customStyle="1" w:styleId="CopyrightText">
    <w:name w:val="Copyright Text"/>
    <w:basedOn w:val="BodyText"/>
    <w:rsid w:val="007C1591"/>
    <w:rPr>
      <w:sz w:val="18"/>
    </w:rPr>
  </w:style>
  <w:style w:type="paragraph" w:customStyle="1" w:styleId="BodySmallRight">
    <w:name w:val="Body Small Right"/>
    <w:basedOn w:val="BodyTextRight"/>
    <w:rsid w:val="007C1591"/>
    <w:rPr>
      <w:sz w:val="18"/>
      <w:szCs w:val="18"/>
    </w:rPr>
  </w:style>
  <w:style w:type="paragraph" w:customStyle="1" w:styleId="MarginEdition">
    <w:name w:val="Margin Edition"/>
    <w:basedOn w:val="MarginNote"/>
    <w:rsid w:val="007C1591"/>
    <w:pPr>
      <w:spacing w:before="0" w:after="0"/>
    </w:pPr>
    <w:rPr>
      <w:rFonts w:ascii="Times New Roman" w:hAnsi="Times New Roman"/>
      <w:color w:val="999999"/>
    </w:rPr>
  </w:style>
  <w:style w:type="paragraph" w:customStyle="1" w:styleId="Spacer">
    <w:name w:val="Spacer"/>
    <w:basedOn w:val="Normal"/>
    <w:rsid w:val="007C1591"/>
    <w:rPr>
      <w:sz w:val="2"/>
      <w:szCs w:val="2"/>
    </w:rPr>
  </w:style>
  <w:style w:type="character" w:customStyle="1" w:styleId="Small">
    <w:name w:val="Small"/>
    <w:basedOn w:val="DefaultParagraphFont"/>
    <w:rsid w:val="007C1591"/>
    <w:rPr>
      <w:sz w:val="16"/>
    </w:rPr>
  </w:style>
  <w:style w:type="paragraph" w:customStyle="1" w:styleId="WideTable">
    <w:name w:val="Wide Table"/>
    <w:basedOn w:val="Normal"/>
    <w:rsid w:val="007C1591"/>
    <w:pPr>
      <w:ind w:left="-1418"/>
    </w:pPr>
    <w:rPr>
      <w:sz w:val="2"/>
      <w:szCs w:val="2"/>
    </w:rPr>
  </w:style>
  <w:style w:type="character" w:styleId="PageNumber">
    <w:name w:val="page number"/>
    <w:basedOn w:val="DefaultParagraphFont"/>
    <w:rsid w:val="007C1591"/>
  </w:style>
  <w:style w:type="paragraph" w:styleId="Quote">
    <w:name w:val="Quote"/>
    <w:basedOn w:val="Heading1"/>
    <w:link w:val="QuoteChar"/>
    <w:qFormat/>
    <w:rsid w:val="007C1591"/>
    <w:rPr>
      <w:b w:val="0"/>
      <w:sz w:val="72"/>
      <w:szCs w:val="72"/>
      <w:lang w:val="en-NZ"/>
    </w:rPr>
  </w:style>
  <w:style w:type="character" w:customStyle="1" w:styleId="QuoteChar">
    <w:name w:val="Quote Char"/>
    <w:basedOn w:val="DefaultParagraphFont"/>
    <w:link w:val="Quote"/>
    <w:rsid w:val="007C1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591"/>
    <w:pPr>
      <w:pageBreakBefore/>
    </w:pPr>
  </w:style>
  <w:style w:type="paragraph" w:customStyle="1" w:styleId="Border">
    <w:name w:val="Border"/>
    <w:basedOn w:val="Normal"/>
    <w:qFormat/>
    <w:rsid w:val="007C1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591"/>
    <w:rPr>
      <w:b/>
      <w:bCs/>
      <w:i/>
      <w:iCs/>
      <w:color w:val="auto"/>
    </w:rPr>
  </w:style>
  <w:style w:type="paragraph" w:styleId="IntenseQuote">
    <w:name w:val="Intense Quote"/>
    <w:basedOn w:val="Normal"/>
    <w:next w:val="Normal"/>
    <w:link w:val="IntenseQuoteChar"/>
    <w:uiPriority w:val="30"/>
    <w:qFormat/>
    <w:rsid w:val="007C1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5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1591"/>
    <w:rPr>
      <w:smallCaps/>
      <w:color w:val="auto"/>
      <w:u w:val="single"/>
    </w:rPr>
  </w:style>
  <w:style w:type="character" w:styleId="IntenseReference">
    <w:name w:val="Intense Reference"/>
    <w:basedOn w:val="DefaultParagraphFont"/>
    <w:uiPriority w:val="32"/>
    <w:qFormat/>
    <w:rsid w:val="007C1591"/>
    <w:rPr>
      <w:b/>
      <w:bCs/>
      <w:smallCaps/>
      <w:color w:val="auto"/>
      <w:spacing w:val="5"/>
      <w:u w:val="single"/>
    </w:rPr>
  </w:style>
  <w:style w:type="paragraph" w:customStyle="1" w:styleId="2ColumnHeading">
    <w:name w:val="2Column Heading"/>
    <w:basedOn w:val="BodyText"/>
    <w:qFormat/>
    <w:rsid w:val="007C1591"/>
    <w:pPr>
      <w:spacing w:after="60"/>
      <w:ind w:left="-2268"/>
    </w:pPr>
    <w:rPr>
      <w:b/>
    </w:rPr>
  </w:style>
  <w:style w:type="paragraph" w:customStyle="1" w:styleId="Heading1TOC">
    <w:name w:val="Heading1 TOC"/>
    <w:basedOn w:val="Normal"/>
    <w:qFormat/>
    <w:rsid w:val="007C1591"/>
    <w:pPr>
      <w:spacing w:before="240" w:after="120"/>
    </w:pPr>
    <w:rPr>
      <w:rFonts w:ascii="Times New Roman" w:hAnsi="Times New Roman"/>
      <w:b/>
      <w:sz w:val="32"/>
    </w:rPr>
  </w:style>
  <w:style w:type="paragraph" w:customStyle="1" w:styleId="Heading2TOC">
    <w:name w:val="Heading2 TOC"/>
    <w:basedOn w:val="Normal"/>
    <w:qFormat/>
    <w:rsid w:val="007C1591"/>
    <w:pPr>
      <w:spacing w:before="240" w:after="60"/>
    </w:pPr>
    <w:rPr>
      <w:rFonts w:ascii="Times New Roman" w:hAnsi="Times New Roman"/>
      <w:b/>
      <w:sz w:val="28"/>
    </w:rPr>
  </w:style>
  <w:style w:type="character" w:customStyle="1" w:styleId="Underline">
    <w:name w:val="Underline"/>
    <w:basedOn w:val="DefaultParagraphFont"/>
    <w:qFormat/>
    <w:rsid w:val="007C1591"/>
    <w:rPr>
      <w:u w:val="single"/>
    </w:rPr>
  </w:style>
  <w:style w:type="paragraph" w:styleId="BalloonText">
    <w:name w:val="Balloon Text"/>
    <w:basedOn w:val="Normal"/>
    <w:link w:val="BalloonTextChar"/>
    <w:rsid w:val="007C1591"/>
    <w:rPr>
      <w:rFonts w:ascii="Tahoma" w:hAnsi="Tahoma" w:cs="Tahoma"/>
      <w:sz w:val="16"/>
      <w:szCs w:val="16"/>
    </w:rPr>
  </w:style>
  <w:style w:type="character" w:customStyle="1" w:styleId="BalloonTextChar">
    <w:name w:val="Balloon Text Char"/>
    <w:basedOn w:val="DefaultParagraphFont"/>
    <w:link w:val="BalloonText"/>
    <w:rsid w:val="007C15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15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5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2025</Words>
  <Characters>12734</Characters>
  <Application>Microsoft Office Word</Application>
  <DocSecurity>0</DocSecurity>
  <Lines>423</Lines>
  <Paragraphs>237</Paragraphs>
  <ScaleCrop>false</ScaleCrop>
  <Company>Author-it Software Corporation Ltd.</Company>
  <LinksUpToDate>false</LinksUpToDate>
  <CharactersWithSpaces>14663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FPICOT2208B Resaw boards and timber</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2012-05-26T07:02:00Z</dcterms:created>
  <dcterms:modified xsi:type="dcterms:W3CDTF">2012-05-26T07:02:00Z</dcterms:modified>
</cp:coreProperties>
</file>