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40E" w:rsidP="0014340E">
      <w:pPr>
        <w:pStyle w:val="Title"/>
      </w:pPr>
      <w:r>
        <w:fldChar w:fldCharType="begin"/>
      </w:r>
      <w:r>
        <w:instrText xml:space="preserve"> TITLE   \* MERGEFORMAT </w:instrText>
      </w:r>
      <w:r>
        <w:fldChar w:fldCharType="separate"/>
      </w:r>
      <w:r>
        <w:t>FPICOT2202B Rack material</w:t>
      </w:r>
      <w:r>
        <w:fldChar w:fldCharType="end"/>
      </w:r>
    </w:p>
    <w:p w:rsidR="0014340E" w:rsidP="0014340E">
      <w:pPr>
        <w:pStyle w:val="Version"/>
        <w:sectPr w:rsidSect="00312B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2B14" w:rsidP="00312B14">
      <w:pPr>
        <w:pStyle w:val="SuperHeading"/>
      </w:pPr>
      <w:r w:rsidRPr="00312B14">
        <w:t>FPICOT2202B Rack material</w:t>
      </w:r>
    </w:p>
    <w:p w:rsidR="00000000" w:rsidRPr="00312B14" w:rsidP="00312B14">
      <w:pPr>
        <w:pStyle w:val="Heading1"/>
      </w:pPr>
      <w:bookmarkStart w:id="1" w:name="O_270500"/>
      <w:bookmarkEnd w:id="1"/>
      <w:r w:rsidRPr="00312B14">
        <w:t>Modification History</w:t>
      </w:r>
    </w:p>
    <w:p w:rsidR="00000000" w:rsidRPr="00312B14" w:rsidP="00312B14">
      <w:pPr>
        <w:pStyle w:val="BodyText"/>
      </w:pPr>
      <w:r w:rsidRPr="00312B14">
        <w:t>Not Applicable</w:t>
      </w:r>
    </w:p>
    <w:p w:rsidR="00000000" w:rsidRPr="00312B14" w:rsidP="00312B14">
      <w:pPr>
        <w:pStyle w:val="AllowPageBreak"/>
      </w:pPr>
    </w:p>
    <w:p w:rsidR="00000000" w:rsidRPr="00312B14" w:rsidP="00312B14">
      <w:pPr>
        <w:pStyle w:val="Heading1"/>
      </w:pPr>
      <w:bookmarkStart w:id="2" w:name="O_203111"/>
      <w:bookmarkEnd w:id="2"/>
      <w:r w:rsidRPr="00312B14">
        <w:t>Unit Descriptor</w:t>
      </w:r>
    </w:p>
    <w:tbl>
      <w:tblPr>
        <w:tblW w:w="0" w:type="auto"/>
        <w:tblLayout w:type="fixed"/>
        <w:tblCellMar>
          <w:left w:w="62" w:type="dxa"/>
          <w:right w:w="62" w:type="dxa"/>
        </w:tblCellMar>
        <w:tblLook w:val="0000"/>
      </w:tblPr>
      <w:tblGrid>
        <w:gridCol w:w="2664"/>
        <w:gridCol w:w="5858"/>
      </w:tblGrid>
      <w:tr w:rsidTr="0014340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This unit describes the outcomes requir</w:t>
            </w:r>
            <w:r w:rsidRPr="00312B14">
              <w:t>ed to identify, sort and rack hardwood or softwood material. The unit includes verification of material to ensure appropriate quality and separation of material with faults</w:t>
            </w:r>
          </w:p>
          <w:p w:rsidR="00000000" w:rsidRPr="00312B14" w:rsidP="00312B14">
            <w:pPr>
              <w:pStyle w:val="BodyText"/>
            </w:pPr>
            <w:r w:rsidRPr="00312B14">
              <w:t>General workplace legislative and regulatory requirements apply to this unit; howev</w:t>
            </w:r>
            <w:r w:rsidRPr="00312B14">
              <w:t>er there are no specific licensing or certification requirements at the time of publication</w:t>
            </w:r>
          </w:p>
          <w:p w:rsidR="00000000" w:rsidRPr="00312B14" w:rsidP="00312B14">
            <w:pPr>
              <w:pStyle w:val="BodyText"/>
            </w:pPr>
            <w:r w:rsidRPr="00312B14">
              <w:t>This unit replaces FPICOT2202A Rack material</w:t>
            </w:r>
          </w:p>
        </w:tc>
      </w:tr>
    </w:tbl>
    <w:p w:rsidR="0014340E" w:rsidP="00312B14">
      <w:pPr>
        <w:pStyle w:val="BodyText"/>
      </w:pPr>
    </w:p>
    <w:p w:rsidR="0014340E" w:rsidP="00312B14">
      <w:pPr>
        <w:pStyle w:val="BodyText"/>
      </w:pPr>
    </w:p>
    <w:p w:rsidR="00000000" w:rsidRPr="00312B14" w:rsidP="00312B14">
      <w:pPr>
        <w:pStyle w:val="Heading1"/>
      </w:pPr>
      <w:bookmarkStart w:id="3" w:name="O_203113"/>
      <w:bookmarkEnd w:id="3"/>
      <w:r w:rsidRPr="00312B14">
        <w:t>Application of the Unit</w:t>
      </w:r>
    </w:p>
    <w:tbl>
      <w:tblPr>
        <w:tblW w:w="0" w:type="auto"/>
        <w:tblLayout w:type="fixed"/>
        <w:tblCellMar>
          <w:left w:w="62" w:type="dxa"/>
          <w:right w:w="62" w:type="dxa"/>
        </w:tblCellMar>
        <w:tblLook w:val="0000"/>
      </w:tblPr>
      <w:tblGrid>
        <w:gridCol w:w="2755"/>
        <w:gridCol w:w="5767"/>
      </w:tblGrid>
      <w:tr w:rsidTr="0014340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The unit involves racking material in a forest products factory setting</w:t>
            </w:r>
          </w:p>
          <w:p w:rsidR="00000000" w:rsidRPr="00312B14" w:rsidP="00312B14">
            <w:pPr>
              <w:pStyle w:val="BodyText"/>
            </w:pPr>
            <w:r w:rsidRPr="00312B14">
              <w:t>The skills and knowledge required for competent workplace performance are to be used within the scope of the person's job and authority</w:t>
            </w:r>
          </w:p>
        </w:tc>
      </w:tr>
    </w:tbl>
    <w:p w:rsidR="0014340E" w:rsidP="00312B14">
      <w:pPr>
        <w:pStyle w:val="BodyText"/>
      </w:pPr>
    </w:p>
    <w:p w:rsidR="0014340E" w:rsidP="00312B14">
      <w:pPr>
        <w:pStyle w:val="BodyText"/>
      </w:pPr>
    </w:p>
    <w:p w:rsidR="00000000" w:rsidRPr="00312B14" w:rsidP="00312B14">
      <w:pPr>
        <w:pStyle w:val="Heading1"/>
      </w:pPr>
      <w:bookmarkStart w:id="4" w:name="O_278760"/>
      <w:bookmarkEnd w:id="4"/>
      <w:r w:rsidRPr="00312B14">
        <w:t>Licensing/Regulatory Informa</w:t>
      </w:r>
      <w:r w:rsidRPr="00312B14">
        <w:t>tion</w:t>
      </w:r>
    </w:p>
    <w:p w:rsidR="00000000" w:rsidRPr="00312B14" w:rsidP="00312B14">
      <w:pPr>
        <w:pStyle w:val="BodyText"/>
      </w:pPr>
      <w:r w:rsidRPr="00312B14">
        <w:t>Refer to Unit Descriptor</w:t>
      </w:r>
    </w:p>
    <w:p w:rsidR="00000000" w:rsidRPr="00312B14" w:rsidP="00312B14">
      <w:pPr>
        <w:pStyle w:val="AllowPageBreak"/>
      </w:pPr>
    </w:p>
    <w:p w:rsidR="00000000" w:rsidRPr="00312B14" w:rsidP="00312B14">
      <w:pPr>
        <w:pStyle w:val="Heading1"/>
      </w:pPr>
      <w:bookmarkStart w:id="5" w:name="O_283673"/>
      <w:bookmarkEnd w:id="5"/>
      <w:r w:rsidRPr="00312B14">
        <w:t>Pre-Requisites</w:t>
      </w:r>
    </w:p>
    <w:p w:rsidR="00000000" w:rsidRPr="00312B14" w:rsidP="00312B14">
      <w:pPr>
        <w:pStyle w:val="BodyText"/>
      </w:pPr>
      <w:r w:rsidRPr="00312B14">
        <w:t>Not Applicable</w:t>
      </w:r>
    </w:p>
    <w:p w:rsidR="00000000" w:rsidRPr="00312B14" w:rsidP="00312B14">
      <w:pPr>
        <w:pStyle w:val="AllowPageBreak"/>
      </w:pPr>
    </w:p>
    <w:p w:rsidR="00000000" w:rsidRPr="00312B14" w:rsidP="00312B14">
      <w:pPr>
        <w:pStyle w:val="Heading1"/>
      </w:pPr>
      <w:bookmarkStart w:id="6" w:name="O_203112"/>
      <w:bookmarkEnd w:id="6"/>
      <w:r w:rsidRPr="00312B14">
        <w:t>Employability Skills Information</w:t>
      </w:r>
    </w:p>
    <w:tbl>
      <w:tblPr>
        <w:tblW w:w="0" w:type="auto"/>
        <w:tblLayout w:type="fixed"/>
        <w:tblCellMar>
          <w:left w:w="62" w:type="dxa"/>
          <w:right w:w="62" w:type="dxa"/>
        </w:tblCellMar>
        <w:tblLook w:val="0000"/>
      </w:tblPr>
      <w:tblGrid>
        <w:gridCol w:w="2802"/>
        <w:gridCol w:w="5720"/>
      </w:tblGrid>
      <w:tr w:rsidTr="0014340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This unit contains employability skills</w:t>
            </w:r>
          </w:p>
        </w:tc>
      </w:tr>
    </w:tbl>
    <w:p w:rsidR="0014340E" w:rsidP="00312B14">
      <w:pPr>
        <w:pStyle w:val="BodyText"/>
      </w:pPr>
    </w:p>
    <w:p w:rsidR="0014340E" w:rsidP="00312B14">
      <w:pPr>
        <w:pStyle w:val="BodyText"/>
      </w:pPr>
    </w:p>
    <w:p w:rsidR="00000000" w:rsidRPr="00312B14" w:rsidP="00312B14">
      <w:pPr>
        <w:pStyle w:val="Heading1"/>
      </w:pPr>
      <w:bookmarkStart w:id="7" w:name="O_288546"/>
      <w:bookmarkEnd w:id="7"/>
      <w:r w:rsidRPr="00312B14">
        <w:t>Elements and Performance Criteria Pre-Content</w:t>
      </w:r>
    </w:p>
    <w:tbl>
      <w:tblPr>
        <w:tblW w:w="0" w:type="auto"/>
        <w:tblLayout w:type="fixed"/>
        <w:tblCellMar>
          <w:left w:w="62" w:type="dxa"/>
          <w:right w:w="62" w:type="dxa"/>
        </w:tblCellMar>
        <w:tblLook w:val="0000"/>
      </w:tblPr>
      <w:tblGrid>
        <w:gridCol w:w="2545"/>
        <w:gridCol w:w="5977"/>
      </w:tblGrid>
      <w:tr w:rsidTr="0014340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Performance criteria describe the performance needed to demonstrate achievement of the element. Where bold italicised text is used, further information is detailed in the required skills and</w:t>
            </w:r>
            <w:r w:rsidRPr="00312B14">
              <w:t xml:space="preserve"> knowledge section and the range statement. Assessment of performance is to be consistent with the evidence guide.</w:t>
            </w:r>
          </w:p>
        </w:tc>
      </w:tr>
    </w:tbl>
    <w:p w:rsidR="00000000" w:rsidRPr="00312B14" w:rsidP="00312B14">
      <w:pPr>
        <w:pStyle w:val="BodyText"/>
      </w:pPr>
    </w:p>
    <w:p w:rsidR="00000000" w:rsidRPr="00312B14" w:rsidP="00312B14">
      <w:pPr>
        <w:pStyle w:val="AllowPageBreak"/>
      </w:pPr>
    </w:p>
    <w:p w:rsidR="00000000" w:rsidRPr="00312B14" w:rsidP="00312B14">
      <w:pPr>
        <w:pStyle w:val="Heading1"/>
      </w:pPr>
      <w:bookmarkStart w:id="8" w:name="O_235213"/>
      <w:bookmarkEnd w:id="8"/>
      <w:r w:rsidRPr="00312B14">
        <w:t>Elements and Performance Criteria</w:t>
      </w:r>
    </w:p>
    <w:tbl>
      <w:tblPr>
        <w:tblW w:w="0" w:type="auto"/>
        <w:tblLayout w:type="fixed"/>
        <w:tblCellMar>
          <w:left w:w="62" w:type="dxa"/>
          <w:right w:w="62" w:type="dxa"/>
        </w:tblCellMar>
        <w:tblLook w:val="0000"/>
      </w:tblPr>
      <w:tblGrid>
        <w:gridCol w:w="2545"/>
        <w:gridCol w:w="5977"/>
      </w:tblGrid>
      <w:tr w:rsidTr="0014340E">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PERFORMANCE CRITERIA</w:t>
            </w:r>
          </w:p>
        </w:tc>
      </w:tr>
      <w:tr w:rsidTr="0014340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12B14">
            <w:pPr>
              <w:pStyle w:val="List"/>
              <w:rPr>
                <w:lang w:val="en-NZ"/>
              </w:rPr>
            </w:pPr>
            <w:r w:rsidRPr="00312B14">
              <w:t>1.</w:t>
            </w:r>
            <w:r w:rsidRPr="00312B14">
              <w:tab/>
              <w:t>Prepare to rack material</w:t>
            </w:r>
          </w:p>
        </w:tc>
        <w:tc>
          <w:tcPr>
            <w:tcW w:w="5977" w:type="dxa"/>
            <w:tcBorders>
              <w:top w:val="nil"/>
              <w:left w:val="nil"/>
              <w:bottom w:val="nil"/>
              <w:right w:val="nil"/>
            </w:tcBorders>
            <w:tcMar>
              <w:top w:w="0" w:type="dxa"/>
              <w:left w:w="62" w:type="dxa"/>
              <w:bottom w:w="0" w:type="dxa"/>
              <w:right w:w="62" w:type="dxa"/>
            </w:tcMar>
          </w:tcPr>
          <w:p w:rsidR="00000000" w:rsidRPr="00312B14" w:rsidP="00312B14">
            <w:pPr>
              <w:pStyle w:val="List2"/>
            </w:pPr>
            <w:r w:rsidRPr="00312B14">
              <w:t>1.1.</w:t>
            </w:r>
            <w:r w:rsidRPr="00312B14">
              <w:tab/>
              <w:t xml:space="preserve">Applicable </w:t>
            </w:r>
            <w:r w:rsidRPr="00312B14">
              <w:rPr>
                <w:rStyle w:val="BoldandItalics"/>
              </w:rPr>
              <w:t>occupational health and safety</w:t>
            </w:r>
            <w:r w:rsidRPr="00312B14">
              <w:t xml:space="preserve"> (OHS), </w:t>
            </w:r>
            <w:r w:rsidRPr="00312B14">
              <w:rPr>
                <w:rStyle w:val="BoldandItalics"/>
              </w:rPr>
              <w:t>environmental</w:t>
            </w:r>
            <w:r w:rsidRPr="00312B14">
              <w:t xml:space="preserve">, </w:t>
            </w:r>
            <w:r w:rsidRPr="00312B14">
              <w:rPr>
                <w:rStyle w:val="BoldandItalics"/>
              </w:rPr>
              <w:t>legislative</w:t>
            </w:r>
            <w:r w:rsidRPr="00312B14">
              <w:t xml:space="preserve"> and </w:t>
            </w:r>
            <w:r w:rsidRPr="00312B14">
              <w:rPr>
                <w:rStyle w:val="BoldandItalics"/>
              </w:rPr>
              <w:t>organisational requirements</w:t>
            </w:r>
            <w:r w:rsidRPr="00312B14">
              <w:t xml:space="preserve"> relevant to racking </w:t>
            </w:r>
            <w:r w:rsidRPr="00312B14">
              <w:rPr>
                <w:rStyle w:val="BoldandItalics"/>
              </w:rPr>
              <w:t>material</w:t>
            </w:r>
            <w:r w:rsidRPr="00312B14">
              <w:t xml:space="preserve"> are identified and followed</w:t>
            </w:r>
          </w:p>
          <w:p w:rsidR="00000000" w:rsidRPr="00312B14" w:rsidP="00312B14">
            <w:pPr>
              <w:pStyle w:val="List2"/>
            </w:pPr>
            <w:r w:rsidRPr="00312B14">
              <w:t>1.2.</w:t>
            </w:r>
            <w:r w:rsidRPr="00312B14">
              <w:tab/>
            </w:r>
            <w:r w:rsidRPr="00312B14">
              <w:rPr>
                <w:rStyle w:val="BoldandItalics"/>
              </w:rPr>
              <w:t>Work order</w:t>
            </w:r>
            <w:r w:rsidRPr="00312B14">
              <w:t xml:space="preserve"> is reviewed and clarified with </w:t>
            </w:r>
            <w:r w:rsidRPr="00312B14">
              <w:rPr>
                <w:rStyle w:val="BoldandItalics"/>
              </w:rPr>
              <w:t>appropriate personnel</w:t>
            </w:r>
          </w:p>
          <w:p w:rsidR="00000000" w:rsidRPr="00312B14" w:rsidP="00312B14">
            <w:pPr>
              <w:pStyle w:val="List2"/>
            </w:pPr>
            <w:r w:rsidRPr="00312B14">
              <w:t>1.3.</w:t>
            </w:r>
            <w:r w:rsidRPr="00312B14">
              <w:tab/>
              <w:t>Tools and equipment are sele</w:t>
            </w:r>
            <w:r w:rsidRPr="00312B14">
              <w:t>cted appropriate to work requirements and checked for operational effectiveness in line with manufacturer recommendations and site procedures</w:t>
            </w:r>
          </w:p>
          <w:p w:rsidR="00000000" w:rsidRPr="00312B14" w:rsidP="00312B14">
            <w:pPr>
              <w:pStyle w:val="List2"/>
            </w:pPr>
            <w:r w:rsidRPr="00312B14">
              <w:t>1.4.</w:t>
            </w:r>
            <w:r w:rsidRPr="00312B14">
              <w:tab/>
              <w:t xml:space="preserve">Racking material procedures are identified and assessed for safe working conditions and planned in line with </w:t>
            </w:r>
            <w:r w:rsidRPr="00312B14">
              <w:t>site procedures</w:t>
            </w:r>
          </w:p>
          <w:p w:rsidR="00000000" w:rsidP="00312B14">
            <w:pPr>
              <w:pStyle w:val="List2"/>
              <w:rPr>
                <w:lang w:val="en-NZ"/>
              </w:rPr>
            </w:pPr>
            <w:r w:rsidRPr="00312B14">
              <w:t>1.5.</w:t>
            </w:r>
            <w:r w:rsidRPr="00312B14">
              <w:tab/>
            </w:r>
            <w:r w:rsidRPr="00312B14">
              <w:rPr>
                <w:rStyle w:val="BoldandItalics"/>
              </w:rPr>
              <w:t>Communication</w:t>
            </w:r>
            <w:r w:rsidRPr="00312B14">
              <w:t xml:space="preserve"> with others is established and maintained in line with OHS requirements and site procedures</w:t>
            </w:r>
          </w:p>
        </w:tc>
      </w:tr>
      <w:tr w:rsidTr="0014340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12B14">
            <w:pPr>
              <w:pStyle w:val="List"/>
              <w:rPr>
                <w:lang w:val="en-NZ"/>
              </w:rPr>
            </w:pPr>
            <w:r w:rsidRPr="00312B14">
              <w:t>2.</w:t>
            </w:r>
            <w:r w:rsidRPr="00312B14">
              <w:tab/>
              <w:t>Identify material</w:t>
            </w:r>
          </w:p>
        </w:tc>
        <w:tc>
          <w:tcPr>
            <w:tcW w:w="5977" w:type="dxa"/>
            <w:tcBorders>
              <w:top w:val="nil"/>
              <w:left w:val="nil"/>
              <w:bottom w:val="nil"/>
              <w:right w:val="nil"/>
            </w:tcBorders>
            <w:tcMar>
              <w:top w:w="0" w:type="dxa"/>
              <w:left w:w="62" w:type="dxa"/>
              <w:bottom w:w="0" w:type="dxa"/>
              <w:right w:w="62" w:type="dxa"/>
            </w:tcMar>
          </w:tcPr>
          <w:p w:rsidR="00000000" w:rsidRPr="00312B14" w:rsidP="00312B14">
            <w:pPr>
              <w:pStyle w:val="List2"/>
            </w:pPr>
            <w:r w:rsidRPr="00312B14">
              <w:t>2.1.</w:t>
            </w:r>
            <w:r w:rsidRPr="00312B14">
              <w:tab/>
              <w:t>Type and quantity of material to be racked is identified in line with work order</w:t>
            </w:r>
          </w:p>
          <w:p w:rsidR="00000000" w:rsidRPr="00312B14" w:rsidP="00312B14">
            <w:pPr>
              <w:pStyle w:val="List2"/>
            </w:pPr>
            <w:r w:rsidRPr="00312B14">
              <w:t>2.2.</w:t>
            </w:r>
            <w:r w:rsidRPr="00312B14">
              <w:tab/>
            </w:r>
            <w:r w:rsidRPr="00312B14">
              <w:t>Round poles are identified by visual estimate or using a measuring tool to meet industry requirements for standard diameter ranges</w:t>
            </w:r>
          </w:p>
          <w:p w:rsidR="00000000" w:rsidRPr="00312B14" w:rsidP="00312B14">
            <w:pPr>
              <w:pStyle w:val="List2"/>
            </w:pPr>
            <w:r w:rsidRPr="00312B14">
              <w:t>2.3.</w:t>
            </w:r>
            <w:r w:rsidRPr="00312B14">
              <w:tab/>
              <w:t>Sawn or dressed boards are identified by visual estimate or using a measuring tool to meet industry requirements for sta</w:t>
            </w:r>
            <w:r w:rsidRPr="00312B14">
              <w:t>ndard cross sections</w:t>
            </w:r>
          </w:p>
          <w:p w:rsidR="00000000" w:rsidRPr="00312B14" w:rsidP="00312B14">
            <w:pPr>
              <w:pStyle w:val="List2"/>
            </w:pPr>
            <w:r w:rsidRPr="00312B14">
              <w:t>2.4.</w:t>
            </w:r>
            <w:r w:rsidRPr="00312B14">
              <w:tab/>
              <w:t>Industry requirements for standard lengths of material are identified by visual estimate or using a measuring tool</w:t>
            </w:r>
          </w:p>
          <w:p w:rsidR="00000000" w:rsidP="00312B14">
            <w:pPr>
              <w:pStyle w:val="List2"/>
              <w:rPr>
                <w:lang w:val="en-NZ"/>
              </w:rPr>
            </w:pPr>
            <w:r w:rsidRPr="00312B14">
              <w:t>2.5.</w:t>
            </w:r>
            <w:r w:rsidRPr="00312B14">
              <w:tab/>
              <w:t>Stress grade labels, colour identification marks and other tags are identified and interpreted</w:t>
            </w:r>
          </w:p>
        </w:tc>
      </w:tr>
      <w:tr w:rsidTr="0014340E">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312B14">
            <w:pPr>
              <w:pStyle w:val="List"/>
              <w:rPr>
                <w:lang w:val="en-NZ"/>
              </w:rPr>
            </w:pPr>
            <w:r w:rsidRPr="00312B14">
              <w:t>3.</w:t>
            </w:r>
            <w:r w:rsidRPr="00312B14">
              <w:tab/>
              <w:t>Rack materi</w:t>
            </w:r>
            <w:r w:rsidRPr="00312B14">
              <w:t>al</w:t>
            </w:r>
          </w:p>
        </w:tc>
        <w:tc>
          <w:tcPr>
            <w:tcW w:w="5977" w:type="dxa"/>
            <w:tcBorders>
              <w:top w:val="nil"/>
              <w:left w:val="nil"/>
              <w:bottom w:val="nil"/>
              <w:right w:val="nil"/>
            </w:tcBorders>
            <w:tcMar>
              <w:top w:w="0" w:type="dxa"/>
              <w:left w:w="62" w:type="dxa"/>
              <w:bottom w:w="0" w:type="dxa"/>
              <w:right w:w="62" w:type="dxa"/>
            </w:tcMar>
          </w:tcPr>
          <w:p w:rsidR="00000000" w:rsidRPr="00312B14" w:rsidP="00312B14">
            <w:pPr>
              <w:pStyle w:val="List2"/>
            </w:pPr>
            <w:r w:rsidRPr="00312B14">
              <w:t>3.1.</w:t>
            </w:r>
            <w:r w:rsidRPr="00312B14">
              <w:tab/>
              <w:t>Material is racked in line with work order, and environmental and OHS requirements</w:t>
            </w:r>
          </w:p>
          <w:p w:rsidR="00000000" w:rsidRPr="00312B14" w:rsidP="00312B14">
            <w:pPr>
              <w:pStyle w:val="List2"/>
            </w:pPr>
            <w:r w:rsidRPr="00312B14">
              <w:t>3.2.</w:t>
            </w:r>
            <w:r w:rsidRPr="00312B14">
              <w:tab/>
              <w:t>Material of consistent type, section and length is racked in line with work order requirements</w:t>
            </w:r>
          </w:p>
          <w:p w:rsidR="00000000" w:rsidRPr="00312B14" w:rsidP="00312B14">
            <w:pPr>
              <w:pStyle w:val="List2"/>
            </w:pPr>
            <w:r w:rsidRPr="00312B14">
              <w:t>3.3.</w:t>
            </w:r>
            <w:r w:rsidRPr="00312B14">
              <w:tab/>
              <w:t xml:space="preserve">Material with faults is identified, separated and </w:t>
            </w:r>
            <w:r w:rsidRPr="00312B14">
              <w:rPr>
                <w:rStyle w:val="BoldandItalics"/>
              </w:rPr>
              <w:t>disposed o</w:t>
            </w:r>
            <w:r w:rsidRPr="00312B14">
              <w:rPr>
                <w:rStyle w:val="BoldandItalics"/>
              </w:rPr>
              <w:t>f</w:t>
            </w:r>
            <w:r w:rsidRPr="00312B14">
              <w:t xml:space="preserve"> in line with site procedures and environmental requirements</w:t>
            </w:r>
          </w:p>
          <w:p w:rsidR="00000000" w:rsidRPr="00312B14" w:rsidP="00312B14">
            <w:pPr>
              <w:pStyle w:val="List2"/>
            </w:pPr>
            <w:r w:rsidRPr="00312B14">
              <w:t>3.4.</w:t>
            </w:r>
            <w:r w:rsidRPr="00312B14">
              <w:tab/>
              <w:t>Bearers and spacing sticks are placed squarely, evenly and consistently in line with site procedures</w:t>
            </w:r>
          </w:p>
          <w:p w:rsidR="00000000" w:rsidRPr="00312B14" w:rsidP="00312B14">
            <w:pPr>
              <w:pStyle w:val="List2"/>
            </w:pPr>
            <w:r w:rsidRPr="00312B14">
              <w:t>3.5.</w:t>
            </w:r>
            <w:r w:rsidRPr="00312B14">
              <w:tab/>
              <w:t>Bearers and spacing sticks are checked for consistent thickness and damage, and dis</w:t>
            </w:r>
            <w:r w:rsidRPr="00312B14">
              <w:t>posed of as necessary</w:t>
            </w:r>
          </w:p>
          <w:p w:rsidR="00000000" w:rsidRPr="00312B14" w:rsidP="00312B14">
            <w:pPr>
              <w:pStyle w:val="List2"/>
            </w:pPr>
            <w:r w:rsidRPr="00312B14">
              <w:t>3.6.</w:t>
            </w:r>
            <w:r w:rsidRPr="00312B14">
              <w:tab/>
              <w:t xml:space="preserve">Work area is regularly cleared to maintain a safe and </w:t>
            </w:r>
            <w:r w:rsidRPr="00312B14">
              <w:t>efficient workflow in line with site procedures and environmental requirements</w:t>
            </w:r>
          </w:p>
          <w:p w:rsidR="00000000" w:rsidRPr="00312B14" w:rsidP="00312B14">
            <w:pPr>
              <w:pStyle w:val="List2"/>
            </w:pPr>
            <w:r w:rsidRPr="00312B14">
              <w:t>3.7.</w:t>
            </w:r>
            <w:r w:rsidRPr="00312B14">
              <w:tab/>
              <w:t>Problems associated with racking material processes are rectified or reported for resolutio</w:t>
            </w:r>
            <w:r w:rsidRPr="00312B14">
              <w:t>n</w:t>
            </w:r>
          </w:p>
        </w:tc>
      </w:tr>
    </w:tbl>
    <w:p w:rsidR="0014340E" w:rsidP="00312B14">
      <w:pPr>
        <w:pStyle w:val="BodyText"/>
      </w:pPr>
    </w:p>
    <w:p w:rsidR="0014340E" w:rsidP="00312B14">
      <w:pPr>
        <w:pStyle w:val="BodyText"/>
      </w:pPr>
    </w:p>
    <w:p w:rsidR="00000000" w:rsidRPr="00312B14" w:rsidP="00312B14">
      <w:pPr>
        <w:pStyle w:val="Heading1"/>
      </w:pPr>
      <w:bookmarkStart w:id="9" w:name="O_259163"/>
      <w:bookmarkEnd w:id="9"/>
      <w:r w:rsidRPr="00312B14">
        <w:t>Required Skills and Knowledge</w:t>
      </w:r>
    </w:p>
    <w:tbl>
      <w:tblPr>
        <w:tblW w:w="0" w:type="auto"/>
        <w:tblLayout w:type="fixed"/>
        <w:tblCellMar>
          <w:left w:w="62" w:type="dxa"/>
          <w:right w:w="62" w:type="dxa"/>
        </w:tblCellMar>
        <w:tblLook w:val="0000"/>
      </w:tblPr>
      <w:tblGrid>
        <w:gridCol w:w="8522"/>
      </w:tblGrid>
      <w:tr w:rsidTr="0014340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REQUIRED SKILLS AND KNOWLEDGE</w:t>
            </w:r>
          </w:p>
        </w:tc>
      </w:tr>
      <w:tr w:rsidTr="001434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t>This describes the essential skills and knowledge and their level required for this unit.</w:t>
            </w:r>
          </w:p>
        </w:tc>
      </w:tr>
      <w:tr w:rsidTr="001434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Required skills</w:t>
            </w:r>
          </w:p>
        </w:tc>
      </w:tr>
      <w:tr w:rsidTr="001434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Technical skills sufficient to u</w:t>
            </w:r>
            <w:r w:rsidRPr="00312B14">
              <w:t>se and maintain relevant tools, machinery and equipment; safely rack material to industry and site standards; use suitable bearers and spacing sticks for racking</w:t>
            </w:r>
          </w:p>
          <w:p w:rsidR="00000000" w:rsidRPr="00312B14" w:rsidP="00312B14">
            <w:pPr>
              <w:pStyle w:val="ListBullet"/>
            </w:pPr>
            <w:r w:rsidRPr="00312B14">
              <w:t>Communication skills and interpersonal techniques sufficient to interact appropriately with co</w:t>
            </w:r>
            <w:r w:rsidRPr="00312B14">
              <w:t>lleagues and others in the workplace; locate and report information</w:t>
            </w:r>
          </w:p>
          <w:p w:rsidR="00000000" w:rsidRPr="00312B14" w:rsidP="00312B14">
            <w:pPr>
              <w:pStyle w:val="ListBullet"/>
            </w:pPr>
            <w:r w:rsidRPr="00312B14">
              <w:t xml:space="preserve">Literacy skills sufficient to follow legislation, regulations, standards, codes of practice and established safe practices and procedures for racking material; locate, interpret and apply </w:t>
            </w:r>
            <w:r w:rsidRPr="00312B14">
              <w:t>workplace information and instructions</w:t>
            </w:r>
          </w:p>
          <w:p w:rsidR="00000000" w:rsidRPr="00312B14" w:rsidP="00312B14">
            <w:pPr>
              <w:pStyle w:val="ListBullet"/>
            </w:pPr>
            <w:r w:rsidRPr="00312B14">
              <w:t>Numeracy skills sufficient to apply appropriate mathematical processes to measure material against industry standards for sizing; estimate, measure and calculate time required to complete a task</w:t>
            </w:r>
          </w:p>
          <w:p w:rsidR="00000000" w:rsidP="00312B14">
            <w:pPr>
              <w:pStyle w:val="ListBullet"/>
              <w:rPr>
                <w:lang w:val="en-NZ"/>
              </w:rPr>
            </w:pPr>
            <w:r w:rsidRPr="00312B14">
              <w:t>Problem solving skills</w:t>
            </w:r>
            <w:r w:rsidRPr="00312B14">
              <w:t xml:space="preserve"> sufficient to review and identify work requirements; identify problems and equipment faults; demonstrate appropriate response procedures</w:t>
            </w:r>
          </w:p>
        </w:tc>
      </w:tr>
      <w:tr w:rsidTr="001434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Required knowledge</w:t>
            </w:r>
          </w:p>
        </w:tc>
      </w:tr>
      <w:tr w:rsidTr="0014340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Applicable commonwealth, state or territory legislation, regulations, standards, codes of practi</w:t>
            </w:r>
            <w:r w:rsidRPr="00312B14">
              <w:t>ce and established safe practices relevant to the full range of processes for racking material</w:t>
            </w:r>
          </w:p>
          <w:p w:rsidR="00000000" w:rsidRPr="00312B14" w:rsidP="00312B14">
            <w:pPr>
              <w:pStyle w:val="ListBullet"/>
            </w:pPr>
            <w:r w:rsidRPr="00312B14">
              <w:t>Environmental protection requirements, including the safe disposal of waste material (including preservative treated material) and the cleaning of plant, tools a</w:t>
            </w:r>
            <w:r w:rsidRPr="00312B14">
              <w:t>nd equipment</w:t>
            </w:r>
          </w:p>
          <w:p w:rsidR="00000000" w:rsidRPr="00312B14" w:rsidP="00312B14">
            <w:pPr>
              <w:pStyle w:val="ListBullet"/>
            </w:pPr>
            <w:r w:rsidRPr="00312B14">
              <w:t>Organisational and site standards, requirements, policies and procedures for racking material</w:t>
            </w:r>
          </w:p>
          <w:p w:rsidR="00000000" w:rsidRPr="00312B14" w:rsidP="00312B14">
            <w:pPr>
              <w:pStyle w:val="ListBullet"/>
            </w:pPr>
            <w:r w:rsidRPr="00312B14">
              <w:t>Criteria for recycling and re-using material with faults</w:t>
            </w:r>
          </w:p>
          <w:p w:rsidR="00000000" w:rsidRPr="00312B14" w:rsidP="00312B14">
            <w:pPr>
              <w:pStyle w:val="ListBullet"/>
            </w:pPr>
            <w:r w:rsidRPr="00312B14">
              <w:t>Hazards and risks associated with racking material, including environmental hazards and risk</w:t>
            </w:r>
            <w:r w:rsidRPr="00312B14">
              <w:t>s</w:t>
            </w:r>
          </w:p>
          <w:p w:rsidR="00000000" w:rsidRPr="00312B14" w:rsidP="00312B14">
            <w:pPr>
              <w:pStyle w:val="ListBullet"/>
            </w:pPr>
            <w:r w:rsidRPr="00312B14">
              <w:t>Range and types of material to be racked</w:t>
            </w:r>
          </w:p>
          <w:p w:rsidR="00000000" w:rsidRPr="00312B14" w:rsidP="00312B14">
            <w:pPr>
              <w:pStyle w:val="ListBullet"/>
            </w:pPr>
            <w:r w:rsidRPr="00312B14">
              <w:t>Industry standard cross section and length dimensions and tolerances</w:t>
            </w:r>
          </w:p>
          <w:p w:rsidR="00000000" w:rsidRPr="00312B14" w:rsidP="00312B14">
            <w:pPr>
              <w:pStyle w:val="ListBullet"/>
            </w:pPr>
            <w:r w:rsidRPr="00312B14">
              <w:t xml:space="preserve">Industry standard cross section profiles and names </w:t>
            </w:r>
          </w:p>
          <w:p w:rsidR="00000000" w:rsidRPr="00312B14" w:rsidP="00312B14">
            <w:pPr>
              <w:pStyle w:val="ListBullet"/>
            </w:pPr>
            <w:r w:rsidRPr="00312B14">
              <w:t>Established communication channels and protocols</w:t>
            </w:r>
          </w:p>
          <w:p w:rsidR="00000000" w:rsidRPr="00312B14" w:rsidP="00312B14">
            <w:pPr>
              <w:pStyle w:val="ListBullet"/>
            </w:pPr>
            <w:r w:rsidRPr="00312B14">
              <w:t>Problem identification and resolution strategies, and common fault finding techniques</w:t>
            </w:r>
          </w:p>
          <w:p w:rsidR="00000000" w:rsidRPr="00312B14" w:rsidP="00312B14">
            <w:pPr>
              <w:pStyle w:val="ListBullet"/>
            </w:pPr>
            <w:r w:rsidRPr="00312B14">
              <w:t>Types of tools and equipment, and procedures for their safe use, operation and maintenance</w:t>
            </w:r>
          </w:p>
          <w:p w:rsidR="00000000" w:rsidRPr="00312B14" w:rsidP="00312B14">
            <w:pPr>
              <w:pStyle w:val="ListBullet"/>
            </w:pPr>
            <w:r w:rsidRPr="00312B14">
              <w:t>Appropriate mathematical procedures for estimating and measuring, including cal</w:t>
            </w:r>
            <w:r w:rsidRPr="00312B14">
              <w:t>culating time to complete tasks</w:t>
            </w:r>
          </w:p>
          <w:p w:rsidR="00000000" w:rsidRPr="00312B14" w:rsidP="00312B14">
            <w:pPr>
              <w:pStyle w:val="ListBullet"/>
            </w:pPr>
            <w:r w:rsidRPr="00312B14">
              <w:t>Procedures for recording and reporting workplace information</w:t>
            </w:r>
          </w:p>
        </w:tc>
      </w:tr>
    </w:tbl>
    <w:p w:rsidR="0014340E" w:rsidP="00312B14">
      <w:pPr>
        <w:pStyle w:val="BodyText"/>
      </w:pPr>
    </w:p>
    <w:p w:rsidR="0014340E" w:rsidP="00312B14">
      <w:pPr>
        <w:pStyle w:val="BodyText"/>
      </w:pPr>
    </w:p>
    <w:p w:rsidR="00000000" w:rsidRPr="00312B14" w:rsidP="00312B14">
      <w:pPr>
        <w:pStyle w:val="Heading1"/>
      </w:pPr>
      <w:bookmarkStart w:id="10" w:name="O_243197"/>
      <w:bookmarkEnd w:id="10"/>
      <w:r w:rsidRPr="00312B14">
        <w:t>Evidence Guide</w:t>
      </w:r>
    </w:p>
    <w:tbl>
      <w:tblPr>
        <w:tblW w:w="9570" w:type="dxa"/>
        <w:tblLayout w:type="fixed"/>
        <w:tblCellMar>
          <w:left w:w="62" w:type="dxa"/>
          <w:right w:w="62" w:type="dxa"/>
        </w:tblCellMar>
        <w:tblLook w:val="0000"/>
      </w:tblPr>
      <w:tblGrid>
        <w:gridCol w:w="3908"/>
        <w:gridCol w:w="5662"/>
      </w:tblGrid>
      <w:tr w:rsidTr="0014340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EVIDENCE GUIDE</w:t>
            </w:r>
          </w:p>
        </w:tc>
      </w:tr>
      <w:tr w:rsidTr="0014340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t>The evidence guide provides advice on assessment and must be read in conjunction with the performance criteria, required skills and knowledge, range statement and the Assessment Guidelines for the Training Package.</w:t>
            </w:r>
          </w:p>
        </w:tc>
      </w:tr>
      <w:tr w:rsidTr="001434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A person who demonstrates competency in this unit must be able to provide evidence that they can safely and efficiently:</w:t>
            </w:r>
          </w:p>
          <w:p w:rsidR="00000000" w:rsidRPr="00312B14" w:rsidP="00312B14">
            <w:pPr>
              <w:pStyle w:val="ListBullet"/>
            </w:pPr>
            <w:r w:rsidRPr="00312B14">
              <w:t>identify, sort and rack hardwood or softwood material to industry standards</w:t>
            </w:r>
          </w:p>
          <w:p w:rsidR="00000000" w:rsidP="00312B14">
            <w:pPr>
              <w:pStyle w:val="ListBullet"/>
              <w:rPr>
                <w:lang w:val="en-NZ"/>
              </w:rPr>
            </w:pPr>
            <w:r w:rsidRPr="00312B14">
              <w:t>separate material with identified faults according to orga</w:t>
            </w:r>
            <w:r w:rsidRPr="00312B14">
              <w:t>nisational guidelines</w:t>
            </w:r>
          </w:p>
        </w:tc>
      </w:tr>
      <w:tr w:rsidTr="001434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The evidence required to demonstrate competency in this unit must be relevant to, and satisfy, all of the requirements of the elements of th</w:t>
            </w:r>
            <w:r w:rsidRPr="00312B14">
              <w:t xml:space="preserve">is unit and include demonstration of: </w:t>
            </w:r>
          </w:p>
          <w:p w:rsidR="00000000" w:rsidRPr="00312B14" w:rsidP="00312B14">
            <w:pPr>
              <w:pStyle w:val="ListBullet"/>
            </w:pPr>
            <w:r w:rsidRPr="00312B14">
              <w:t>following applicable commonwealth, state or territory legislative and regulatory requirements and codes of practice relevant to racking material</w:t>
            </w:r>
          </w:p>
          <w:p w:rsidR="00000000" w:rsidRPr="00312B14" w:rsidP="00312B14">
            <w:pPr>
              <w:pStyle w:val="ListBullet"/>
            </w:pPr>
            <w:r w:rsidRPr="00312B14">
              <w:t>following organisational policies and procedures relevant to racking ma</w:t>
            </w:r>
            <w:r w:rsidRPr="00312B14">
              <w:t>terial</w:t>
            </w:r>
          </w:p>
          <w:p w:rsidR="00000000" w:rsidRPr="00312B14" w:rsidP="00312B14">
            <w:pPr>
              <w:pStyle w:val="ListBullet"/>
            </w:pPr>
            <w:r w:rsidRPr="00312B14">
              <w:t xml:space="preserve">safely preparing, sorting and racking material to industry standards </w:t>
            </w:r>
          </w:p>
          <w:p w:rsidR="00000000" w:rsidP="00312B14">
            <w:pPr>
              <w:pStyle w:val="ListBullet"/>
              <w:rPr>
                <w:lang w:val="en-NZ"/>
              </w:rPr>
            </w:pPr>
            <w:r w:rsidRPr="00312B14">
              <w:t>identifying, separating and safely disposing of material with faults</w:t>
            </w:r>
          </w:p>
        </w:tc>
      </w:tr>
      <w:tr w:rsidTr="001434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Competency is to be assessed in the workplace or realistically simulated workplace</w:t>
            </w:r>
          </w:p>
          <w:p w:rsidR="00000000" w:rsidRPr="00312B14" w:rsidP="00312B14">
            <w:pPr>
              <w:pStyle w:val="ListBullet"/>
            </w:pPr>
            <w:r w:rsidRPr="00312B14">
              <w:t>Assessment is to occur under standard and authorised work practices, safety requirements and environmental constraints</w:t>
            </w:r>
          </w:p>
          <w:p w:rsidR="00000000" w:rsidRPr="00312B14" w:rsidP="00312B14">
            <w:pPr>
              <w:pStyle w:val="ListBullet"/>
            </w:pPr>
            <w:r w:rsidRPr="00312B14">
              <w:t>Assessment of required knowledge, other than confirmat</w:t>
            </w:r>
            <w:r w:rsidRPr="00312B14">
              <w:t>ory questions, will usually be conducted in an off-site context</w:t>
            </w:r>
          </w:p>
          <w:p w:rsidR="00000000" w:rsidRPr="00312B14" w:rsidP="00312B14">
            <w:pPr>
              <w:pStyle w:val="ListBullet"/>
            </w:pPr>
            <w:r w:rsidRPr="00312B14">
              <w:t>Assessment is to follow relevant regulatory or Australian Standards requirements</w:t>
            </w:r>
          </w:p>
          <w:p w:rsidR="00000000" w:rsidRPr="00312B14" w:rsidP="00312B14">
            <w:pPr>
              <w:pStyle w:val="ListBullet"/>
            </w:pPr>
            <w:r w:rsidRPr="00312B14">
              <w:t>The following resources should be made available:</w:t>
            </w:r>
          </w:p>
          <w:p w:rsidR="00000000" w:rsidRPr="00312B14" w:rsidP="00312B14">
            <w:pPr>
              <w:pStyle w:val="ListBullet3"/>
            </w:pPr>
            <w:r w:rsidRPr="00312B14">
              <w:t>workplace location or simulated workplace</w:t>
            </w:r>
          </w:p>
          <w:p w:rsidR="00000000" w:rsidRPr="00312B14" w:rsidP="00312B14">
            <w:pPr>
              <w:pStyle w:val="ListBullet3"/>
            </w:pPr>
            <w:r w:rsidRPr="00312B14">
              <w:t>materials and equipment relevant to undertaking work applicable to this unit</w:t>
            </w:r>
          </w:p>
          <w:p w:rsidR="00000000" w:rsidP="00312B14">
            <w:pPr>
              <w:pStyle w:val="ListBullet3"/>
              <w:rPr>
                <w:lang w:val="en-NZ"/>
              </w:rPr>
            </w:pPr>
            <w:r w:rsidRPr="00312B14">
              <w:t>specifications and work instructions</w:t>
            </w:r>
          </w:p>
        </w:tc>
      </w:tr>
      <w:tr w:rsidTr="0014340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Assessment must satisfy the endorsed Assessment Guidelines of the FPI11 Training Package</w:t>
            </w:r>
          </w:p>
          <w:p w:rsidR="00000000" w:rsidRPr="00312B14" w:rsidP="00312B14">
            <w:pPr>
              <w:pStyle w:val="ListBullet"/>
            </w:pPr>
            <w:r w:rsidRPr="00312B14">
              <w:t>Assessment methods must confir</w:t>
            </w:r>
            <w:r w:rsidRPr="00312B14">
              <w:t>m consistency and accuracy of performance (over time and in a range of workplace relevant contexts) together with application of required knowledge</w:t>
            </w:r>
          </w:p>
          <w:p w:rsidR="00000000" w:rsidRPr="00312B14" w:rsidP="00312B14">
            <w:pPr>
              <w:pStyle w:val="ListBullet"/>
            </w:pPr>
            <w:r w:rsidRPr="00312B14">
              <w:t>Assessment must be by direct observation of t</w:t>
            </w:r>
            <w:r w:rsidRPr="00312B14">
              <w:t>asks, with questioning on required knowledge and it must also reinforce the integration of employability skills</w:t>
            </w:r>
          </w:p>
          <w:p w:rsidR="00000000" w:rsidRPr="00312B14" w:rsidP="00312B14">
            <w:pPr>
              <w:pStyle w:val="ListBullet"/>
            </w:pPr>
            <w:r w:rsidRPr="00312B14">
              <w:t>Assessment methods must confirm the ability to access and correctly interpret and apply the required knowledge</w:t>
            </w:r>
          </w:p>
          <w:p w:rsidR="00000000" w:rsidRPr="00312B14" w:rsidP="00312B14">
            <w:pPr>
              <w:pStyle w:val="ListBullet"/>
            </w:pPr>
            <w:r w:rsidRPr="00312B14">
              <w:t>Assessment may be applied under p</w:t>
            </w:r>
            <w:r w:rsidRPr="00312B14">
              <w:t>roject-related conditions (real or simulated) and require evidence of process</w:t>
            </w:r>
          </w:p>
          <w:p w:rsidR="00000000" w:rsidRPr="00312B14" w:rsidP="00312B14">
            <w:pPr>
              <w:pStyle w:val="ListBullet"/>
            </w:pPr>
            <w:r w:rsidRPr="00312B14">
              <w:t>Assessment must confirm a reasonable inference that competency is able not only to be satisfied under the particular circumstance, but is able to be transferred to other circumst</w:t>
            </w:r>
            <w:r w:rsidRPr="00312B14">
              <w:t>ances</w:t>
            </w:r>
          </w:p>
          <w:p w:rsidR="00000000" w:rsidRPr="00312B14" w:rsidP="00312B14">
            <w:pPr>
              <w:pStyle w:val="ListBullet"/>
            </w:pPr>
            <w:r w:rsidRPr="00312B14">
              <w:t>Assessment may be in conjunction with assessment of other units of competency</w:t>
            </w:r>
          </w:p>
          <w:p w:rsidR="00000000" w:rsidRPr="00312B14" w:rsidP="00312B14">
            <w:pPr>
              <w:pStyle w:val="ListBullet"/>
            </w:pPr>
            <w:r w:rsidRPr="00312B14">
              <w:t>The assessment environment should not disadvantage the candidate</w:t>
            </w:r>
          </w:p>
          <w:p w:rsidR="00000000" w:rsidRPr="00312B14" w:rsidP="00312B14">
            <w:pPr>
              <w:pStyle w:val="ListBullet"/>
            </w:pPr>
            <w:r w:rsidRPr="00312B14">
              <w:t>Assessment practices should take into account any relevant language or cultural issues related to Aborigina</w:t>
            </w:r>
            <w:r w:rsidRPr="00312B14">
              <w:t>lity, gender or language backgrounds other than English</w:t>
            </w:r>
          </w:p>
          <w:p w:rsidR="00000000" w:rsidRPr="00312B14" w:rsidP="00312B14">
            <w:pPr>
              <w:pStyle w:val="ListBullet"/>
            </w:pPr>
            <w:r w:rsidRPr="00312B14">
              <w:t>Where the participant has a disability, reasonable adjustment may be applied during assessment</w:t>
            </w:r>
          </w:p>
          <w:p w:rsidR="00000000" w:rsidRPr="00312B14" w:rsidP="00312B14">
            <w:pPr>
              <w:pStyle w:val="ListBullet"/>
            </w:pPr>
            <w:r w:rsidRPr="00312B14">
              <w:t>Language and literacy demands of the assessment task should not be higher than those of the work role</w:t>
            </w:r>
          </w:p>
        </w:tc>
      </w:tr>
    </w:tbl>
    <w:p w:rsidR="0014340E" w:rsidP="00312B14">
      <w:pPr>
        <w:pStyle w:val="BodyText"/>
      </w:pPr>
    </w:p>
    <w:p w:rsidR="0014340E" w:rsidP="00312B14">
      <w:pPr>
        <w:pStyle w:val="BodyText"/>
      </w:pPr>
    </w:p>
    <w:p w:rsidR="00000000" w:rsidRPr="00312B14" w:rsidP="00312B14">
      <w:pPr>
        <w:pStyle w:val="Heading1"/>
      </w:pPr>
      <w:bookmarkStart w:id="11" w:name="O_251180"/>
      <w:bookmarkEnd w:id="11"/>
      <w:r w:rsidRPr="00312B14">
        <w:t>Range Statement</w:t>
      </w:r>
    </w:p>
    <w:tbl>
      <w:tblPr>
        <w:tblW w:w="0" w:type="auto"/>
        <w:tblLayout w:type="fixed"/>
        <w:tblCellMar>
          <w:left w:w="62" w:type="dxa"/>
          <w:right w:w="62" w:type="dxa"/>
        </w:tblCellMar>
        <w:tblLook w:val="0000"/>
      </w:tblPr>
      <w:tblGrid>
        <w:gridCol w:w="3525"/>
        <w:gridCol w:w="4997"/>
      </w:tblGrid>
      <w:tr w:rsidTr="0014340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RANGE STATEMENT</w:t>
            </w:r>
          </w:p>
        </w:tc>
      </w:tr>
      <w:tr w:rsidTr="0014340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t xml:space="preserve">The range statement relates to the unit of competency as a whole. It allows for different work environments and situations that may affect </w:t>
            </w:r>
            <w:r w:rsidRPr="00312B14">
              <w:t>performance. Bold italicised wording, if used in the performance criteria, is detailed below. Essential operating conditions that may be present with training and assessment (depending on the work situation, needs of the candidate, accessibility of the ite</w:t>
            </w:r>
            <w:r w:rsidRPr="00312B14">
              <w:t>m, and local industry and regional contexts) may also be included.</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OHS requirements</w:t>
            </w:r>
            <w:r w:rsidRPr="00312B14">
              <w:t>:</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are to be in line with applicable commonwealth, state or territory legislation and regulations, and organisational safety policies and procedures, and may include:</w:t>
            </w:r>
          </w:p>
          <w:p w:rsidR="00000000" w:rsidRPr="00312B14" w:rsidP="00312B14">
            <w:pPr>
              <w:pStyle w:val="ListBullet"/>
            </w:pPr>
            <w:r w:rsidRPr="00312B14">
              <w:t>pers</w:t>
            </w:r>
            <w:r w:rsidRPr="00312B14">
              <w:t>onal protective equipment and clothing</w:t>
            </w:r>
          </w:p>
          <w:p w:rsidR="00000000" w:rsidRPr="00312B14" w:rsidP="00312B14">
            <w:pPr>
              <w:pStyle w:val="ListBullet"/>
            </w:pPr>
            <w:r w:rsidRPr="00312B14">
              <w:t>safety equipment</w:t>
            </w:r>
          </w:p>
          <w:p w:rsidR="00000000" w:rsidRPr="00312B14" w:rsidP="00312B14">
            <w:pPr>
              <w:pStyle w:val="ListBullet"/>
            </w:pPr>
            <w:r w:rsidRPr="00312B14">
              <w:t>first aid equipment</w:t>
            </w:r>
          </w:p>
          <w:p w:rsidR="00000000" w:rsidRPr="00312B14" w:rsidP="00312B14">
            <w:pPr>
              <w:pStyle w:val="ListBullet"/>
            </w:pPr>
            <w:r w:rsidRPr="00312B14">
              <w:t>fire fighting equipment</w:t>
            </w:r>
          </w:p>
          <w:p w:rsidR="00000000" w:rsidRPr="00312B14" w:rsidP="00312B14">
            <w:pPr>
              <w:pStyle w:val="ListBullet"/>
            </w:pPr>
            <w:r w:rsidRPr="00312B14">
              <w:t>hazard and risk control</w:t>
            </w:r>
          </w:p>
          <w:p w:rsidR="00000000" w:rsidRPr="00312B14" w:rsidP="00312B14">
            <w:pPr>
              <w:pStyle w:val="ListBullet"/>
            </w:pPr>
            <w:r w:rsidRPr="00312B14">
              <w:t>fatigue management</w:t>
            </w:r>
          </w:p>
          <w:p w:rsidR="00000000" w:rsidRPr="00312B14" w:rsidP="00312B14">
            <w:pPr>
              <w:pStyle w:val="ListBullet"/>
            </w:pPr>
            <w:r w:rsidRPr="00312B14">
              <w:t>elimination of hazardous materials and substances</w:t>
            </w:r>
          </w:p>
          <w:p w:rsidR="00000000" w:rsidRPr="00312B14" w:rsidP="00312B14">
            <w:pPr>
              <w:pStyle w:val="ListBullet"/>
            </w:pPr>
            <w:r w:rsidRPr="00312B14">
              <w:t>safe forest practices, including required actions relating to forest fire</w:t>
            </w:r>
          </w:p>
          <w:p w:rsidR="00000000" w:rsidP="00312B14">
            <w:pPr>
              <w:pStyle w:val="ListBullet"/>
              <w:rPr>
                <w:lang w:val="en-NZ"/>
              </w:rPr>
            </w:pPr>
            <w:r w:rsidRPr="00312B14">
              <w:t>manual handling including shifting, lifting and carrying</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Environmental requirements may include</w:t>
            </w:r>
            <w:r w:rsidRPr="00312B14">
              <w:t>:</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legislation</w:t>
            </w:r>
          </w:p>
          <w:p w:rsidR="00000000" w:rsidRPr="00312B14" w:rsidP="00312B14">
            <w:pPr>
              <w:pStyle w:val="ListBullet"/>
            </w:pPr>
            <w:r w:rsidRPr="00312B14">
              <w:t>organisational policies and procedures</w:t>
            </w:r>
          </w:p>
          <w:p w:rsidR="00000000" w:rsidP="00312B14">
            <w:pPr>
              <w:pStyle w:val="ListBullet"/>
              <w:rPr>
                <w:lang w:val="en-NZ"/>
              </w:rPr>
            </w:pPr>
            <w:r w:rsidRPr="00312B14">
              <w:t>workplace practices</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Legislative</w:t>
            </w:r>
            <w:r w:rsidRPr="00312B14">
              <w:rPr>
                <w:rStyle w:val="SpecialBold"/>
              </w:rPr>
              <w:t xml:space="preserve"> requirements</w:t>
            </w:r>
            <w:r w:rsidRPr="00312B14">
              <w:t>:</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are to be in line with applicable commonwealth, state or territory legislation, regulations, certification requirements and codes of practice and may include:</w:t>
            </w:r>
          </w:p>
          <w:p w:rsidR="00000000" w:rsidRPr="00312B14" w:rsidP="00312B14">
            <w:pPr>
              <w:pStyle w:val="ListBullet"/>
            </w:pPr>
            <w:r w:rsidRPr="00312B14">
              <w:t>award and enterprise agreements</w:t>
            </w:r>
          </w:p>
          <w:p w:rsidR="00000000" w:rsidRPr="00312B14" w:rsidP="00312B14">
            <w:pPr>
              <w:pStyle w:val="ListBullet"/>
            </w:pPr>
            <w:r w:rsidRPr="00312B14">
              <w:t>industrial relations</w:t>
            </w:r>
          </w:p>
          <w:p w:rsidR="00000000" w:rsidRPr="00312B14" w:rsidP="00312B14">
            <w:pPr>
              <w:pStyle w:val="ListBullet"/>
            </w:pPr>
            <w:r w:rsidRPr="00312B14">
              <w:t>Australian Standards</w:t>
            </w:r>
          </w:p>
          <w:p w:rsidR="00000000" w:rsidRPr="00312B14" w:rsidP="00312B14">
            <w:pPr>
              <w:pStyle w:val="ListBullet"/>
            </w:pPr>
            <w:r w:rsidRPr="00312B14">
              <w:t>confidentiality and privacy</w:t>
            </w:r>
          </w:p>
          <w:p w:rsidR="00000000" w:rsidRPr="00312B14" w:rsidP="00312B14">
            <w:pPr>
              <w:pStyle w:val="ListBullet"/>
            </w:pPr>
            <w:r w:rsidRPr="00312B14">
              <w:t>OHS</w:t>
            </w:r>
          </w:p>
          <w:p w:rsidR="00000000" w:rsidRPr="00312B14" w:rsidP="00312B14">
            <w:pPr>
              <w:pStyle w:val="ListBullet"/>
            </w:pPr>
            <w:r w:rsidRPr="00312B14">
              <w:t>the environment</w:t>
            </w:r>
          </w:p>
          <w:p w:rsidR="00000000" w:rsidRPr="00312B14" w:rsidP="00312B14">
            <w:pPr>
              <w:pStyle w:val="ListBullet"/>
            </w:pPr>
            <w:r w:rsidRPr="00312B14">
              <w:t>equal opportunity</w:t>
            </w:r>
          </w:p>
          <w:p w:rsidR="00000000" w:rsidRPr="00312B14" w:rsidP="00312B14">
            <w:pPr>
              <w:pStyle w:val="ListBullet"/>
            </w:pPr>
            <w:r w:rsidRPr="00312B14">
              <w:t>anti-discrimination</w:t>
            </w:r>
          </w:p>
          <w:p w:rsidR="00000000" w:rsidRPr="00312B14" w:rsidP="00312B14">
            <w:pPr>
              <w:pStyle w:val="ListBullet"/>
            </w:pPr>
            <w:r w:rsidRPr="00312B14">
              <w:t>relevant industry codes of practice</w:t>
            </w:r>
          </w:p>
          <w:p w:rsidR="00000000" w:rsidP="00312B14">
            <w:pPr>
              <w:pStyle w:val="ListBullet"/>
              <w:rPr>
                <w:lang w:val="en-NZ"/>
              </w:rPr>
            </w:pPr>
            <w:r w:rsidRPr="00312B14">
              <w:t>duty of care</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Organisational</w:t>
            </w:r>
            <w:r w:rsidRPr="00312B14">
              <w:t xml:space="preserve"> requirements may include:</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 xml:space="preserve">legal </w:t>
            </w:r>
          </w:p>
          <w:p w:rsidR="00000000" w:rsidRPr="00312B14" w:rsidP="00312B14">
            <w:pPr>
              <w:pStyle w:val="ListBullet"/>
            </w:pPr>
            <w:r w:rsidRPr="00312B14">
              <w:t>organisational and site guidelines</w:t>
            </w:r>
          </w:p>
          <w:p w:rsidR="00000000" w:rsidRPr="00312B14" w:rsidP="00312B14">
            <w:pPr>
              <w:pStyle w:val="ListBullet"/>
            </w:pPr>
            <w:r w:rsidRPr="00312B14">
              <w:t>policies and procedures relating to own role and responsibility</w:t>
            </w:r>
          </w:p>
          <w:p w:rsidR="00000000" w:rsidRPr="00312B14" w:rsidP="00312B14">
            <w:pPr>
              <w:pStyle w:val="ListBullet"/>
            </w:pPr>
            <w:r w:rsidRPr="00312B14">
              <w:t>quality assurance</w:t>
            </w:r>
          </w:p>
          <w:p w:rsidR="00000000" w:rsidRPr="00312B14" w:rsidP="00312B14">
            <w:pPr>
              <w:pStyle w:val="ListBullet"/>
            </w:pPr>
            <w:r w:rsidRPr="00312B14">
              <w:t>procedural manuals</w:t>
            </w:r>
          </w:p>
          <w:p w:rsidR="00000000" w:rsidRPr="00312B14" w:rsidP="00312B14">
            <w:pPr>
              <w:pStyle w:val="ListBullet"/>
            </w:pPr>
            <w:r w:rsidRPr="00312B14">
              <w:t>quality and continuous improvement processes and standards</w:t>
            </w:r>
          </w:p>
          <w:p w:rsidR="00000000" w:rsidRPr="00312B14" w:rsidP="00312B14">
            <w:pPr>
              <w:pStyle w:val="ListBullet"/>
            </w:pPr>
            <w:r w:rsidRPr="00312B14">
              <w:t>OHS, emergency and evacuation procedures</w:t>
            </w:r>
          </w:p>
          <w:p w:rsidR="00000000" w:rsidRPr="00312B14" w:rsidP="00312B14">
            <w:pPr>
              <w:pStyle w:val="ListBullet"/>
            </w:pPr>
            <w:r w:rsidRPr="00312B14">
              <w:t>ethical standards</w:t>
            </w:r>
          </w:p>
          <w:p w:rsidR="00000000" w:rsidRPr="00312B14" w:rsidP="00312B14">
            <w:pPr>
              <w:pStyle w:val="ListBullet"/>
            </w:pPr>
            <w:r w:rsidRPr="00312B14">
              <w:t>recording and reporting requirements</w:t>
            </w:r>
          </w:p>
          <w:p w:rsidR="00000000" w:rsidRPr="00312B14" w:rsidP="00312B14">
            <w:pPr>
              <w:pStyle w:val="ListBullet"/>
            </w:pPr>
            <w:r w:rsidRPr="00312B14">
              <w:t>equipment use, maintenance and storage requirements</w:t>
            </w:r>
          </w:p>
          <w:p w:rsidR="00000000" w:rsidP="00312B14">
            <w:pPr>
              <w:pStyle w:val="ListBullet"/>
              <w:rPr>
                <w:lang w:val="en-NZ"/>
              </w:rPr>
            </w:pPr>
            <w:r w:rsidRPr="00312B14">
              <w:t>environmental management requirements (waste minimisation and disposal, recycling and re-use guidelines)</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Material</w:t>
            </w:r>
            <w:r w:rsidRPr="00312B14">
              <w:t xml:space="preserve"> may be:</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hardwood or softwood</w:t>
            </w:r>
          </w:p>
          <w:p w:rsidR="00000000" w:rsidRPr="00312B14" w:rsidP="00312B14">
            <w:pPr>
              <w:pStyle w:val="ListBullet"/>
            </w:pPr>
            <w:r w:rsidRPr="00312B14">
              <w:t>sawn or dressed finish</w:t>
            </w:r>
          </w:p>
          <w:p w:rsidR="00000000" w:rsidRPr="00312B14" w:rsidP="00312B14">
            <w:pPr>
              <w:pStyle w:val="ListBullet"/>
            </w:pPr>
            <w:r w:rsidRPr="00312B14">
              <w:t>timber species</w:t>
            </w:r>
          </w:p>
          <w:p w:rsidR="00000000" w:rsidRPr="00312B14" w:rsidP="00312B14">
            <w:pPr>
              <w:pStyle w:val="ListBullet"/>
            </w:pPr>
            <w:r w:rsidRPr="00312B14">
              <w:t xml:space="preserve">preservative treated </w:t>
            </w:r>
            <w:r w:rsidRPr="00312B14">
              <w:t>or untreated, with preservative treatment type, including:</w:t>
            </w:r>
          </w:p>
          <w:p w:rsidR="00000000" w:rsidRPr="00312B14" w:rsidP="00312B14">
            <w:pPr>
              <w:pStyle w:val="ListBullet2"/>
            </w:pPr>
            <w:r w:rsidRPr="00312B14">
              <w:t>copper chromium arsenate (CCA)</w:t>
            </w:r>
          </w:p>
          <w:p w:rsidR="00000000" w:rsidRPr="00312B14" w:rsidP="00312B14">
            <w:pPr>
              <w:pStyle w:val="ListBullet2"/>
            </w:pPr>
            <w:r w:rsidRPr="00312B14">
              <w:t>light organic solvent preservatives (LOSP)</w:t>
            </w:r>
          </w:p>
          <w:p w:rsidR="00000000" w:rsidRPr="00312B14" w:rsidP="00312B14">
            <w:pPr>
              <w:pStyle w:val="ListBullet2"/>
            </w:pPr>
            <w:r w:rsidRPr="00312B14">
              <w:t>creosote</w:t>
            </w:r>
          </w:p>
          <w:p w:rsidR="00000000" w:rsidRPr="00312B14" w:rsidP="00312B14">
            <w:pPr>
              <w:pStyle w:val="ListBullet2"/>
            </w:pPr>
            <w:r w:rsidRPr="00312B14">
              <w:t>water-borne</w:t>
            </w:r>
          </w:p>
          <w:p w:rsidR="00000000" w:rsidRPr="00312B14" w:rsidP="00312B14">
            <w:pPr>
              <w:pStyle w:val="ListBullet"/>
            </w:pPr>
            <w:r w:rsidRPr="00312B14">
              <w:t>round poles of all industry standard diameter ranges</w:t>
            </w:r>
          </w:p>
          <w:p w:rsidR="00000000" w:rsidP="00312B14">
            <w:pPr>
              <w:pStyle w:val="ListBullet"/>
              <w:rPr>
                <w:lang w:val="en-NZ"/>
              </w:rPr>
            </w:pPr>
            <w:r w:rsidRPr="00312B14">
              <w:t>rectangular and common profile cross sections with industry standard dimensions and industry standard lengths to a maximum weight and flexibility consistent with manual handling</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Work order</w:t>
            </w:r>
            <w:r w:rsidRPr="00312B14">
              <w:t xml:space="preserve"> is to include:</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details of material to be racked</w:t>
            </w:r>
          </w:p>
          <w:p w:rsidR="00000000" w:rsidRPr="00312B14" w:rsidP="00312B14">
            <w:pPr>
              <w:pStyle w:val="ListBullet"/>
            </w:pPr>
            <w:r w:rsidRPr="00312B14">
              <w:t>special client requirements</w:t>
            </w:r>
          </w:p>
          <w:p w:rsidR="00000000" w:rsidRPr="00312B14" w:rsidP="00312B14">
            <w:pPr>
              <w:pStyle w:val="ListBullet"/>
            </w:pPr>
            <w:r w:rsidRPr="00312B14">
              <w:t>production timelines</w:t>
            </w:r>
          </w:p>
          <w:p w:rsidR="00000000" w:rsidRPr="00312B14" w:rsidP="00312B14">
            <w:pPr>
              <w:pStyle w:val="ListBullet"/>
            </w:pPr>
            <w:r w:rsidRPr="00312B14">
              <w:t>instructions for the environmental monitoring of work and procedures</w:t>
            </w:r>
          </w:p>
          <w:p w:rsidR="00000000" w:rsidP="00312B14">
            <w:pPr>
              <w:pStyle w:val="ListBullet"/>
              <w:rPr>
                <w:lang w:val="en-NZ"/>
              </w:rPr>
            </w:pPr>
            <w:r w:rsidRPr="00312B14">
              <w:t>environmental care requirements relevant to the work</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Appropriate personnel</w:t>
            </w:r>
            <w:r w:rsidRPr="00312B14">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supervisors</w:t>
            </w:r>
          </w:p>
          <w:p w:rsidR="00000000" w:rsidRPr="00312B14" w:rsidP="00312B14">
            <w:pPr>
              <w:pStyle w:val="ListBullet"/>
            </w:pPr>
            <w:r w:rsidRPr="00312B14">
              <w:t>clients</w:t>
            </w:r>
          </w:p>
          <w:p w:rsidR="00000000" w:rsidRPr="00312B14" w:rsidP="00312B14">
            <w:pPr>
              <w:pStyle w:val="ListBullet"/>
            </w:pPr>
            <w:r w:rsidRPr="00312B14">
              <w:t>colleagues</w:t>
            </w:r>
          </w:p>
          <w:p w:rsidR="00000000" w:rsidP="00312B14">
            <w:pPr>
              <w:pStyle w:val="ListBullet"/>
              <w:rPr>
                <w:lang w:val="en-NZ"/>
              </w:rPr>
            </w:pPr>
            <w:r w:rsidRPr="00312B14">
              <w:t>line management</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Communication</w:t>
            </w:r>
            <w:r w:rsidRPr="00312B14">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verbal and non-verbal language</w:t>
            </w:r>
          </w:p>
          <w:p w:rsidR="00000000" w:rsidRPr="00312B14" w:rsidP="00312B14">
            <w:pPr>
              <w:pStyle w:val="ListBullet"/>
            </w:pPr>
            <w:r w:rsidRPr="00312B14">
              <w:t>constructive feedback</w:t>
            </w:r>
          </w:p>
          <w:p w:rsidR="00000000" w:rsidRPr="00312B14" w:rsidP="00312B14">
            <w:pPr>
              <w:pStyle w:val="ListBullet"/>
            </w:pPr>
            <w:r w:rsidRPr="00312B14">
              <w:t>active listening</w:t>
            </w:r>
          </w:p>
          <w:p w:rsidR="00000000" w:rsidRPr="00312B14" w:rsidP="00312B14">
            <w:pPr>
              <w:pStyle w:val="ListBullet"/>
            </w:pPr>
            <w:r w:rsidRPr="00312B14">
              <w:t>questioning to clarify and confirm understanding</w:t>
            </w:r>
          </w:p>
          <w:p w:rsidR="00000000" w:rsidRPr="00312B14" w:rsidP="00312B14">
            <w:pPr>
              <w:pStyle w:val="ListBullet"/>
            </w:pPr>
            <w:r w:rsidRPr="00312B14">
              <w:t>use of positive, confident and cooperative language</w:t>
            </w:r>
          </w:p>
          <w:p w:rsidR="00000000" w:rsidRPr="00312B14" w:rsidP="00312B14">
            <w:pPr>
              <w:pStyle w:val="ListBullet"/>
            </w:pPr>
            <w:r w:rsidRPr="00312B14">
              <w:t>use of language and concepts appropriate to individual social and cultural differences</w:t>
            </w:r>
          </w:p>
          <w:p w:rsidR="00000000" w:rsidP="00312B14">
            <w:pPr>
              <w:pStyle w:val="ListBullet"/>
              <w:rPr>
                <w:lang w:val="en-NZ"/>
              </w:rPr>
            </w:pPr>
            <w:r w:rsidRPr="00312B14">
              <w:t>control of tone of voice</w:t>
            </w:r>
          </w:p>
        </w:tc>
      </w:tr>
      <w:tr w:rsidTr="0014340E">
        <w:tblPrEx>
          <w:tblW w:w="0" w:type="auto"/>
          <w:tblLayout w:type="fixed"/>
          <w:tblCellMar>
            <w:left w:w="62" w:type="dxa"/>
            <w:right w:w="62" w:type="dxa"/>
          </w:tblCellMar>
          <w:tblLook w:val="0000"/>
        </w:tblPrEx>
        <w:tc>
          <w:tcPr>
            <w:tcW w:w="3525"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Disposing of</w:t>
            </w:r>
            <w:r w:rsidRPr="00312B14">
              <w:t xml:space="preserve"> may include:</w:t>
            </w:r>
          </w:p>
        </w:tc>
        <w:tc>
          <w:tcPr>
            <w:tcW w:w="4997" w:type="dxa"/>
            <w:tcBorders>
              <w:top w:val="nil"/>
              <w:left w:val="nil"/>
              <w:bottom w:val="nil"/>
              <w:right w:val="nil"/>
            </w:tcBorders>
            <w:tcMar>
              <w:top w:w="0" w:type="dxa"/>
              <w:left w:w="62" w:type="dxa"/>
              <w:bottom w:w="0" w:type="dxa"/>
              <w:right w:w="62" w:type="dxa"/>
            </w:tcMar>
          </w:tcPr>
          <w:p w:rsidR="00000000" w:rsidRPr="00312B14" w:rsidP="00312B14">
            <w:pPr>
              <w:pStyle w:val="ListBullet"/>
            </w:pPr>
            <w:r w:rsidRPr="00312B14">
              <w:t>recycling material with faults/inconsistent or damaged spacing sticks and bearers</w:t>
            </w:r>
          </w:p>
          <w:p w:rsidR="00000000" w:rsidRPr="00312B14" w:rsidP="00312B14">
            <w:pPr>
              <w:pStyle w:val="ListBullet"/>
            </w:pPr>
            <w:r w:rsidRPr="00312B14">
              <w:t>re-using material with faults/inco</w:t>
            </w:r>
            <w:r w:rsidRPr="00312B14">
              <w:t>nsistent or damaged spacing sticks and bearers</w:t>
            </w:r>
          </w:p>
          <w:p w:rsidR="00000000" w:rsidRPr="00312B14" w:rsidP="00312B14">
            <w:pPr>
              <w:pStyle w:val="ListBullet"/>
            </w:pPr>
            <w:r w:rsidRPr="00312B14">
              <w:t>redirecting material with faults/inconsistent or damaged spacing sticks and bearers for energy recovery</w:t>
            </w:r>
          </w:p>
        </w:tc>
      </w:tr>
    </w:tbl>
    <w:p w:rsidR="0014340E" w:rsidP="00312B14">
      <w:pPr>
        <w:pStyle w:val="BodyText"/>
      </w:pPr>
    </w:p>
    <w:p w:rsidR="0014340E" w:rsidP="00312B14">
      <w:pPr>
        <w:pStyle w:val="BodyText"/>
      </w:pPr>
    </w:p>
    <w:p w:rsidR="00000000" w:rsidRPr="00312B14" w:rsidP="00312B14">
      <w:pPr>
        <w:pStyle w:val="Heading1"/>
      </w:pPr>
      <w:bookmarkStart w:id="12" w:name="O_294521"/>
      <w:bookmarkEnd w:id="12"/>
      <w:r w:rsidRPr="00312B14">
        <w:t>Unit Sector(s)</w:t>
      </w:r>
    </w:p>
    <w:p w:rsidR="00000000" w:rsidRPr="00312B14" w:rsidP="00312B14">
      <w:pPr>
        <w:pStyle w:val="BodyText"/>
      </w:pPr>
      <w:r w:rsidRPr="00312B14">
        <w:t>Not Applicable</w:t>
      </w:r>
    </w:p>
    <w:p w:rsidR="00000000" w:rsidRPr="00312B14" w:rsidP="00312B14">
      <w:pPr>
        <w:pStyle w:val="AllowPageBreak"/>
      </w:pPr>
    </w:p>
    <w:p w:rsidR="00000000" w:rsidRPr="00312B14" w:rsidP="00312B14">
      <w:pPr>
        <w:pStyle w:val="Heading1"/>
      </w:pPr>
      <w:bookmarkStart w:id="13" w:name="O_203114"/>
      <w:bookmarkEnd w:id="13"/>
      <w:r w:rsidRPr="00312B14">
        <w:t>Competency field</w:t>
      </w:r>
    </w:p>
    <w:tbl>
      <w:tblPr>
        <w:tblW w:w="0" w:type="auto"/>
        <w:tblLayout w:type="fixed"/>
        <w:tblCellMar>
          <w:left w:w="62" w:type="dxa"/>
          <w:right w:w="62" w:type="dxa"/>
        </w:tblCellMar>
        <w:tblLook w:val="0000"/>
      </w:tblPr>
      <w:tblGrid>
        <w:gridCol w:w="2777"/>
        <w:gridCol w:w="5745"/>
      </w:tblGrid>
      <w:tr w:rsidTr="0014340E">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312B14">
            <w:pPr>
              <w:pStyle w:val="BodyText"/>
              <w:rPr>
                <w:lang w:val="en-NZ"/>
              </w:rPr>
            </w:pPr>
            <w:r w:rsidRPr="00312B14">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312B14" w:rsidP="00312B14">
            <w:pPr>
              <w:pStyle w:val="BodyText"/>
            </w:pPr>
            <w:r w:rsidRPr="00312B14">
              <w:t>Common Technical</w:t>
            </w:r>
          </w:p>
        </w:tc>
      </w:tr>
    </w:tbl>
    <w:p w:rsidR="0014340E" w:rsidP="00312B14">
      <w:pPr>
        <w:pStyle w:val="BodyText"/>
      </w:pPr>
    </w:p>
    <w:p w:rsidR="0014340E" w:rsidP="00312B14">
      <w:pPr>
        <w:pStyle w:val="BodyText"/>
      </w:pPr>
    </w:p>
    <w:p w:rsidR="00000000" w:rsidRPr="00312B14" w:rsidP="00312B14"/>
    <w:sectPr w:rsidSect="00312B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340E" w:rsidP="00143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0E" w:rsidP="00312B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4340E" w:rsidP="00312B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4340E" w:rsidP="00312B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14" w:rsidRPr="0014340E" w:rsidP="0014340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B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40E" w:rsidP="00312B14">
    <w:pPr>
      <w:pStyle w:val="Header"/>
      <w:framePr w:wrap="around"/>
    </w:pPr>
    <w:r>
      <w:fldChar w:fldCharType="begin"/>
    </w:r>
    <w:r>
      <w:instrText xml:space="preserve"> TITLE   \* MERGEFORMAT </w:instrText>
    </w:r>
    <w:r>
      <w:fldChar w:fldCharType="separate"/>
    </w:r>
    <w:r>
      <w:t>FPICOT2202B Rack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340E" w:rsidP="00312B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8A66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6A32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442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B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2B14"/>
    <w:pPr>
      <w:spacing w:before="360" w:after="60"/>
      <w:outlineLvl w:val="0"/>
    </w:pPr>
    <w:rPr>
      <w:sz w:val="32"/>
    </w:rPr>
  </w:style>
  <w:style w:type="paragraph" w:styleId="Heading2">
    <w:name w:val="heading 2"/>
    <w:basedOn w:val="HeadingBase"/>
    <w:next w:val="BodyText"/>
    <w:link w:val="Heading2Char"/>
    <w:qFormat/>
    <w:rsid w:val="00312B14"/>
    <w:pPr>
      <w:keepLines/>
      <w:spacing w:before="240" w:after="120"/>
      <w:outlineLvl w:val="1"/>
    </w:pPr>
    <w:rPr>
      <w:sz w:val="28"/>
      <w:szCs w:val="40"/>
    </w:rPr>
  </w:style>
  <w:style w:type="paragraph" w:styleId="Heading3">
    <w:name w:val="heading 3"/>
    <w:basedOn w:val="HeadingBase"/>
    <w:next w:val="BodyText"/>
    <w:link w:val="Heading3Char"/>
    <w:qFormat/>
    <w:rsid w:val="00312B14"/>
    <w:pPr>
      <w:spacing w:before="180" w:after="120"/>
      <w:outlineLvl w:val="2"/>
    </w:pPr>
    <w:rPr>
      <w:spacing w:val="-10"/>
      <w:kern w:val="32"/>
    </w:rPr>
  </w:style>
  <w:style w:type="paragraph" w:styleId="Heading4">
    <w:name w:val="heading 4"/>
    <w:basedOn w:val="HeadingBase"/>
    <w:next w:val="BodyText"/>
    <w:link w:val="Heading4Char"/>
    <w:qFormat/>
    <w:rsid w:val="00312B14"/>
    <w:pPr>
      <w:spacing w:before="160" w:after="120"/>
      <w:outlineLvl w:val="3"/>
    </w:pPr>
    <w:rPr>
      <w:sz w:val="22"/>
    </w:rPr>
  </w:style>
  <w:style w:type="paragraph" w:styleId="Heading5">
    <w:name w:val="heading 5"/>
    <w:basedOn w:val="HeadingBase"/>
    <w:next w:val="Normal"/>
    <w:link w:val="Heading5Char"/>
    <w:qFormat/>
    <w:rsid w:val="00312B14"/>
    <w:pPr>
      <w:spacing w:before="80"/>
      <w:outlineLvl w:val="4"/>
    </w:pPr>
    <w:rPr>
      <w:color w:val="918585"/>
      <w:sz w:val="20"/>
    </w:rPr>
  </w:style>
  <w:style w:type="paragraph" w:styleId="Heading6">
    <w:name w:val="heading 6"/>
    <w:basedOn w:val="HeadingBase"/>
    <w:next w:val="Normal"/>
    <w:link w:val="Heading6Char"/>
    <w:qFormat/>
    <w:rsid w:val="00312B14"/>
    <w:pPr>
      <w:spacing w:before="60"/>
      <w:outlineLvl w:val="5"/>
    </w:pPr>
    <w:rPr>
      <w:color w:val="918585"/>
      <w:sz w:val="20"/>
    </w:rPr>
  </w:style>
  <w:style w:type="paragraph" w:styleId="Heading7">
    <w:name w:val="heading 7"/>
    <w:basedOn w:val="Normal"/>
    <w:next w:val="Normal"/>
    <w:link w:val="Heading7Char"/>
    <w:qFormat/>
    <w:rsid w:val="00312B14"/>
    <w:pPr>
      <w:ind w:left="720"/>
      <w:outlineLvl w:val="6"/>
    </w:pPr>
    <w:rPr>
      <w:i/>
    </w:rPr>
  </w:style>
  <w:style w:type="paragraph" w:styleId="Heading8">
    <w:name w:val="heading 8"/>
    <w:basedOn w:val="Normal"/>
    <w:next w:val="Normal"/>
    <w:link w:val="Heading8Char"/>
    <w:qFormat/>
    <w:rsid w:val="00312B14"/>
    <w:pPr>
      <w:ind w:left="720"/>
      <w:outlineLvl w:val="7"/>
    </w:pPr>
    <w:rPr>
      <w:i/>
    </w:rPr>
  </w:style>
  <w:style w:type="paragraph" w:styleId="Heading9">
    <w:name w:val="heading 9"/>
    <w:basedOn w:val="Normal"/>
    <w:next w:val="Normal"/>
    <w:link w:val="Heading9Char"/>
    <w:qFormat/>
    <w:rsid w:val="00312B14"/>
    <w:pPr>
      <w:ind w:left="720"/>
      <w:outlineLvl w:val="8"/>
    </w:pPr>
    <w:rPr>
      <w:i/>
    </w:rPr>
  </w:style>
  <w:style w:type="character" w:default="1" w:styleId="DefaultParagraphFont">
    <w:name w:val="Default Paragraph Font"/>
    <w:uiPriority w:val="1"/>
    <w:unhideWhenUsed/>
    <w:rsid w:val="00312B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2B14"/>
  </w:style>
  <w:style w:type="character" w:customStyle="1" w:styleId="Heading1Char">
    <w:name w:val="Heading 1 Char"/>
    <w:link w:val="Heading1"/>
    <w:rsid w:val="00312B14"/>
    <w:rPr>
      <w:rFonts w:ascii="Times New Roman" w:eastAsia="Times New Roman" w:hAnsi="Times New Roman" w:cs="Times New Roman"/>
      <w:b/>
      <w:sz w:val="32"/>
      <w:szCs w:val="20"/>
      <w:lang w:eastAsia="en-US"/>
    </w:rPr>
  </w:style>
  <w:style w:type="paragraph" w:styleId="BodyText">
    <w:name w:val="Body Text"/>
    <w:basedOn w:val="Normal"/>
    <w:link w:val="BodyTextChar"/>
    <w:rsid w:val="00312B14"/>
    <w:pPr>
      <w:spacing w:before="120" w:after="120"/>
      <w:contextualSpacing/>
    </w:pPr>
    <w:rPr>
      <w:rFonts w:ascii="Times New Roman" w:hAnsi="Times New Roman"/>
      <w:sz w:val="24"/>
      <w:szCs w:val="22"/>
    </w:rPr>
  </w:style>
  <w:style w:type="character" w:customStyle="1" w:styleId="BodyTextChar">
    <w:name w:val="Body Text Char"/>
    <w:link w:val="BodyText"/>
    <w:rsid w:val="00312B14"/>
    <w:rPr>
      <w:rFonts w:ascii="Times New Roman" w:eastAsia="Times New Roman" w:hAnsi="Times New Roman" w:cs="Times New Roman"/>
      <w:sz w:val="24"/>
      <w:lang w:val="en-US" w:eastAsia="en-US"/>
    </w:rPr>
  </w:style>
  <w:style w:type="paragraph" w:styleId="Footer">
    <w:name w:val="footer"/>
    <w:basedOn w:val="Normal"/>
    <w:link w:val="FooterChar"/>
    <w:rsid w:val="00312B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12B14"/>
    <w:rPr>
      <w:rFonts w:ascii="Times New Roman" w:eastAsia="Times New Roman" w:hAnsi="Times New Roman" w:cs="Times New Roman"/>
      <w:sz w:val="16"/>
      <w:lang w:val="en-US" w:eastAsia="en-US"/>
    </w:rPr>
  </w:style>
  <w:style w:type="paragraph" w:styleId="List">
    <w:name w:val="List"/>
    <w:basedOn w:val="BodyText"/>
    <w:next w:val="BodyText"/>
    <w:rsid w:val="00312B14"/>
    <w:pPr>
      <w:tabs>
        <w:tab w:val="left" w:pos="340"/>
      </w:tabs>
      <w:spacing w:before="60" w:after="60"/>
      <w:ind w:left="340" w:hanging="340"/>
    </w:pPr>
  </w:style>
  <w:style w:type="paragraph" w:styleId="ListBullet">
    <w:name w:val="List Bullet"/>
    <w:basedOn w:val="List"/>
    <w:rsid w:val="00312B14"/>
    <w:pPr>
      <w:numPr>
        <w:numId w:val="14"/>
      </w:numPr>
      <w:tabs>
        <w:tab w:val="clear" w:pos="340"/>
      </w:tabs>
      <w:spacing w:before="40" w:after="40"/>
    </w:pPr>
  </w:style>
  <w:style w:type="character" w:customStyle="1" w:styleId="SpecialBold">
    <w:name w:val="Special Bold"/>
    <w:rsid w:val="00312B14"/>
    <w:rPr>
      <w:b/>
      <w:spacing w:val="0"/>
    </w:rPr>
  </w:style>
  <w:style w:type="paragraph" w:styleId="ListBullet2">
    <w:name w:val="List Bullet 2"/>
    <w:basedOn w:val="List2"/>
    <w:rsid w:val="00312B14"/>
    <w:pPr>
      <w:numPr>
        <w:numId w:val="15"/>
      </w:numPr>
      <w:tabs>
        <w:tab w:val="clear" w:pos="680"/>
      </w:tabs>
    </w:pPr>
  </w:style>
  <w:style w:type="paragraph" w:customStyle="1" w:styleId="SuperHeading">
    <w:name w:val="SuperHeading"/>
    <w:basedOn w:val="Normal"/>
    <w:rsid w:val="00312B14"/>
    <w:pPr>
      <w:spacing w:before="240" w:after="120"/>
      <w:outlineLvl w:val="0"/>
    </w:pPr>
    <w:rPr>
      <w:rFonts w:ascii="Times New Roman" w:hAnsi="Times New Roman"/>
      <w:b/>
      <w:sz w:val="28"/>
    </w:rPr>
  </w:style>
  <w:style w:type="paragraph" w:customStyle="1" w:styleId="AllowPageBreak">
    <w:name w:val="AllowPageBreak"/>
    <w:rsid w:val="00312B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2B14"/>
    <w:pPr>
      <w:tabs>
        <w:tab w:val="left" w:pos="680"/>
      </w:tabs>
      <w:spacing w:before="60" w:after="60"/>
      <w:ind w:left="680" w:hanging="340"/>
    </w:pPr>
  </w:style>
  <w:style w:type="paragraph" w:styleId="ListBullet3">
    <w:name w:val="List Bullet 3"/>
    <w:basedOn w:val="List3"/>
    <w:rsid w:val="00312B14"/>
    <w:pPr>
      <w:numPr>
        <w:numId w:val="3"/>
      </w:numPr>
      <w:tabs>
        <w:tab w:val="clear" w:pos="1021"/>
      </w:tabs>
      <w:ind w:left="1037" w:hanging="357"/>
    </w:pPr>
  </w:style>
  <w:style w:type="character" w:customStyle="1" w:styleId="BoldandItalics">
    <w:name w:val="Bold and Italics"/>
    <w:qFormat/>
    <w:rsid w:val="00312B14"/>
    <w:rPr>
      <w:b/>
      <w:i/>
      <w:u w:val="none"/>
    </w:rPr>
  </w:style>
  <w:style w:type="character" w:customStyle="1" w:styleId="Heading2Char">
    <w:name w:val="Heading 2 Char"/>
    <w:link w:val="Heading2"/>
    <w:rsid w:val="00312B14"/>
    <w:rPr>
      <w:rFonts w:ascii="Times New Roman" w:eastAsia="Times New Roman" w:hAnsi="Times New Roman" w:cs="Times New Roman"/>
      <w:b/>
      <w:sz w:val="28"/>
      <w:szCs w:val="40"/>
      <w:lang w:eastAsia="en-US"/>
    </w:rPr>
  </w:style>
  <w:style w:type="character" w:customStyle="1" w:styleId="Heading3Char">
    <w:name w:val="Heading 3 Char"/>
    <w:link w:val="Heading3"/>
    <w:rsid w:val="00312B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12B14"/>
    <w:rPr>
      <w:rFonts w:ascii="Times New Roman" w:eastAsia="Times New Roman" w:hAnsi="Times New Roman" w:cs="Times New Roman"/>
      <w:b/>
      <w:szCs w:val="20"/>
      <w:lang w:eastAsia="en-US"/>
    </w:rPr>
  </w:style>
  <w:style w:type="character" w:customStyle="1" w:styleId="Heading5Char">
    <w:name w:val="Heading 5 Char"/>
    <w:link w:val="Heading5"/>
    <w:rsid w:val="00312B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12B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2B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2B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2B14"/>
    <w:rPr>
      <w:rFonts w:ascii="Courier New" w:eastAsia="Times New Roman" w:hAnsi="Courier New" w:cs="Times New Roman"/>
      <w:i/>
      <w:szCs w:val="20"/>
      <w:lang w:val="en-US" w:eastAsia="en-US"/>
    </w:rPr>
  </w:style>
  <w:style w:type="paragraph" w:customStyle="1" w:styleId="HeadingBase">
    <w:name w:val="Heading Base"/>
    <w:rsid w:val="00312B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2B14"/>
    <w:pPr>
      <w:tabs>
        <w:tab w:val="right" w:leader="dot" w:pos="9072"/>
      </w:tabs>
      <w:ind w:left="567"/>
    </w:pPr>
    <w:rPr>
      <w:szCs w:val="22"/>
    </w:rPr>
  </w:style>
  <w:style w:type="paragraph" w:customStyle="1" w:styleId="TOCBase">
    <w:name w:val="TOC Base"/>
    <w:rsid w:val="00312B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2B14"/>
    <w:pPr>
      <w:tabs>
        <w:tab w:val="right" w:leader="dot" w:pos="9072"/>
      </w:tabs>
      <w:spacing w:before="40" w:after="40"/>
      <w:ind w:left="284"/>
    </w:pPr>
    <w:rPr>
      <w:rFonts w:ascii="Times New Roman" w:hAnsi="Times New Roman"/>
    </w:rPr>
  </w:style>
  <w:style w:type="paragraph" w:styleId="TOC1">
    <w:name w:val="toc 1"/>
    <w:basedOn w:val="TOCBase"/>
    <w:next w:val="Normal"/>
    <w:rsid w:val="00312B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2B14"/>
    <w:pPr>
      <w:spacing w:before="5040"/>
      <w:jc w:val="center"/>
    </w:pPr>
    <w:rPr>
      <w:sz w:val="48"/>
      <w:szCs w:val="72"/>
      <w:lang w:val="en-US"/>
    </w:rPr>
  </w:style>
  <w:style w:type="character" w:customStyle="1" w:styleId="TitleChar">
    <w:name w:val="Title Char"/>
    <w:link w:val="Title"/>
    <w:rsid w:val="00312B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2B14"/>
    <w:pPr>
      <w:tabs>
        <w:tab w:val="left" w:pos="3600"/>
        <w:tab w:val="left" w:pos="3958"/>
      </w:tabs>
    </w:pPr>
  </w:style>
  <w:style w:type="paragraph" w:customStyle="1" w:styleId="Note">
    <w:name w:val="Note"/>
    <w:basedOn w:val="BodyText"/>
    <w:rsid w:val="00312B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2B14"/>
    <w:pPr>
      <w:framePr w:wrap="auto" w:hAnchor="text" w:y="6049"/>
    </w:pPr>
    <w:rPr>
      <w:color w:val="000000"/>
      <w:sz w:val="40"/>
    </w:rPr>
  </w:style>
  <w:style w:type="paragraph" w:customStyle="1" w:styleId="TOCTitle">
    <w:name w:val="TOCTitle"/>
    <w:basedOn w:val="Heading1"/>
    <w:rsid w:val="00312B14"/>
    <w:pPr>
      <w:spacing w:after="240"/>
      <w:jc w:val="center"/>
      <w:outlineLvl w:val="9"/>
    </w:pPr>
    <w:rPr>
      <w:caps/>
    </w:rPr>
  </w:style>
  <w:style w:type="paragraph" w:customStyle="1" w:styleId="Version">
    <w:name w:val="Version"/>
    <w:rsid w:val="00312B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2B14"/>
    <w:pPr>
      <w:keepNext w:val="0"/>
      <w:tabs>
        <w:tab w:val="right" w:pos="4176"/>
      </w:tabs>
      <w:ind w:left="198" w:hanging="198"/>
    </w:pPr>
    <w:rPr>
      <w:rFonts w:ascii="Garamond" w:hAnsi="Garamond"/>
    </w:rPr>
  </w:style>
  <w:style w:type="paragraph" w:styleId="IndexHeading">
    <w:name w:val="index heading"/>
    <w:basedOn w:val="Normal"/>
    <w:next w:val="Index1"/>
    <w:semiHidden/>
    <w:rsid w:val="00312B14"/>
    <w:pPr>
      <w:spacing w:before="120" w:after="120"/>
    </w:pPr>
    <w:rPr>
      <w:rFonts w:ascii="Arial" w:hAnsi="Arial"/>
      <w:b/>
      <w:color w:val="918585"/>
      <w:sz w:val="24"/>
    </w:rPr>
  </w:style>
  <w:style w:type="paragraph" w:styleId="Header">
    <w:name w:val="header"/>
    <w:basedOn w:val="Normal"/>
    <w:link w:val="HeaderChar"/>
    <w:rsid w:val="00312B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12B14"/>
    <w:rPr>
      <w:rFonts w:ascii="Times New Roman" w:eastAsia="Times New Roman" w:hAnsi="Times New Roman" w:cs="Times New Roman"/>
      <w:sz w:val="16"/>
      <w:szCs w:val="20"/>
      <w:lang w:val="en-GB" w:eastAsia="en-US"/>
    </w:rPr>
  </w:style>
  <w:style w:type="paragraph" w:customStyle="1" w:styleId="Chapter">
    <w:name w:val="Chapter"/>
    <w:basedOn w:val="Normal"/>
    <w:rsid w:val="00312B14"/>
    <w:pPr>
      <w:spacing w:before="240"/>
    </w:pPr>
    <w:rPr>
      <w:rFonts w:ascii="Times New Roman" w:hAnsi="Times New Roman"/>
      <w:smallCaps/>
      <w:spacing w:val="80"/>
      <w:sz w:val="28"/>
    </w:rPr>
  </w:style>
  <w:style w:type="paragraph" w:customStyle="1" w:styleId="InChapter">
    <w:name w:val="InChapter"/>
    <w:basedOn w:val="Heading3"/>
    <w:rsid w:val="00312B14"/>
    <w:pPr>
      <w:spacing w:after="240"/>
      <w:outlineLvl w:val="9"/>
    </w:pPr>
    <w:rPr>
      <w:noProof/>
    </w:rPr>
  </w:style>
  <w:style w:type="paragraph" w:styleId="Index2">
    <w:name w:val="index 2"/>
    <w:basedOn w:val="Normal"/>
    <w:next w:val="Normal"/>
    <w:semiHidden/>
    <w:rsid w:val="00312B14"/>
    <w:pPr>
      <w:tabs>
        <w:tab w:val="right" w:pos="4176"/>
      </w:tabs>
      <w:ind w:left="568" w:hanging="284"/>
    </w:pPr>
    <w:rPr>
      <w:rFonts w:ascii="Garamond" w:hAnsi="Garamond"/>
    </w:rPr>
  </w:style>
  <w:style w:type="paragraph" w:customStyle="1" w:styleId="Byline">
    <w:name w:val="Byline"/>
    <w:rsid w:val="00312B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2B14"/>
    <w:pPr>
      <w:tabs>
        <w:tab w:val="clear" w:pos="3600"/>
        <w:tab w:val="clear" w:pos="3958"/>
      </w:tabs>
      <w:jc w:val="right"/>
    </w:pPr>
  </w:style>
  <w:style w:type="character" w:styleId="Emphasis">
    <w:name w:val="Emphasis"/>
    <w:qFormat/>
    <w:rsid w:val="00312B14"/>
    <w:rPr>
      <w:i/>
    </w:rPr>
  </w:style>
  <w:style w:type="paragraph" w:styleId="Caption">
    <w:name w:val="caption"/>
    <w:basedOn w:val="BodyText"/>
    <w:next w:val="Normal"/>
    <w:qFormat/>
    <w:rsid w:val="00312B14"/>
    <w:pPr>
      <w:framePr w:w="2268" w:hSpace="181" w:vSpace="181" w:wrap="around" w:vAnchor="text" w:hAnchor="page" w:x="1135" w:y="285" w:anchorLock="1"/>
    </w:pPr>
    <w:rPr>
      <w:i/>
    </w:rPr>
  </w:style>
  <w:style w:type="paragraph" w:customStyle="1" w:styleId="MiniTOCTitle">
    <w:name w:val="MiniTOCTitle"/>
    <w:basedOn w:val="Heading4"/>
    <w:rsid w:val="00312B14"/>
    <w:pPr>
      <w:spacing w:before="240"/>
      <w:outlineLvl w:val="9"/>
    </w:pPr>
    <w:rPr>
      <w:noProof/>
      <w:sz w:val="24"/>
    </w:rPr>
  </w:style>
  <w:style w:type="paragraph" w:customStyle="1" w:styleId="MiniTOCItem">
    <w:name w:val="MiniTOCItem"/>
    <w:basedOn w:val="ListBullet"/>
    <w:rsid w:val="00312B14"/>
    <w:pPr>
      <w:numPr>
        <w:numId w:val="0"/>
      </w:numPr>
      <w:tabs>
        <w:tab w:val="right" w:leader="dot" w:pos="6521"/>
      </w:tabs>
      <w:spacing w:before="0" w:after="0"/>
    </w:pPr>
  </w:style>
  <w:style w:type="paragraph" w:customStyle="1" w:styleId="TOFTitle">
    <w:name w:val="TOFTitle"/>
    <w:basedOn w:val="TOCTitle"/>
    <w:rsid w:val="00312B14"/>
  </w:style>
  <w:style w:type="paragraph" w:styleId="TableofFigures">
    <w:name w:val="table of figures"/>
    <w:basedOn w:val="Normal"/>
    <w:next w:val="Normal"/>
    <w:semiHidden/>
    <w:rsid w:val="00312B14"/>
    <w:pPr>
      <w:tabs>
        <w:tab w:val="right" w:leader="dot" w:pos="9072"/>
      </w:tabs>
      <w:ind w:left="970" w:hanging="403"/>
    </w:pPr>
    <w:rPr>
      <w:rFonts w:ascii="Times New Roman" w:hAnsi="Times New Roman"/>
      <w:b/>
    </w:rPr>
  </w:style>
  <w:style w:type="paragraph" w:styleId="ListNumber">
    <w:name w:val="List Number"/>
    <w:basedOn w:val="List"/>
    <w:rsid w:val="00312B14"/>
    <w:pPr>
      <w:numPr>
        <w:numId w:val="12"/>
      </w:numPr>
    </w:pPr>
  </w:style>
  <w:style w:type="character" w:customStyle="1" w:styleId="WingdingSymbols">
    <w:name w:val="Wingding Symbols"/>
    <w:rsid w:val="00312B14"/>
    <w:rPr>
      <w:rFonts w:ascii="Wingdings" w:hAnsi="Wingdings"/>
    </w:rPr>
  </w:style>
  <w:style w:type="paragraph" w:customStyle="1" w:styleId="TableHeading">
    <w:name w:val="Table Heading"/>
    <w:basedOn w:val="HeadingBase"/>
    <w:rsid w:val="00312B14"/>
    <w:pPr>
      <w:keepLines/>
      <w:pBdr>
        <w:bottom w:val="single" w:sz="6" w:space="1" w:color="918585"/>
      </w:pBdr>
      <w:spacing w:before="240"/>
    </w:pPr>
  </w:style>
  <w:style w:type="character" w:customStyle="1" w:styleId="HotSpot">
    <w:name w:val="HotSpot"/>
    <w:rsid w:val="00312B14"/>
    <w:rPr>
      <w:color w:val="0033CC"/>
      <w:u w:val="none"/>
    </w:rPr>
  </w:style>
  <w:style w:type="paragraph" w:customStyle="1" w:styleId="BodyTextRight">
    <w:name w:val="Body Text Right"/>
    <w:basedOn w:val="BodyText"/>
    <w:rsid w:val="00312B14"/>
    <w:pPr>
      <w:spacing w:before="0" w:after="0"/>
      <w:jc w:val="right"/>
    </w:pPr>
  </w:style>
  <w:style w:type="paragraph" w:styleId="Index3">
    <w:name w:val="index 3"/>
    <w:basedOn w:val="ListNumber2"/>
    <w:next w:val="Normal"/>
    <w:semiHidden/>
    <w:rsid w:val="00312B14"/>
    <w:pPr>
      <w:numPr>
        <w:numId w:val="0"/>
      </w:numPr>
      <w:tabs>
        <w:tab w:val="right" w:leader="dot" w:pos="4176"/>
      </w:tabs>
    </w:pPr>
  </w:style>
  <w:style w:type="paragraph" w:styleId="ListNumber2">
    <w:name w:val="List Number 2"/>
    <w:basedOn w:val="List2"/>
    <w:rsid w:val="00312B14"/>
    <w:pPr>
      <w:numPr>
        <w:numId w:val="11"/>
      </w:numPr>
      <w:tabs>
        <w:tab w:val="clear" w:pos="1060"/>
      </w:tabs>
    </w:pPr>
  </w:style>
  <w:style w:type="paragraph" w:customStyle="1" w:styleId="MarginNote">
    <w:name w:val="Margin Note"/>
    <w:basedOn w:val="BodyText"/>
    <w:rsid w:val="00312B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2B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12B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2B14"/>
    <w:rPr>
      <w:sz w:val="32"/>
    </w:rPr>
  </w:style>
  <w:style w:type="paragraph" w:customStyle="1" w:styleId="HeadingProcedure">
    <w:name w:val="Heading Procedure"/>
    <w:basedOn w:val="HeadingBase"/>
    <w:next w:val="Normal"/>
    <w:rsid w:val="00312B14"/>
    <w:pPr>
      <w:tabs>
        <w:tab w:val="left" w:pos="0"/>
      </w:tabs>
      <w:spacing w:before="120" w:after="60"/>
    </w:pPr>
    <w:rPr>
      <w:i/>
      <w:color w:val="918585"/>
      <w:sz w:val="22"/>
    </w:rPr>
  </w:style>
  <w:style w:type="paragraph" w:customStyle="1" w:styleId="TableBodyText">
    <w:name w:val="Table Body Text"/>
    <w:basedOn w:val="BodyText"/>
    <w:rsid w:val="00312B14"/>
    <w:pPr>
      <w:spacing w:before="60" w:after="60"/>
    </w:pPr>
  </w:style>
  <w:style w:type="paragraph" w:styleId="ListContinue">
    <w:name w:val="List Continue"/>
    <w:basedOn w:val="List"/>
    <w:rsid w:val="00312B14"/>
    <w:pPr>
      <w:ind w:firstLine="0"/>
    </w:pPr>
  </w:style>
  <w:style w:type="paragraph" w:customStyle="1" w:styleId="ListNote">
    <w:name w:val="List Note"/>
    <w:basedOn w:val="List"/>
    <w:rsid w:val="00312B14"/>
    <w:pPr>
      <w:pBdr>
        <w:top w:val="single" w:sz="6" w:space="2" w:color="918585"/>
        <w:bottom w:val="single" w:sz="6" w:space="2" w:color="918585"/>
      </w:pBdr>
      <w:tabs>
        <w:tab w:val="left" w:pos="1021"/>
      </w:tabs>
      <w:ind w:firstLine="0"/>
    </w:pPr>
  </w:style>
  <w:style w:type="paragraph" w:customStyle="1" w:styleId="Warning">
    <w:name w:val="Warning"/>
    <w:basedOn w:val="BodyText"/>
    <w:rsid w:val="00312B14"/>
    <w:pPr>
      <w:shd w:val="clear" w:color="auto" w:fill="D9D9D9"/>
      <w:tabs>
        <w:tab w:val="left" w:pos="992"/>
      </w:tabs>
      <w:ind w:left="119" w:right="119"/>
    </w:pPr>
    <w:rPr>
      <w:sz w:val="20"/>
    </w:rPr>
  </w:style>
  <w:style w:type="paragraph" w:customStyle="1" w:styleId="MarginIcons">
    <w:name w:val="Margin Icons"/>
    <w:basedOn w:val="BodyText"/>
    <w:rsid w:val="00312B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12B14"/>
    <w:rPr>
      <w:rFonts w:ascii="Courier New" w:hAnsi="Courier New"/>
    </w:rPr>
  </w:style>
  <w:style w:type="paragraph" w:customStyle="1" w:styleId="NoteBullet">
    <w:name w:val="Note Bullet"/>
    <w:basedOn w:val="Note"/>
    <w:rsid w:val="00312B14"/>
    <w:pPr>
      <w:tabs>
        <w:tab w:val="clear" w:pos="680"/>
      </w:tabs>
      <w:spacing w:before="60" w:after="60"/>
    </w:pPr>
  </w:style>
  <w:style w:type="paragraph" w:customStyle="1" w:styleId="SubHeading2">
    <w:name w:val="SubHeading2"/>
    <w:basedOn w:val="HeadingBase"/>
    <w:rsid w:val="00312B14"/>
    <w:pPr>
      <w:spacing w:before="240" w:after="60"/>
    </w:pPr>
    <w:rPr>
      <w:sz w:val="20"/>
    </w:rPr>
  </w:style>
  <w:style w:type="paragraph" w:customStyle="1" w:styleId="SubHeading1">
    <w:name w:val="SubHeading1"/>
    <w:basedOn w:val="HeadingBase"/>
    <w:rsid w:val="00312B14"/>
    <w:pPr>
      <w:spacing w:before="240" w:after="60"/>
    </w:pPr>
    <w:rPr>
      <w:color w:val="918585"/>
      <w:sz w:val="22"/>
    </w:rPr>
  </w:style>
  <w:style w:type="paragraph" w:customStyle="1" w:styleId="SideHeading">
    <w:name w:val="Side Heading"/>
    <w:basedOn w:val="HeadingBase"/>
    <w:rsid w:val="00312B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2B14"/>
    <w:pPr>
      <w:numPr>
        <w:numId w:val="13"/>
      </w:numPr>
    </w:pPr>
  </w:style>
  <w:style w:type="paragraph" w:styleId="PlainText">
    <w:name w:val="Plain Text"/>
    <w:basedOn w:val="Normal"/>
    <w:link w:val="PlainTextChar"/>
    <w:rsid w:val="00312B14"/>
    <w:rPr>
      <w:sz w:val="20"/>
    </w:rPr>
  </w:style>
  <w:style w:type="character" w:customStyle="1" w:styleId="PlainTextChar">
    <w:name w:val="Plain Text Char"/>
    <w:basedOn w:val="DefaultParagraphFont"/>
    <w:link w:val="PlainText"/>
    <w:rsid w:val="00312B14"/>
    <w:rPr>
      <w:rFonts w:ascii="Courier New" w:eastAsia="Times New Roman" w:hAnsi="Courier New" w:cs="Times New Roman"/>
      <w:sz w:val="20"/>
      <w:szCs w:val="20"/>
      <w:lang w:val="en-US" w:eastAsia="en-US"/>
    </w:rPr>
  </w:style>
  <w:style w:type="character" w:customStyle="1" w:styleId="MenuOption">
    <w:name w:val="Menu Option"/>
    <w:rsid w:val="00312B14"/>
    <w:rPr>
      <w:b/>
      <w:smallCaps/>
    </w:rPr>
  </w:style>
  <w:style w:type="paragraph" w:customStyle="1" w:styleId="TableListNumber">
    <w:name w:val="Table List Number"/>
    <w:basedOn w:val="ListNumber"/>
    <w:rsid w:val="00312B14"/>
    <w:pPr>
      <w:numPr>
        <w:numId w:val="0"/>
      </w:numPr>
    </w:pPr>
  </w:style>
  <w:style w:type="paragraph" w:styleId="TOC4">
    <w:name w:val="toc 4"/>
    <w:basedOn w:val="TOCBase"/>
    <w:next w:val="Normal"/>
    <w:semiHidden/>
    <w:rsid w:val="00312B14"/>
    <w:pPr>
      <w:tabs>
        <w:tab w:val="right" w:leader="dot" w:pos="9071"/>
      </w:tabs>
      <w:ind w:left="1701"/>
    </w:pPr>
  </w:style>
  <w:style w:type="paragraph" w:customStyle="1" w:styleId="ListAlpha">
    <w:name w:val="List Alpha"/>
    <w:basedOn w:val="List"/>
    <w:rsid w:val="00312B14"/>
    <w:pPr>
      <w:numPr>
        <w:numId w:val="10"/>
      </w:numPr>
    </w:pPr>
  </w:style>
  <w:style w:type="paragraph" w:customStyle="1" w:styleId="ListAlpha2">
    <w:name w:val="List Alpha 2"/>
    <w:basedOn w:val="List2"/>
    <w:rsid w:val="00312B14"/>
    <w:pPr>
      <w:numPr>
        <w:numId w:val="9"/>
      </w:numPr>
    </w:pPr>
  </w:style>
  <w:style w:type="paragraph" w:styleId="List3">
    <w:name w:val="List 3"/>
    <w:basedOn w:val="BodyText"/>
    <w:rsid w:val="00312B14"/>
    <w:pPr>
      <w:tabs>
        <w:tab w:val="left" w:pos="1021"/>
      </w:tabs>
      <w:spacing w:before="60" w:after="60"/>
      <w:ind w:left="1020" w:hanging="340"/>
    </w:pPr>
  </w:style>
  <w:style w:type="paragraph" w:styleId="List4">
    <w:name w:val="List 4"/>
    <w:basedOn w:val="BodyText"/>
    <w:rsid w:val="00312B14"/>
    <w:pPr>
      <w:tabs>
        <w:tab w:val="left" w:pos="1361"/>
      </w:tabs>
      <w:spacing w:before="60" w:after="60"/>
      <w:ind w:left="1361" w:hanging="340"/>
    </w:pPr>
  </w:style>
  <w:style w:type="paragraph" w:styleId="List5">
    <w:name w:val="List 5"/>
    <w:basedOn w:val="BodyText"/>
    <w:rsid w:val="00312B14"/>
    <w:pPr>
      <w:tabs>
        <w:tab w:val="left" w:pos="1701"/>
      </w:tabs>
      <w:spacing w:before="60" w:after="60"/>
      <w:ind w:left="1701" w:hanging="340"/>
    </w:pPr>
  </w:style>
  <w:style w:type="paragraph" w:styleId="ListBullet4">
    <w:name w:val="List Bullet 4"/>
    <w:basedOn w:val="List4"/>
    <w:rsid w:val="00312B14"/>
    <w:pPr>
      <w:numPr>
        <w:numId w:val="4"/>
      </w:numPr>
    </w:pPr>
  </w:style>
  <w:style w:type="paragraph" w:styleId="ListBullet5">
    <w:name w:val="List Bullet 5"/>
    <w:basedOn w:val="List5"/>
    <w:rsid w:val="00312B14"/>
    <w:pPr>
      <w:numPr>
        <w:numId w:val="5"/>
      </w:numPr>
    </w:pPr>
  </w:style>
  <w:style w:type="paragraph" w:styleId="ListContinue2">
    <w:name w:val="List Continue 2"/>
    <w:basedOn w:val="List2"/>
    <w:rsid w:val="00312B14"/>
    <w:pPr>
      <w:ind w:firstLine="0"/>
    </w:pPr>
  </w:style>
  <w:style w:type="paragraph" w:styleId="ListContinue3">
    <w:name w:val="List Continue 3"/>
    <w:basedOn w:val="List3"/>
    <w:rsid w:val="00312B14"/>
    <w:pPr>
      <w:ind w:left="1021" w:firstLine="0"/>
    </w:pPr>
  </w:style>
  <w:style w:type="paragraph" w:styleId="ListContinue4">
    <w:name w:val="List Continue 4"/>
    <w:basedOn w:val="List4"/>
    <w:rsid w:val="00312B14"/>
    <w:pPr>
      <w:ind w:firstLine="0"/>
    </w:pPr>
  </w:style>
  <w:style w:type="paragraph" w:styleId="ListContinue5">
    <w:name w:val="List Continue 5"/>
    <w:basedOn w:val="List5"/>
    <w:rsid w:val="00312B14"/>
    <w:pPr>
      <w:ind w:firstLine="0"/>
    </w:pPr>
  </w:style>
  <w:style w:type="paragraph" w:styleId="ListNumber3">
    <w:name w:val="List Number 3"/>
    <w:basedOn w:val="List3"/>
    <w:rsid w:val="00312B14"/>
    <w:pPr>
      <w:numPr>
        <w:numId w:val="6"/>
      </w:numPr>
    </w:pPr>
  </w:style>
  <w:style w:type="paragraph" w:styleId="ListNumber4">
    <w:name w:val="List Number 4"/>
    <w:basedOn w:val="List4"/>
    <w:rsid w:val="00312B14"/>
    <w:pPr>
      <w:numPr>
        <w:numId w:val="7"/>
      </w:numPr>
    </w:pPr>
  </w:style>
  <w:style w:type="paragraph" w:styleId="ListNumber5">
    <w:name w:val="List Number 5"/>
    <w:basedOn w:val="List5"/>
    <w:rsid w:val="00312B14"/>
    <w:pPr>
      <w:numPr>
        <w:numId w:val="8"/>
      </w:numPr>
    </w:pPr>
  </w:style>
  <w:style w:type="paragraph" w:styleId="BlockText">
    <w:name w:val="Block Text"/>
    <w:basedOn w:val="Normal"/>
    <w:rsid w:val="00312B14"/>
    <w:pPr>
      <w:spacing w:after="120"/>
      <w:ind w:left="1440" w:right="1440"/>
    </w:pPr>
  </w:style>
  <w:style w:type="character" w:customStyle="1" w:styleId="Subscript">
    <w:name w:val="Subscript"/>
    <w:rsid w:val="00312B14"/>
    <w:rPr>
      <w:sz w:val="16"/>
      <w:vertAlign w:val="subscript"/>
    </w:rPr>
  </w:style>
  <w:style w:type="character" w:customStyle="1" w:styleId="Superscript">
    <w:name w:val="Superscript"/>
    <w:rsid w:val="00312B14"/>
    <w:rPr>
      <w:sz w:val="16"/>
      <w:vertAlign w:val="superscript"/>
    </w:rPr>
  </w:style>
  <w:style w:type="character" w:customStyle="1" w:styleId="Symbols">
    <w:name w:val="Symbols"/>
    <w:rsid w:val="00312B14"/>
    <w:rPr>
      <w:rFonts w:ascii="Symbol" w:hAnsi="Symbol"/>
    </w:rPr>
  </w:style>
  <w:style w:type="character" w:customStyle="1" w:styleId="MenuOptions">
    <w:name w:val="Menu Options"/>
    <w:rsid w:val="00312B14"/>
    <w:rPr>
      <w:rFonts w:ascii="Arial Narrow" w:hAnsi="Arial Narrow"/>
      <w:smallCaps/>
    </w:rPr>
  </w:style>
  <w:style w:type="character" w:customStyle="1" w:styleId="Buttons">
    <w:name w:val="Buttons"/>
    <w:rsid w:val="00312B14"/>
    <w:rPr>
      <w:b/>
    </w:rPr>
  </w:style>
  <w:style w:type="character" w:customStyle="1" w:styleId="Underlined">
    <w:name w:val="Underlined"/>
    <w:rsid w:val="00312B14"/>
    <w:rPr>
      <w:u w:val="single"/>
    </w:rPr>
  </w:style>
  <w:style w:type="paragraph" w:customStyle="1" w:styleId="TableBodyTextRight">
    <w:name w:val="Table Body Text Right"/>
    <w:basedOn w:val="TableBodyText"/>
    <w:rsid w:val="00312B14"/>
    <w:pPr>
      <w:widowControl w:val="0"/>
      <w:autoSpaceDE w:val="0"/>
      <w:autoSpaceDN w:val="0"/>
      <w:adjustRightInd w:val="0"/>
      <w:jc w:val="right"/>
    </w:pPr>
    <w:rPr>
      <w:rFonts w:cs="Arial"/>
      <w:szCs w:val="18"/>
    </w:rPr>
  </w:style>
  <w:style w:type="paragraph" w:customStyle="1" w:styleId="CopyrightText">
    <w:name w:val="Copyright Text"/>
    <w:basedOn w:val="BodyText"/>
    <w:rsid w:val="00312B14"/>
    <w:rPr>
      <w:sz w:val="18"/>
    </w:rPr>
  </w:style>
  <w:style w:type="paragraph" w:customStyle="1" w:styleId="BodySmallRight">
    <w:name w:val="Body Small Right"/>
    <w:basedOn w:val="BodyTextRight"/>
    <w:rsid w:val="00312B14"/>
    <w:rPr>
      <w:sz w:val="18"/>
      <w:szCs w:val="18"/>
    </w:rPr>
  </w:style>
  <w:style w:type="paragraph" w:customStyle="1" w:styleId="MarginEdition">
    <w:name w:val="Margin Edition"/>
    <w:basedOn w:val="MarginNote"/>
    <w:rsid w:val="00312B14"/>
    <w:pPr>
      <w:spacing w:before="0" w:after="0"/>
    </w:pPr>
    <w:rPr>
      <w:rFonts w:ascii="Times New Roman" w:hAnsi="Times New Roman"/>
      <w:color w:val="999999"/>
    </w:rPr>
  </w:style>
  <w:style w:type="paragraph" w:customStyle="1" w:styleId="Spacer">
    <w:name w:val="Spacer"/>
    <w:basedOn w:val="Normal"/>
    <w:rsid w:val="00312B14"/>
    <w:rPr>
      <w:sz w:val="2"/>
      <w:szCs w:val="2"/>
    </w:rPr>
  </w:style>
  <w:style w:type="character" w:customStyle="1" w:styleId="Small">
    <w:name w:val="Small"/>
    <w:rsid w:val="00312B14"/>
    <w:rPr>
      <w:sz w:val="16"/>
    </w:rPr>
  </w:style>
  <w:style w:type="paragraph" w:customStyle="1" w:styleId="WideTable">
    <w:name w:val="Wide Table"/>
    <w:basedOn w:val="Normal"/>
    <w:rsid w:val="00312B14"/>
    <w:pPr>
      <w:ind w:left="-1418"/>
    </w:pPr>
    <w:rPr>
      <w:sz w:val="2"/>
      <w:szCs w:val="2"/>
    </w:rPr>
  </w:style>
  <w:style w:type="character" w:styleId="PageNumber">
    <w:name w:val="page number"/>
    <w:rsid w:val="00312B14"/>
  </w:style>
  <w:style w:type="paragraph" w:styleId="Quote">
    <w:name w:val="Quote"/>
    <w:basedOn w:val="Heading1"/>
    <w:link w:val="QuoteChar"/>
    <w:qFormat/>
    <w:rsid w:val="00312B14"/>
    <w:rPr>
      <w:b w:val="0"/>
      <w:sz w:val="72"/>
      <w:szCs w:val="72"/>
      <w:lang w:val="en-NZ"/>
    </w:rPr>
  </w:style>
  <w:style w:type="character" w:customStyle="1" w:styleId="QuoteChar">
    <w:name w:val="Quote Char"/>
    <w:link w:val="Quote"/>
    <w:rsid w:val="00312B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2B14"/>
    <w:pPr>
      <w:pageBreakBefore/>
    </w:pPr>
  </w:style>
  <w:style w:type="paragraph" w:customStyle="1" w:styleId="Border">
    <w:name w:val="Border"/>
    <w:basedOn w:val="Normal"/>
    <w:qFormat/>
    <w:rsid w:val="00312B14"/>
    <w:pPr>
      <w:pBdr>
        <w:top w:val="single" w:sz="18" w:space="1" w:color="auto"/>
      </w:pBdr>
    </w:pPr>
    <w:rPr>
      <w:rFonts w:ascii="Times New Roman" w:hAnsi="Times New Roman"/>
      <w:color w:val="FFFFFF"/>
      <w:sz w:val="2"/>
    </w:rPr>
  </w:style>
  <w:style w:type="character" w:styleId="IntenseEmphasis">
    <w:name w:val="Intense Emphasis"/>
    <w:uiPriority w:val="21"/>
    <w:qFormat/>
    <w:rsid w:val="00312B14"/>
    <w:rPr>
      <w:b/>
      <w:bCs/>
      <w:i/>
      <w:iCs/>
      <w:color w:val="auto"/>
    </w:rPr>
  </w:style>
  <w:style w:type="paragraph" w:styleId="IntenseQuote">
    <w:name w:val="Intense Quote"/>
    <w:basedOn w:val="Normal"/>
    <w:next w:val="Normal"/>
    <w:link w:val="IntenseQuoteChar"/>
    <w:uiPriority w:val="30"/>
    <w:qFormat/>
    <w:rsid w:val="00312B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12B14"/>
    <w:rPr>
      <w:rFonts w:ascii="Courier New" w:eastAsia="Times New Roman" w:hAnsi="Courier New" w:cs="Times New Roman"/>
      <w:b/>
      <w:bCs/>
      <w:i/>
      <w:iCs/>
      <w:szCs w:val="20"/>
      <w:lang w:val="en-US" w:eastAsia="en-US"/>
    </w:rPr>
  </w:style>
  <w:style w:type="character" w:styleId="SubtleReference">
    <w:name w:val="Subtle Reference"/>
    <w:uiPriority w:val="31"/>
    <w:qFormat/>
    <w:rsid w:val="00312B14"/>
    <w:rPr>
      <w:smallCaps/>
      <w:color w:val="auto"/>
      <w:u w:val="single"/>
    </w:rPr>
  </w:style>
  <w:style w:type="character" w:styleId="IntenseReference">
    <w:name w:val="Intense Reference"/>
    <w:uiPriority w:val="32"/>
    <w:qFormat/>
    <w:rsid w:val="00312B14"/>
    <w:rPr>
      <w:b/>
      <w:bCs/>
      <w:smallCaps/>
      <w:color w:val="auto"/>
      <w:spacing w:val="5"/>
      <w:u w:val="single"/>
    </w:rPr>
  </w:style>
  <w:style w:type="paragraph" w:customStyle="1" w:styleId="2ColumnHeading">
    <w:name w:val="2Column Heading"/>
    <w:basedOn w:val="BodyText"/>
    <w:qFormat/>
    <w:rsid w:val="00312B14"/>
    <w:pPr>
      <w:spacing w:after="60"/>
      <w:ind w:left="-2268"/>
    </w:pPr>
    <w:rPr>
      <w:b/>
    </w:rPr>
  </w:style>
  <w:style w:type="paragraph" w:customStyle="1" w:styleId="Heading1TOC">
    <w:name w:val="Heading1 TOC"/>
    <w:basedOn w:val="Normal"/>
    <w:qFormat/>
    <w:rsid w:val="00312B14"/>
    <w:pPr>
      <w:spacing w:before="240" w:after="120"/>
    </w:pPr>
    <w:rPr>
      <w:rFonts w:ascii="Times New Roman" w:hAnsi="Times New Roman"/>
      <w:b/>
      <w:sz w:val="32"/>
    </w:rPr>
  </w:style>
  <w:style w:type="paragraph" w:customStyle="1" w:styleId="Heading2TOC">
    <w:name w:val="Heading2 TOC"/>
    <w:basedOn w:val="Normal"/>
    <w:qFormat/>
    <w:rsid w:val="00312B14"/>
    <w:pPr>
      <w:spacing w:before="240" w:after="60"/>
    </w:pPr>
    <w:rPr>
      <w:rFonts w:ascii="Times New Roman" w:hAnsi="Times New Roman"/>
      <w:b/>
      <w:sz w:val="28"/>
    </w:rPr>
  </w:style>
  <w:style w:type="character" w:customStyle="1" w:styleId="Underline">
    <w:name w:val="Underline"/>
    <w:qFormat/>
    <w:rsid w:val="00312B14"/>
    <w:rPr>
      <w:u w:val="single"/>
    </w:rPr>
  </w:style>
  <w:style w:type="paragraph" w:styleId="BalloonText">
    <w:name w:val="Balloon Text"/>
    <w:basedOn w:val="Normal"/>
    <w:link w:val="BalloonTextChar"/>
    <w:rsid w:val="00312B14"/>
    <w:rPr>
      <w:rFonts w:ascii="Tahoma" w:hAnsi="Tahoma" w:cs="Tahoma"/>
      <w:sz w:val="16"/>
      <w:szCs w:val="16"/>
    </w:rPr>
  </w:style>
  <w:style w:type="character" w:customStyle="1" w:styleId="BalloonTextChar">
    <w:name w:val="Balloon Text Char"/>
    <w:link w:val="BalloonText"/>
    <w:rsid w:val="00312B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2B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12B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1705</Words>
  <Characters>10918</Characters>
  <Application>Microsoft Office Word</Application>
  <DocSecurity>0</DocSecurity>
  <Lines>351</Lines>
  <Paragraphs>185</Paragraphs>
  <ScaleCrop>false</ScaleCrop>
  <Company>Author-it Software Corporation Ltd.</Company>
  <LinksUpToDate>false</LinksUpToDate>
  <CharactersWithSpaces>12546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FPICOT2202B Rack material</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2012-05-26T07:02:00Z</dcterms:created>
  <dcterms:modified xsi:type="dcterms:W3CDTF">2012-05-26T07:02:00Z</dcterms:modified>
</cp:coreProperties>
</file>