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734" w:rsidP="003B7734">
      <w:pPr>
        <w:pStyle w:val="Title"/>
      </w:pPr>
      <w:r>
        <w:fldChar w:fldCharType="begin"/>
      </w:r>
      <w:r>
        <w:instrText xml:space="preserve"> TITLE   \* MERGEFORMAT </w:instrText>
      </w:r>
      <w:r>
        <w:fldChar w:fldCharType="separate"/>
      </w:r>
      <w:r>
        <w:t>FNSSUP504A Provide advanced customer service to superannuation clients</w:t>
      </w:r>
      <w:r>
        <w:fldChar w:fldCharType="end"/>
      </w:r>
    </w:p>
    <w:p w:rsidR="003B7734" w:rsidP="003B7734">
      <w:pPr>
        <w:pStyle w:val="Version"/>
        <w:sectPr w:rsidSect="006B18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183B" w:rsidP="006B183B">
      <w:pPr>
        <w:pStyle w:val="SuperHeading"/>
      </w:pPr>
      <w:r w:rsidRPr="006B183B">
        <w:t>FNSSUP504A Provide advanced customer service to superannuation clients</w:t>
      </w:r>
    </w:p>
    <w:p w:rsidR="00000000" w:rsidRPr="006B183B" w:rsidP="006B183B">
      <w:pPr>
        <w:pStyle w:val="SuperHeading"/>
      </w:pPr>
    </w:p>
    <w:p w:rsidR="00000000" w:rsidRPr="006B183B" w:rsidP="006B183B">
      <w:pPr>
        <w:pStyle w:val="Heading1"/>
      </w:pPr>
      <w:bookmarkStart w:id="1" w:name="O_80967"/>
      <w:bookmarkEnd w:id="1"/>
      <w:r w:rsidRPr="006B183B">
        <w:t>Modification History</w:t>
      </w:r>
    </w:p>
    <w:p w:rsidR="00000000" w:rsidRPr="006B183B" w:rsidP="006B183B">
      <w:pPr>
        <w:pStyle w:val="BodyText"/>
      </w:pPr>
      <w:r w:rsidRPr="006B183B">
        <w:t>Not applicable.</w:t>
      </w:r>
    </w:p>
    <w:p w:rsidR="00000000" w:rsidRPr="006B183B" w:rsidP="006B183B">
      <w:pPr>
        <w:pStyle w:val="AllowPageBreak"/>
      </w:pPr>
    </w:p>
    <w:p w:rsidR="00000000" w:rsidRPr="006B183B" w:rsidP="006B183B">
      <w:pPr>
        <w:pStyle w:val="Heading1"/>
      </w:pPr>
      <w:bookmarkStart w:id="2" w:name="O_80968"/>
      <w:bookmarkEnd w:id="2"/>
      <w:r w:rsidRPr="006B183B">
        <w:t>Unit Descriptor</w:t>
      </w:r>
    </w:p>
    <w:tbl>
      <w:tblPr>
        <w:tblW w:w="0" w:type="auto"/>
        <w:tblLayout w:type="fixed"/>
        <w:tblCellMar>
          <w:left w:w="62" w:type="dxa"/>
          <w:right w:w="62" w:type="dxa"/>
        </w:tblCellMar>
        <w:tblLook w:val="0000"/>
      </w:tblPr>
      <w:tblGrid>
        <w:gridCol w:w="2628"/>
        <w:gridCol w:w="5894"/>
      </w:tblGrid>
      <w:tr w:rsidTr="003B7734">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Unit descriptor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r w:rsidRPr="006B183B">
              <w:t>This unit describes the performance outcomes, skills and knowledge required to liais</w:t>
            </w:r>
            <w:r w:rsidRPr="006B183B">
              <w:t>e with clients and respond to specific enquiries about membership, superannuation procedure options and products offered by the organisation. It encompasses establishing a relationship with a client, informing the client of the superannuation process, expl</w:t>
            </w:r>
            <w:r w:rsidRPr="006B183B">
              <w:t>aining products and options offered by the organisation, assisting with complex enquiries, identifying areas of advice outside authority area and providing and recording necessary documentation.</w:t>
            </w:r>
          </w:p>
          <w:p w:rsidR="00000000" w:rsidRPr="006B183B" w:rsidP="006B183B">
            <w:pPr>
              <w:pStyle w:val="BodyText"/>
            </w:pPr>
          </w:p>
          <w:p w:rsidR="00000000" w:rsidRPr="006B183B" w:rsidP="006B183B">
            <w:pPr>
              <w:pStyle w:val="BodyText"/>
            </w:pPr>
            <w:r w:rsidRPr="006B183B">
              <w:t>This unit is applicable to individuals working within enterp</w:t>
            </w:r>
            <w:r w:rsidRPr="006B183B">
              <w:t>rises and job roles subject to licensing, legislative, regulatory or certification requirements including legislation administered by the Australian Securities and Investments Commission (ASIC).</w:t>
            </w: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3" w:name="O_80969"/>
      <w:bookmarkEnd w:id="3"/>
      <w:r w:rsidRPr="006B183B">
        <w:t>Application of the Unit</w:t>
      </w:r>
    </w:p>
    <w:tbl>
      <w:tblPr>
        <w:tblW w:w="0" w:type="auto"/>
        <w:tblLayout w:type="fixed"/>
        <w:tblCellMar>
          <w:left w:w="62" w:type="dxa"/>
          <w:right w:w="62" w:type="dxa"/>
        </w:tblCellMar>
        <w:tblLook w:val="0000"/>
      </w:tblPr>
      <w:tblGrid>
        <w:gridCol w:w="2717"/>
        <w:gridCol w:w="5805"/>
      </w:tblGrid>
      <w:tr w:rsidTr="003B7734">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r w:rsidRPr="006B183B">
              <w:t>This unit applies to job roles that respond to specific enquiries about membership, superannuation procedure options and products.</w:t>
            </w: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4" w:name="O_80970"/>
      <w:bookmarkEnd w:id="4"/>
      <w:r w:rsidRPr="006B183B">
        <w:t>Licensing/Regulatory Information</w:t>
      </w:r>
    </w:p>
    <w:p w:rsidR="00000000" w:rsidRPr="006B183B" w:rsidP="006B183B">
      <w:pPr>
        <w:pStyle w:val="BodyText"/>
      </w:pPr>
      <w:r w:rsidRPr="006B183B">
        <w:t>Not applicable.</w:t>
      </w:r>
    </w:p>
    <w:p w:rsidR="00000000" w:rsidRPr="006B183B" w:rsidP="006B183B">
      <w:pPr>
        <w:pStyle w:val="AllowPageBreak"/>
      </w:pPr>
    </w:p>
    <w:p w:rsidR="00000000" w:rsidRPr="006B183B" w:rsidP="006B183B">
      <w:pPr>
        <w:pStyle w:val="Heading1"/>
      </w:pPr>
      <w:bookmarkStart w:id="5" w:name="O_80971"/>
      <w:bookmarkEnd w:id="5"/>
      <w:r w:rsidRPr="006B183B">
        <w:t>Pre-Requisites</w:t>
      </w:r>
    </w:p>
    <w:tbl>
      <w:tblPr>
        <w:tblW w:w="0" w:type="auto"/>
        <w:tblLayout w:type="fixed"/>
        <w:tblCellMar>
          <w:left w:w="62" w:type="dxa"/>
          <w:right w:w="62" w:type="dxa"/>
        </w:tblCellMar>
        <w:tblLook w:val="0000"/>
      </w:tblPr>
      <w:tblGrid>
        <w:gridCol w:w="2745"/>
        <w:gridCol w:w="1301"/>
        <w:gridCol w:w="4476"/>
      </w:tblGrid>
      <w:tr w:rsidTr="003B773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p>
        </w:tc>
      </w:tr>
      <w:tr w:rsidTr="003B773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p>
        </w:tc>
      </w:tr>
      <w:tr w:rsidTr="003B773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6" w:name="O_80972"/>
      <w:bookmarkEnd w:id="6"/>
      <w:r w:rsidRPr="006B183B">
        <w:t>Employability Skills Information</w:t>
      </w:r>
    </w:p>
    <w:tbl>
      <w:tblPr>
        <w:tblW w:w="0" w:type="auto"/>
        <w:tblLayout w:type="fixed"/>
        <w:tblCellMar>
          <w:left w:w="62" w:type="dxa"/>
          <w:right w:w="62" w:type="dxa"/>
        </w:tblCellMar>
        <w:tblLook w:val="0000"/>
      </w:tblPr>
      <w:tblGrid>
        <w:gridCol w:w="2762"/>
        <w:gridCol w:w="5760"/>
      </w:tblGrid>
      <w:tr w:rsidTr="003B773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r w:rsidRPr="006B183B">
              <w:t>This unit contains employability skills.</w:t>
            </w: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7" w:name="O_80973"/>
      <w:bookmarkEnd w:id="7"/>
      <w:r w:rsidRPr="006B183B">
        <w:t>Elements and Performance Criteria Pre-Content</w:t>
      </w:r>
    </w:p>
    <w:tbl>
      <w:tblPr>
        <w:tblW w:w="0" w:type="auto"/>
        <w:tblLayout w:type="fixed"/>
        <w:tblCellMar>
          <w:left w:w="62" w:type="dxa"/>
          <w:right w:w="62" w:type="dxa"/>
        </w:tblCellMar>
        <w:tblLook w:val="0000"/>
      </w:tblPr>
      <w:tblGrid>
        <w:gridCol w:w="2592"/>
        <w:gridCol w:w="5930"/>
      </w:tblGrid>
      <w:tr w:rsidTr="003B773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r w:rsidRPr="006B183B">
              <w:t>Performance criteria describe the performance needed to demonstrate achievement of the element. Where bold italicised text is used, further information is detailed in the required skills and</w:t>
            </w:r>
            <w:r w:rsidRPr="006B183B">
              <w:t xml:space="preserve"> knowledge section and the range statement. Assessment of performance is to be consistent with the evidence guide.</w:t>
            </w: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8" w:name="O_80974"/>
      <w:bookmarkEnd w:id="8"/>
      <w:r w:rsidRPr="006B183B">
        <w:t>Elements and Performance Criteria</w:t>
      </w:r>
    </w:p>
    <w:tbl>
      <w:tblPr>
        <w:tblW w:w="0" w:type="auto"/>
        <w:tblLayout w:type="fixed"/>
        <w:tblCellMar>
          <w:left w:w="62" w:type="dxa"/>
          <w:right w:w="62" w:type="dxa"/>
        </w:tblCellMar>
        <w:tblLook w:val="0000"/>
      </w:tblPr>
      <w:tblGrid>
        <w:gridCol w:w="2592"/>
        <w:gridCol w:w="5930"/>
      </w:tblGrid>
      <w:tr w:rsidTr="003B7734">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r w:rsidRPr="006B183B">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PERFORMANCE CRITERIA</w:t>
            </w:r>
          </w:p>
        </w:tc>
      </w:tr>
      <w:tr w:rsidTr="003B773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List"/>
              <w:rPr>
                <w:lang w:val="en-NZ"/>
              </w:rPr>
            </w:pPr>
            <w:r w:rsidRPr="006B183B">
              <w:t>1.</w:t>
            </w:r>
            <w:r w:rsidRPr="006B183B">
              <w:tab/>
              <w:t>Establish relationship with client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2"/>
            </w:pPr>
            <w:r w:rsidRPr="006B183B">
              <w:t>1.1.</w:t>
            </w:r>
            <w:r w:rsidRPr="006B183B">
              <w:tab/>
              <w:t xml:space="preserve">Most appropriate </w:t>
            </w:r>
            <w:r w:rsidRPr="006B183B">
              <w:rPr>
                <w:rStyle w:val="BoldandItalics"/>
              </w:rPr>
              <w:t>method of communication</w:t>
            </w:r>
            <w:r w:rsidRPr="006B183B">
              <w:t xml:space="preserve"> is used to establish the nature of </w:t>
            </w:r>
            <w:r w:rsidRPr="006B183B">
              <w:rPr>
                <w:rStyle w:val="BoldandItalics"/>
              </w:rPr>
              <w:t>client</w:t>
            </w:r>
            <w:r w:rsidRPr="006B183B">
              <w:t xml:space="preserve"> enquiry</w:t>
            </w:r>
          </w:p>
          <w:p w:rsidR="00000000" w:rsidRPr="006B183B" w:rsidP="006B183B">
            <w:pPr>
              <w:pStyle w:val="List2"/>
            </w:pPr>
            <w:r w:rsidRPr="006B183B">
              <w:t>1.2.</w:t>
            </w:r>
            <w:r w:rsidRPr="006B183B">
              <w:tab/>
              <w:t>Client records are accessed as required</w:t>
            </w:r>
          </w:p>
          <w:p w:rsidR="00000000" w:rsidRPr="006B183B" w:rsidP="006B183B">
            <w:pPr>
              <w:pStyle w:val="List2"/>
            </w:pPr>
            <w:r w:rsidRPr="006B183B">
              <w:t>1.3.</w:t>
            </w:r>
            <w:r w:rsidRPr="006B183B">
              <w:tab/>
              <w:t>Client is informed of the role of the organisation</w:t>
            </w:r>
          </w:p>
          <w:p w:rsidR="00000000" w:rsidRPr="006B183B" w:rsidP="006B183B">
            <w:pPr>
              <w:pStyle w:val="List2"/>
            </w:pPr>
            <w:r w:rsidRPr="006B183B">
              <w:t>1.4.</w:t>
            </w:r>
            <w:r w:rsidRPr="006B183B">
              <w:tab/>
              <w:t xml:space="preserve">Relationship of the superannuation organisation to other financial services </w:t>
            </w:r>
            <w:r w:rsidRPr="006B183B">
              <w:t>is explained to the client</w:t>
            </w:r>
          </w:p>
          <w:p w:rsidR="00000000" w:rsidRPr="006B183B" w:rsidP="006B183B">
            <w:pPr>
              <w:pStyle w:val="List2"/>
            </w:pPr>
            <w:r w:rsidRPr="006B183B">
              <w:t>1.5.</w:t>
            </w:r>
            <w:r w:rsidRPr="006B183B">
              <w:tab/>
              <w:t>The role and limits of authority of the representative are explained to the client</w:t>
            </w:r>
          </w:p>
          <w:p w:rsidR="00000000" w:rsidRPr="006B183B" w:rsidP="006B183B">
            <w:pPr>
              <w:pStyle w:val="List2"/>
            </w:pPr>
            <w:r w:rsidRPr="006B183B">
              <w:t>1.6.</w:t>
            </w:r>
            <w:r w:rsidRPr="006B183B">
              <w:tab/>
            </w:r>
            <w:r w:rsidRPr="006B183B">
              <w:rPr>
                <w:rStyle w:val="BoldandItalics"/>
              </w:rPr>
              <w:t>Clients with special needs</w:t>
            </w:r>
            <w:r w:rsidRPr="006B183B">
              <w:t xml:space="preserve"> are identified and appropriate action taken or referral made</w:t>
            </w:r>
          </w:p>
          <w:p w:rsidR="00000000" w:rsidP="006B183B">
            <w:pPr>
              <w:pStyle w:val="List2"/>
              <w:rPr>
                <w:lang w:val="en-NZ"/>
              </w:rPr>
            </w:pPr>
            <w:r w:rsidRPr="006B183B">
              <w:t>1.7.</w:t>
            </w:r>
            <w:r w:rsidRPr="006B183B">
              <w:tab/>
              <w:t xml:space="preserve">Client </w:t>
            </w:r>
            <w:r w:rsidRPr="006B183B">
              <w:rPr>
                <w:rStyle w:val="BoldandItalics"/>
              </w:rPr>
              <w:t>confidentiality</w:t>
            </w:r>
            <w:r w:rsidRPr="006B183B">
              <w:t xml:space="preserve"> is maintained</w:t>
            </w:r>
          </w:p>
        </w:tc>
      </w:tr>
      <w:tr w:rsidTr="003B773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List"/>
              <w:rPr>
                <w:lang w:val="en-NZ"/>
              </w:rPr>
            </w:pPr>
            <w:r w:rsidRPr="006B183B">
              <w:t>2.</w:t>
            </w:r>
            <w:r w:rsidRPr="006B183B">
              <w:tab/>
              <w:t>In</w:t>
            </w:r>
            <w:r w:rsidRPr="006B183B">
              <w:t>form client of the superannuation process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2"/>
            </w:pPr>
            <w:r w:rsidRPr="006B183B">
              <w:t>2.1.</w:t>
            </w:r>
            <w:r w:rsidRPr="006B183B">
              <w:tab/>
              <w:t>Government regulations and requirements for superannuation are explained to the client</w:t>
            </w:r>
          </w:p>
          <w:p w:rsidR="00000000" w:rsidRPr="006B183B" w:rsidP="006B183B">
            <w:pPr>
              <w:pStyle w:val="List2"/>
            </w:pPr>
            <w:r w:rsidRPr="006B183B">
              <w:t>2.2.</w:t>
            </w:r>
            <w:r w:rsidRPr="006B183B">
              <w:tab/>
              <w:t>Processes and options for fund administration are explained to the client</w:t>
            </w:r>
          </w:p>
          <w:p w:rsidR="00000000" w:rsidP="006B183B">
            <w:pPr>
              <w:pStyle w:val="List2"/>
              <w:rPr>
                <w:lang w:val="en-NZ"/>
              </w:rPr>
            </w:pPr>
            <w:r w:rsidRPr="006B183B">
              <w:t>2.3.</w:t>
            </w:r>
            <w:r w:rsidRPr="006B183B">
              <w:tab/>
              <w:t xml:space="preserve">The features and benefits of </w:t>
            </w:r>
            <w:r w:rsidRPr="006B183B">
              <w:rPr>
                <w:rStyle w:val="BoldandItalics"/>
              </w:rPr>
              <w:t>different</w:t>
            </w:r>
            <w:r w:rsidRPr="006B183B">
              <w:rPr>
                <w:rStyle w:val="BoldandItalics"/>
              </w:rPr>
              <w:t xml:space="preserve"> types of funds</w:t>
            </w:r>
            <w:r w:rsidRPr="006B183B">
              <w:t xml:space="preserve"> are explained to the client</w:t>
            </w:r>
          </w:p>
        </w:tc>
      </w:tr>
      <w:tr w:rsidTr="003B773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List"/>
              <w:rPr>
                <w:lang w:val="en-NZ"/>
              </w:rPr>
            </w:pPr>
            <w:r w:rsidRPr="006B183B">
              <w:t>3.</w:t>
            </w:r>
            <w:r w:rsidRPr="006B183B">
              <w:tab/>
              <w:t>Explain superannuation products and options offered by the organisation or a specific fund</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2"/>
            </w:pPr>
            <w:r w:rsidRPr="006B183B">
              <w:t>3.1.</w:t>
            </w:r>
            <w:r w:rsidRPr="006B183B">
              <w:tab/>
            </w:r>
            <w:r w:rsidRPr="006B183B">
              <w:t>Features, benefits and implications of products offered by the organisation or a specific fund offered by that organisation are explained to the client</w:t>
            </w:r>
          </w:p>
          <w:p w:rsidR="00000000" w:rsidRPr="006B183B" w:rsidP="006B183B">
            <w:pPr>
              <w:pStyle w:val="List2"/>
            </w:pPr>
            <w:r w:rsidRPr="006B183B">
              <w:t>3.2.</w:t>
            </w:r>
            <w:r w:rsidRPr="006B183B">
              <w:tab/>
              <w:t xml:space="preserve">Ancillary benefits and facilities and </w:t>
            </w:r>
            <w:r w:rsidRPr="006B183B">
              <w:rPr>
                <w:rStyle w:val="BoldandItalics"/>
              </w:rPr>
              <w:t>options available in the organisation</w:t>
            </w:r>
            <w:r w:rsidRPr="006B183B">
              <w:t xml:space="preserve"> or a specific fund offe</w:t>
            </w:r>
            <w:r w:rsidRPr="006B183B">
              <w:t>red by that organisation are explained to the client</w:t>
            </w:r>
          </w:p>
          <w:p w:rsidR="00000000" w:rsidRPr="006B183B" w:rsidP="006B183B">
            <w:pPr>
              <w:pStyle w:val="List2"/>
            </w:pPr>
            <w:r w:rsidRPr="006B183B">
              <w:t>3.3.</w:t>
            </w:r>
            <w:r w:rsidRPr="006B183B">
              <w:tab/>
              <w:t>Fees and charges associated with the organisation's funds/products are explained to the client</w:t>
            </w:r>
          </w:p>
          <w:p w:rsidR="00000000" w:rsidP="006B183B">
            <w:pPr>
              <w:pStyle w:val="List2"/>
              <w:rPr>
                <w:lang w:val="en-NZ"/>
              </w:rPr>
            </w:pPr>
            <w:r w:rsidRPr="006B183B">
              <w:t>3.4.</w:t>
            </w:r>
            <w:r w:rsidRPr="006B183B">
              <w:tab/>
              <w:t>Procedures for complaint handling and resolution are explained to the client</w:t>
            </w:r>
          </w:p>
        </w:tc>
      </w:tr>
      <w:tr w:rsidTr="003B773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List"/>
              <w:rPr>
                <w:lang w:val="en-NZ"/>
              </w:rPr>
            </w:pPr>
            <w:r w:rsidRPr="006B183B">
              <w:t>4.</w:t>
            </w:r>
            <w:r w:rsidRPr="006B183B">
              <w:tab/>
              <w:t>Assist with compl</w:t>
            </w:r>
            <w:r w:rsidRPr="006B183B">
              <w:t>ex enquiries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2"/>
            </w:pPr>
            <w:r w:rsidRPr="006B183B">
              <w:t>4.1.</w:t>
            </w:r>
            <w:r w:rsidRPr="006B183B">
              <w:tab/>
              <w:t xml:space="preserve">Procedure for and implications of </w:t>
            </w:r>
            <w:r w:rsidRPr="006B183B">
              <w:rPr>
                <w:rStyle w:val="BoldandItalics"/>
              </w:rPr>
              <w:t>membership changes</w:t>
            </w:r>
            <w:r w:rsidRPr="006B183B">
              <w:t xml:space="preserve"> are explained to the client</w:t>
            </w:r>
          </w:p>
          <w:p w:rsidR="00000000" w:rsidRPr="006B183B" w:rsidP="006B183B">
            <w:pPr>
              <w:pStyle w:val="List2"/>
            </w:pPr>
            <w:r w:rsidRPr="006B183B">
              <w:t>4.2.</w:t>
            </w:r>
            <w:r w:rsidRPr="006B183B">
              <w:tab/>
              <w:t>Conditions associated with fund investment options and ancillary benefits and facilities of funds are explained to the client</w:t>
            </w:r>
          </w:p>
          <w:p w:rsidR="00000000" w:rsidRPr="006B183B" w:rsidP="006B183B">
            <w:pPr>
              <w:pStyle w:val="List2"/>
            </w:pPr>
            <w:r w:rsidRPr="006B183B">
              <w:t>4.3.</w:t>
            </w:r>
            <w:r w:rsidRPr="006B183B">
              <w:tab/>
              <w:t xml:space="preserve">Client understanding </w:t>
            </w:r>
            <w:r w:rsidRPr="006B183B">
              <w:t>of conditions and procedures is checked</w:t>
            </w:r>
          </w:p>
          <w:p w:rsidR="00000000" w:rsidP="006B183B">
            <w:pPr>
              <w:pStyle w:val="List2"/>
              <w:rPr>
                <w:lang w:val="en-NZ"/>
              </w:rPr>
            </w:pPr>
            <w:r w:rsidRPr="006B183B">
              <w:t>4.4.</w:t>
            </w:r>
            <w:r w:rsidRPr="006B183B">
              <w:tab/>
              <w:t>Client requests for membership changes are implemented</w:t>
            </w:r>
          </w:p>
        </w:tc>
      </w:tr>
      <w:tr w:rsidTr="003B773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List"/>
              <w:rPr>
                <w:lang w:val="en-NZ"/>
              </w:rPr>
            </w:pPr>
            <w:r w:rsidRPr="006B183B">
              <w:t>5.</w:t>
            </w:r>
            <w:r w:rsidRPr="006B183B">
              <w:tab/>
              <w:t>Identify areas of advice outside of authority area</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2"/>
            </w:pPr>
            <w:r w:rsidRPr="006B183B">
              <w:t>5.1.</w:t>
            </w:r>
            <w:r w:rsidRPr="006B183B">
              <w:tab/>
              <w:t>Limits of authority to provide information to client are identified using organisation guideline</w:t>
            </w:r>
            <w:r w:rsidRPr="006B183B">
              <w:t>s</w:t>
            </w:r>
          </w:p>
          <w:p w:rsidR="00000000" w:rsidRPr="006B183B" w:rsidP="006B183B">
            <w:pPr>
              <w:pStyle w:val="List2"/>
            </w:pPr>
            <w:r w:rsidRPr="006B183B">
              <w:t>5.2.</w:t>
            </w:r>
            <w:r w:rsidRPr="006B183B">
              <w:tab/>
              <w:t>Clients requiring advice outside of authority area are identified</w:t>
            </w:r>
          </w:p>
          <w:p w:rsidR="00000000" w:rsidRPr="006B183B" w:rsidP="006B183B">
            <w:pPr>
              <w:pStyle w:val="List2"/>
            </w:pPr>
            <w:r w:rsidRPr="006B183B">
              <w:t>5.3.</w:t>
            </w:r>
            <w:r w:rsidRPr="006B183B">
              <w:tab/>
              <w:t>Organisation specialist services resources and/or contacts are identified</w:t>
            </w:r>
          </w:p>
          <w:p w:rsidR="00000000" w:rsidP="006B183B">
            <w:pPr>
              <w:pStyle w:val="List2"/>
              <w:rPr>
                <w:lang w:val="en-NZ"/>
              </w:rPr>
            </w:pPr>
            <w:r w:rsidRPr="006B183B">
              <w:t>5.4.</w:t>
            </w:r>
            <w:r w:rsidRPr="006B183B">
              <w:tab/>
              <w:t xml:space="preserve">Clients are advised to seek specialist services advice to assist with </w:t>
            </w:r>
            <w:r w:rsidRPr="006B183B">
              <w:rPr>
                <w:rStyle w:val="BoldandItalics"/>
              </w:rPr>
              <w:t>planning related enquiries</w:t>
            </w:r>
            <w:r w:rsidRPr="006B183B">
              <w:t xml:space="preserve"> an</w:t>
            </w:r>
            <w:r w:rsidRPr="006B183B">
              <w:t>d decisions</w:t>
            </w:r>
          </w:p>
        </w:tc>
      </w:tr>
      <w:tr w:rsidTr="003B773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List"/>
              <w:rPr>
                <w:lang w:val="en-NZ"/>
              </w:rPr>
            </w:pPr>
            <w:r w:rsidRPr="006B183B">
              <w:t>6.</w:t>
            </w:r>
            <w:r w:rsidRPr="006B183B">
              <w:tab/>
              <w:t>Provide and/or record necessary documentation where required</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2"/>
            </w:pPr>
            <w:r w:rsidRPr="006B183B">
              <w:t>6.1.</w:t>
            </w:r>
            <w:r w:rsidRPr="006B183B">
              <w:tab/>
              <w:t>Client is provided with organisation information materials according to their information needs</w:t>
            </w:r>
          </w:p>
          <w:p w:rsidR="00000000" w:rsidRPr="006B183B" w:rsidP="006B183B">
            <w:pPr>
              <w:pStyle w:val="List2"/>
            </w:pPr>
            <w:r w:rsidRPr="006B183B">
              <w:t>6.2.</w:t>
            </w:r>
            <w:r w:rsidRPr="006B183B">
              <w:tab/>
            </w:r>
            <w:r w:rsidRPr="006B183B">
              <w:t>Other organisation information resources are used to provide product and/or service and/or referral related information to the client if required</w:t>
            </w:r>
          </w:p>
          <w:p w:rsidR="00000000" w:rsidRPr="006B183B" w:rsidP="006B183B">
            <w:pPr>
              <w:pStyle w:val="List2"/>
            </w:pPr>
            <w:r w:rsidRPr="006B183B">
              <w:t>6.3.</w:t>
            </w:r>
            <w:r w:rsidRPr="006B183B">
              <w:tab/>
              <w:t>Client records are created and/or updated where necessary</w:t>
            </w:r>
          </w:p>
          <w:p w:rsidR="00000000" w:rsidRPr="006B183B" w:rsidP="006B183B">
            <w:pPr>
              <w:pStyle w:val="List2"/>
            </w:pPr>
            <w:r w:rsidRPr="006B183B">
              <w:t>6.4.</w:t>
            </w:r>
            <w:r w:rsidRPr="006B183B">
              <w:tab/>
              <w:t>Client documentation, information and hist</w:t>
            </w:r>
            <w:r w:rsidRPr="006B183B">
              <w:t>ories are filed in a format and location readily accessible to other appropriate personnel</w:t>
            </w: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9" w:name="O_80975"/>
      <w:bookmarkEnd w:id="9"/>
      <w:r w:rsidRPr="006B183B">
        <w:t>Required Skills and Knowledge</w:t>
      </w:r>
    </w:p>
    <w:tbl>
      <w:tblPr>
        <w:tblW w:w="0" w:type="auto"/>
        <w:tblLayout w:type="fixed"/>
        <w:tblCellMar>
          <w:left w:w="62" w:type="dxa"/>
          <w:right w:w="62" w:type="dxa"/>
        </w:tblCellMar>
        <w:tblLook w:val="0000"/>
      </w:tblPr>
      <w:tblGrid>
        <w:gridCol w:w="8522"/>
      </w:tblGrid>
      <w:tr w:rsidTr="003B77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REQUIRED SKILLS AND KNOWLEDGE</w:t>
            </w:r>
          </w:p>
        </w:tc>
      </w:tr>
      <w:tr w:rsidTr="003B77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t>This section describes the skills and knowledge required for this unit.</w:t>
            </w:r>
          </w:p>
        </w:tc>
      </w:tr>
      <w:tr w:rsidTr="003B77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Required skills</w:t>
            </w:r>
          </w:p>
        </w:tc>
      </w:tr>
      <w:tr w:rsidTr="003B77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well-developed communication skills to:</w:t>
            </w:r>
          </w:p>
          <w:p w:rsidR="00000000" w:rsidRPr="006B183B" w:rsidP="006B183B">
            <w:pPr>
              <w:pStyle w:val="ListBullet2"/>
            </w:pPr>
            <w:r w:rsidRPr="006B183B">
              <w:t>conduct interview via a range of communication methods such as email, telephone, fax, letters, face to face</w:t>
            </w:r>
          </w:p>
          <w:p w:rsidR="00000000" w:rsidRPr="006B183B" w:rsidP="006B183B">
            <w:pPr>
              <w:pStyle w:val="ListBullet2"/>
            </w:pPr>
            <w:r w:rsidRPr="006B183B">
              <w:t>liaise with others, share information, confirm work requirements, using questioning and active listening as required</w:t>
            </w:r>
          </w:p>
          <w:p w:rsidR="00000000" w:rsidRPr="006B183B" w:rsidP="006B183B">
            <w:pPr>
              <w:pStyle w:val="ListBullet2"/>
            </w:pPr>
            <w:r w:rsidRPr="006B183B">
              <w:t>use language and concepts appropriate to cultural differences</w:t>
            </w:r>
          </w:p>
          <w:p w:rsidR="00000000" w:rsidRPr="006B183B" w:rsidP="006B183B">
            <w:pPr>
              <w:pStyle w:val="ListBullet"/>
            </w:pPr>
            <w:r w:rsidRPr="006B183B">
              <w:t>numeracy and IT skills to:</w:t>
            </w:r>
          </w:p>
          <w:p w:rsidR="00000000" w:rsidRPr="006B183B" w:rsidP="006B183B">
            <w:pPr>
              <w:pStyle w:val="ListBullet2"/>
            </w:pPr>
            <w:r w:rsidRPr="006B183B">
              <w:t>perform calculations related to superannuation f</w:t>
            </w:r>
            <w:r w:rsidRPr="006B183B">
              <w:t>unds</w:t>
            </w:r>
          </w:p>
          <w:p w:rsidR="00000000" w:rsidRPr="006B183B" w:rsidP="006B183B">
            <w:pPr>
              <w:pStyle w:val="ListBullet2"/>
            </w:pPr>
            <w:r w:rsidRPr="006B183B">
              <w:t>access and update account records electronically</w:t>
            </w:r>
          </w:p>
          <w:p w:rsidR="00000000" w:rsidRPr="006B183B" w:rsidP="006B183B">
            <w:pPr>
              <w:pStyle w:val="ListBullet2"/>
            </w:pPr>
            <w:r w:rsidRPr="006B183B">
              <w:t>use internet information</w:t>
            </w:r>
          </w:p>
          <w:p w:rsidR="00000000" w:rsidRPr="006B183B" w:rsidP="006B183B">
            <w:pPr>
              <w:pStyle w:val="ListBullet"/>
            </w:pPr>
            <w:r w:rsidRPr="006B183B">
              <w:t>data analysis and interpretation skills</w:t>
            </w:r>
          </w:p>
          <w:p w:rsidR="00000000" w:rsidRPr="006B183B" w:rsidP="006B183B">
            <w:pPr>
              <w:pStyle w:val="ListBullet"/>
            </w:pPr>
            <w:r w:rsidRPr="006B183B">
              <w:t>highly developed literacy skills to read and interpret documentation from a variety of sources and record and consolidate related inform</w:t>
            </w:r>
            <w:r w:rsidRPr="006B183B">
              <w:t>ation</w:t>
            </w:r>
          </w:p>
          <w:p w:rsidR="00000000" w:rsidRPr="006B183B" w:rsidP="006B183B">
            <w:pPr>
              <w:pStyle w:val="ListBullet"/>
            </w:pPr>
            <w:r w:rsidRPr="006B183B">
              <w:t>interpersonal skills to relate effectively within a team environment</w:t>
            </w:r>
          </w:p>
          <w:p w:rsidR="00000000" w:rsidRPr="006B183B" w:rsidP="006B183B">
            <w:pPr>
              <w:pStyle w:val="ListBullet"/>
            </w:pPr>
            <w:r w:rsidRPr="006B183B">
              <w:t>organisation skills, including the ability to plan and sequence work</w:t>
            </w:r>
          </w:p>
          <w:p w:rsidR="00000000" w:rsidRPr="006B183B" w:rsidP="006B183B">
            <w:pPr>
              <w:pStyle w:val="ListBullet"/>
            </w:pPr>
            <w:r w:rsidRPr="006B183B">
              <w:t>relationship building and sales skills</w:t>
            </w:r>
          </w:p>
          <w:p w:rsidR="00000000" w:rsidRPr="006B183B" w:rsidP="006B183B">
            <w:pPr>
              <w:pStyle w:val="ListBullet"/>
            </w:pPr>
            <w:r w:rsidRPr="006B183B">
              <w:t>problem solving skills related to superannuation clients' needs</w:t>
            </w:r>
          </w:p>
          <w:p w:rsidR="00000000" w:rsidRPr="006B183B" w:rsidP="006B183B">
            <w:pPr>
              <w:pStyle w:val="ListBullet"/>
            </w:pPr>
            <w:r w:rsidRPr="006B183B">
              <w:t>learning skills to maintain knowledge of changes to products and relevant legislation</w:t>
            </w:r>
          </w:p>
          <w:p w:rsidR="00000000" w:rsidRPr="006B183B" w:rsidP="006B183B">
            <w:pPr>
              <w:pStyle w:val="ListBullet"/>
            </w:pPr>
            <w:r w:rsidRPr="006B183B">
              <w:t>judgement skills for forming recommendations in operational situations</w:t>
            </w:r>
          </w:p>
          <w:p w:rsidR="00000000" w:rsidP="006B183B">
            <w:pPr>
              <w:pStyle w:val="ListBullet"/>
              <w:rPr>
                <w:lang w:val="en-NZ"/>
              </w:rPr>
            </w:pPr>
            <w:r w:rsidRPr="006B183B">
              <w:t>management skills for working effectively in a constantly changing environment</w:t>
            </w:r>
          </w:p>
        </w:tc>
      </w:tr>
      <w:tr w:rsidTr="003B77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Required knowledge</w:t>
            </w:r>
          </w:p>
        </w:tc>
      </w:tr>
      <w:tr w:rsidTr="003B77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annuities/pensions, allocated pensions and income stream products and associated risks</w:t>
            </w:r>
          </w:p>
          <w:p w:rsidR="00000000" w:rsidRPr="006B183B" w:rsidP="006B183B">
            <w:pPr>
              <w:pStyle w:val="ListBullet"/>
            </w:pPr>
            <w:r w:rsidRPr="006B183B">
              <w:t>benefit payments and expenses</w:t>
            </w:r>
          </w:p>
          <w:p w:rsidR="00000000" w:rsidRPr="006B183B" w:rsidP="006B183B">
            <w:pPr>
              <w:pStyle w:val="ListBullet"/>
            </w:pPr>
            <w:r w:rsidRPr="006B183B">
              <w:t>Capital Gains Tax (CGT) treatment</w:t>
            </w:r>
          </w:p>
          <w:p w:rsidR="00000000" w:rsidRPr="006B183B" w:rsidP="006B183B">
            <w:pPr>
              <w:pStyle w:val="ListBullet"/>
            </w:pPr>
            <w:r w:rsidRPr="006B183B">
              <w:t>characteristics and structure of a superannuation product</w:t>
            </w:r>
          </w:p>
          <w:p w:rsidR="00000000" w:rsidRPr="006B183B" w:rsidP="006B183B">
            <w:pPr>
              <w:pStyle w:val="ListBullet"/>
            </w:pPr>
            <w:r w:rsidRPr="006B183B">
              <w:t>organisation policy/procedures/requirements a</w:t>
            </w:r>
            <w:r w:rsidRPr="006B183B">
              <w:t>nd complaints handling processes</w:t>
            </w:r>
          </w:p>
          <w:p w:rsidR="00000000" w:rsidRPr="006B183B" w:rsidP="006B183B">
            <w:pPr>
              <w:pStyle w:val="ListBullet"/>
            </w:pPr>
            <w:r w:rsidRPr="006B183B">
              <w:t>death benefits processes</w:t>
            </w:r>
          </w:p>
          <w:p w:rsidR="00000000" w:rsidRPr="006B183B" w:rsidP="006B183B">
            <w:pPr>
              <w:pStyle w:val="ListBullet"/>
            </w:pPr>
            <w:r w:rsidRPr="006B183B">
              <w:t>dealing with employer and employee contributions</w:t>
            </w:r>
          </w:p>
          <w:p w:rsidR="00000000" w:rsidRPr="006B183B" w:rsidP="006B183B">
            <w:pPr>
              <w:pStyle w:val="ListBullet"/>
            </w:pPr>
            <w:r w:rsidRPr="006B183B">
              <w:t>fee structures/administration and management costs</w:t>
            </w:r>
          </w:p>
          <w:p w:rsidR="00000000" w:rsidRPr="006B183B" w:rsidP="006B183B">
            <w:pPr>
              <w:pStyle w:val="ListBullet"/>
            </w:pPr>
            <w:r w:rsidRPr="006B183B">
              <w:t>Financial Services Reform Act (FSRA)</w:t>
            </w:r>
          </w:p>
          <w:p w:rsidR="00000000" w:rsidRPr="006B183B" w:rsidP="006B183B">
            <w:pPr>
              <w:pStyle w:val="ListBullet"/>
            </w:pPr>
            <w:r w:rsidRPr="006B183B">
              <w:t>franking credits</w:t>
            </w:r>
          </w:p>
          <w:p w:rsidR="00000000" w:rsidRPr="006B183B" w:rsidP="006B183B">
            <w:pPr>
              <w:pStyle w:val="ListBullet"/>
            </w:pPr>
            <w:r w:rsidRPr="006B183B">
              <w:t>general sales and marketing techniques</w:t>
            </w:r>
          </w:p>
          <w:p w:rsidR="00000000" w:rsidRPr="006B183B" w:rsidP="006B183B">
            <w:pPr>
              <w:pStyle w:val="ListBullet"/>
            </w:pPr>
            <w:r w:rsidRPr="006B183B">
              <w:t>impact on investment earnings</w:t>
            </w:r>
          </w:p>
          <w:p w:rsidR="00000000" w:rsidRPr="006B183B" w:rsidP="006B183B">
            <w:pPr>
              <w:pStyle w:val="ListBullet"/>
            </w:pPr>
            <w:r w:rsidRPr="006B183B">
              <w:t>investment strategies within superannuation funds</w:t>
            </w:r>
          </w:p>
          <w:p w:rsidR="00000000" w:rsidRPr="006B183B" w:rsidP="006B183B">
            <w:pPr>
              <w:pStyle w:val="ListBullet"/>
            </w:pPr>
            <w:r w:rsidRPr="006B183B">
              <w:t>main features of different types of funds</w:t>
            </w:r>
          </w:p>
          <w:p w:rsidR="00000000" w:rsidRPr="006B183B" w:rsidP="006B183B">
            <w:pPr>
              <w:pStyle w:val="ListBullet"/>
            </w:pPr>
            <w:r w:rsidRPr="006B183B">
              <w:t>preservation rules</w:t>
            </w:r>
          </w:p>
          <w:p w:rsidR="00000000" w:rsidRPr="006B183B" w:rsidP="006B183B">
            <w:pPr>
              <w:pStyle w:val="ListBullet"/>
            </w:pPr>
            <w:r w:rsidRPr="006B183B">
              <w:t>reasonable benefit limits</w:t>
            </w:r>
          </w:p>
          <w:p w:rsidR="00000000" w:rsidRPr="006B183B" w:rsidP="006B183B">
            <w:pPr>
              <w:pStyle w:val="ListBullet"/>
            </w:pPr>
            <w:r w:rsidRPr="006B183B">
              <w:t>relevant legal principles (e.g. Corporations Act, Australian Securities and Investments C</w:t>
            </w:r>
            <w:r w:rsidRPr="006B183B">
              <w:t>ommission (ASIC) Act, Privacy Act)</w:t>
            </w:r>
          </w:p>
          <w:p w:rsidR="00000000" w:rsidRPr="006B183B" w:rsidP="006B183B">
            <w:pPr>
              <w:pStyle w:val="ListBullet"/>
            </w:pPr>
            <w:r w:rsidRPr="006B183B">
              <w:t>relevant legislation and codes of practice</w:t>
            </w:r>
          </w:p>
          <w:p w:rsidR="00000000" w:rsidRPr="006B183B" w:rsidP="006B183B">
            <w:pPr>
              <w:pStyle w:val="ListBullet"/>
            </w:pPr>
            <w:r w:rsidRPr="006B183B">
              <w:t>restrictions on investment strategies</w:t>
            </w:r>
          </w:p>
          <w:p w:rsidR="00000000" w:rsidRPr="006B183B" w:rsidP="006B183B">
            <w:pPr>
              <w:pStyle w:val="ListBullet"/>
            </w:pPr>
            <w:r w:rsidRPr="006B183B">
              <w:t>retirement planning strategies</w:t>
            </w:r>
          </w:p>
          <w:p w:rsidR="00000000" w:rsidRPr="006B183B" w:rsidP="006B183B">
            <w:pPr>
              <w:pStyle w:val="ListBullet"/>
            </w:pPr>
            <w:r w:rsidRPr="006B183B">
              <w:t>roles played by intermediaries and issuers</w:t>
            </w:r>
          </w:p>
          <w:p w:rsidR="00000000" w:rsidRPr="006B183B" w:rsidP="006B183B">
            <w:pPr>
              <w:pStyle w:val="ListBullet"/>
            </w:pPr>
            <w:r w:rsidRPr="006B183B">
              <w:t>rollovers</w:t>
            </w:r>
          </w:p>
          <w:p w:rsidR="00000000" w:rsidRPr="006B183B" w:rsidP="006B183B">
            <w:pPr>
              <w:pStyle w:val="ListBullet"/>
            </w:pPr>
            <w:r w:rsidRPr="006B183B">
              <w:t>social security pension eligibility</w:t>
            </w:r>
          </w:p>
          <w:p w:rsidR="00000000" w:rsidRPr="006B183B" w:rsidP="006B183B">
            <w:pPr>
              <w:pStyle w:val="ListBullet"/>
            </w:pPr>
            <w:r w:rsidRPr="006B183B">
              <w:t>structure of superan</w:t>
            </w:r>
            <w:r w:rsidRPr="006B183B">
              <w:t>nuation plans management and administration of superannuation products</w:t>
            </w:r>
          </w:p>
          <w:p w:rsidR="00000000" w:rsidRPr="006B183B" w:rsidP="006B183B">
            <w:pPr>
              <w:pStyle w:val="ListBullet"/>
            </w:pPr>
            <w:r w:rsidRPr="006B183B">
              <w:t>superannuation surcharge</w:t>
            </w:r>
          </w:p>
          <w:p w:rsidR="00000000" w:rsidRPr="006B183B" w:rsidP="006B183B">
            <w:pPr>
              <w:pStyle w:val="ListBullet"/>
            </w:pPr>
            <w:r w:rsidRPr="006B183B">
              <w:t>tax deductions</w:t>
            </w:r>
          </w:p>
          <w:p w:rsidR="00000000" w:rsidRPr="006B183B" w:rsidP="006B183B">
            <w:pPr>
              <w:pStyle w:val="ListBullet"/>
            </w:pPr>
            <w:r w:rsidRPr="006B183B">
              <w:t>the relationship between ethics and regulatory requirements (e.g. good faith, utmost good faith, full disclosure of remuneration/fees)</w:t>
            </w:r>
          </w:p>
          <w:p w:rsidR="00000000" w:rsidRPr="006B183B" w:rsidP="006B183B">
            <w:pPr>
              <w:pStyle w:val="ListBullet"/>
            </w:pPr>
            <w:r w:rsidRPr="006B183B">
              <w:t>the role o</w:t>
            </w:r>
            <w:r w:rsidRPr="006B183B">
              <w:t>f the representative</w:t>
            </w: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10" w:name="O_80976"/>
      <w:bookmarkEnd w:id="10"/>
      <w:r w:rsidRPr="006B183B">
        <w:t>Evidence Guide</w:t>
      </w:r>
    </w:p>
    <w:tbl>
      <w:tblPr>
        <w:tblW w:w="9570" w:type="dxa"/>
        <w:tblLayout w:type="fixed"/>
        <w:tblCellMar>
          <w:left w:w="62" w:type="dxa"/>
          <w:right w:w="62" w:type="dxa"/>
        </w:tblCellMar>
        <w:tblLook w:val="0000"/>
      </w:tblPr>
      <w:tblGrid>
        <w:gridCol w:w="2808"/>
        <w:gridCol w:w="6762"/>
      </w:tblGrid>
      <w:tr w:rsidTr="003B77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EVIDENCE GUIDE</w:t>
            </w:r>
          </w:p>
        </w:tc>
      </w:tr>
      <w:tr w:rsidTr="003B77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t xml:space="preserve">The Evidence Guide provides advice on assessment and must be read in conjunction with the performance criteria, required skills and knowledge, </w:t>
            </w:r>
            <w:r w:rsidRPr="006B183B">
              <w:t>range statement and the Assessment Guidelines for the Training Package.</w:t>
            </w:r>
          </w:p>
        </w:tc>
      </w:tr>
      <w:tr w:rsidTr="003B77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p>
        </w:tc>
      </w:tr>
      <w:tr w:rsidTr="003B77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r w:rsidRPr="006B183B">
              <w:t>Evidence of the ability to:</w:t>
            </w:r>
          </w:p>
          <w:p w:rsidR="00000000" w:rsidRPr="006B183B" w:rsidP="006B183B">
            <w:pPr>
              <w:pStyle w:val="ListBullet"/>
            </w:pPr>
            <w:r w:rsidRPr="006B183B">
              <w:t>establish relationship with client and inform them of the superannuation process</w:t>
            </w:r>
          </w:p>
          <w:p w:rsidR="00000000" w:rsidRPr="006B183B" w:rsidP="006B183B">
            <w:pPr>
              <w:pStyle w:val="ListBullet"/>
            </w:pPr>
            <w:r w:rsidRPr="006B183B">
              <w:t>refer clients to other organisations/service providers outside areas of authority</w:t>
            </w:r>
          </w:p>
          <w:p w:rsidR="00000000" w:rsidRPr="006B183B" w:rsidP="006B183B">
            <w:pPr>
              <w:pStyle w:val="ListBullet"/>
            </w:pPr>
            <w:r w:rsidRPr="006B183B">
              <w:t>comply with all record and documentation requirements</w:t>
            </w:r>
          </w:p>
          <w:p w:rsidR="00000000" w:rsidP="006B183B">
            <w:pPr>
              <w:pStyle w:val="ListBullet"/>
              <w:rPr>
                <w:lang w:val="en-NZ"/>
              </w:rPr>
            </w:pPr>
            <w:r w:rsidRPr="006B183B">
              <w:t xml:space="preserve">comply with role and advisory capacity </w:t>
            </w:r>
            <w:r w:rsidRPr="006B183B">
              <w:t>limits.</w:t>
            </w:r>
          </w:p>
        </w:tc>
      </w:tr>
      <w:tr w:rsidTr="003B77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r w:rsidRPr="006B183B">
              <w:t>Assessment must ensure:</w:t>
            </w:r>
          </w:p>
          <w:p w:rsidR="00000000" w:rsidRPr="006B183B" w:rsidP="006B183B">
            <w:pPr>
              <w:pStyle w:val="ListBullet"/>
            </w:pPr>
            <w:r w:rsidRPr="006B183B">
              <w:t xml:space="preserve">competency is demonstrated in the context of the work environment and conditions specified in the range statement either in a relevant workplace or a closely simulated work </w:t>
            </w:r>
            <w:r w:rsidRPr="006B183B">
              <w:t>environment</w:t>
            </w:r>
          </w:p>
          <w:p w:rsidR="00000000" w:rsidRPr="006B183B" w:rsidP="006B183B">
            <w:pPr>
              <w:pStyle w:val="ListBullet"/>
            </w:pPr>
            <w:r w:rsidRPr="006B183B">
              <w:t>access to and the use of a range of common office equipment, technology, software and consumables</w:t>
            </w:r>
          </w:p>
          <w:p w:rsidR="00000000" w:rsidRPr="006B183B" w:rsidP="006B183B">
            <w:pPr>
              <w:pStyle w:val="ListBullet"/>
            </w:pPr>
            <w:r w:rsidRPr="006B183B">
              <w:t>access to organisation financial records</w:t>
            </w:r>
          </w:p>
          <w:p w:rsidR="00000000" w:rsidP="006B183B">
            <w:pPr>
              <w:pStyle w:val="ListBullet"/>
              <w:rPr>
                <w:lang w:val="en-NZ"/>
              </w:rPr>
            </w:pPr>
            <w:r w:rsidRPr="006B183B">
              <w:t>access to organisation policies and procedures.</w:t>
            </w:r>
          </w:p>
        </w:tc>
      </w:tr>
      <w:tr w:rsidTr="003B77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r w:rsidRPr="006B183B">
              <w:t>A range of assessment methods should be used to assess practical skills and knowledge. The following examples, in combination, are appropriate for this unit:</w:t>
            </w:r>
          </w:p>
          <w:p w:rsidR="00000000" w:rsidRPr="006B183B" w:rsidP="006B183B">
            <w:pPr>
              <w:pStyle w:val="ListBullet"/>
            </w:pPr>
            <w:r w:rsidRPr="006B183B">
              <w:t>evaluating an integrated activity, which combines the elements of competency for the unit, or a c</w:t>
            </w:r>
            <w:r w:rsidRPr="006B183B">
              <w:t>luster of related units of competency</w:t>
            </w:r>
          </w:p>
          <w:p w:rsidR="00000000" w:rsidRPr="006B183B" w:rsidP="006B183B">
            <w:pPr>
              <w:pStyle w:val="ListBullet"/>
            </w:pPr>
            <w:r w:rsidRPr="006B183B">
              <w:t>observing processes and procedures in workplaces</w:t>
            </w:r>
          </w:p>
          <w:p w:rsidR="00000000" w:rsidRPr="006B183B" w:rsidP="006B183B">
            <w:pPr>
              <w:pStyle w:val="ListBullet"/>
            </w:pPr>
            <w:r w:rsidRPr="006B183B">
              <w:t>verbal or written questioning on underpinning knowledge and skills</w:t>
            </w:r>
          </w:p>
          <w:p w:rsidR="00000000" w:rsidRPr="006B183B" w:rsidP="006B183B">
            <w:pPr>
              <w:pStyle w:val="ListBullet"/>
            </w:pPr>
            <w:r w:rsidRPr="006B183B">
              <w:t>evaluating samples of work</w:t>
            </w:r>
          </w:p>
          <w:p w:rsidR="00000000" w:rsidRPr="006B183B" w:rsidP="006B183B">
            <w:pPr>
              <w:pStyle w:val="ListBullet"/>
            </w:pPr>
            <w:r w:rsidRPr="006B183B">
              <w:t>accessing and validating third party reports</w:t>
            </w:r>
          </w:p>
          <w:p w:rsidR="00000000" w:rsidP="006B183B">
            <w:pPr>
              <w:pStyle w:val="ListBullet"/>
              <w:rPr>
                <w:lang w:val="en-NZ"/>
              </w:rPr>
            </w:pPr>
            <w:r w:rsidRPr="006B183B">
              <w:t>setting and reviewing workplac</w:t>
            </w:r>
            <w:r w:rsidRPr="006B183B">
              <w:t>e business simulations or scenarios.</w:t>
            </w:r>
          </w:p>
        </w:tc>
      </w:tr>
      <w:tr w:rsidTr="003B773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11" w:name="O_80977"/>
      <w:bookmarkEnd w:id="11"/>
      <w:r w:rsidRPr="006B183B">
        <w:t>Range Statement</w:t>
      </w:r>
    </w:p>
    <w:tbl>
      <w:tblPr>
        <w:tblW w:w="0" w:type="auto"/>
        <w:tblLayout w:type="fixed"/>
        <w:tblCellMar>
          <w:left w:w="62" w:type="dxa"/>
          <w:right w:w="62" w:type="dxa"/>
        </w:tblCellMar>
        <w:tblLook w:val="0000"/>
      </w:tblPr>
      <w:tblGrid>
        <w:gridCol w:w="2528"/>
        <w:gridCol w:w="5994"/>
      </w:tblGrid>
      <w:tr w:rsidTr="003B77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RANGE STATEMENT</w:t>
            </w:r>
          </w:p>
        </w:tc>
      </w:tr>
      <w:tr w:rsidTr="003B77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t>The range statement relates to the unit of competency as a whole. It allows for different work environments and situations that may affect performance. Bold italicised wording, if used in the performance criteria, is detailed below. Essential operating con</w:t>
            </w:r>
            <w:r w:rsidRPr="006B183B">
              <w:t>ditions that may be present with training and assessment (depending on the work situation, needs of the candidate, accessibility of the item, and local industry and regional contexts) may also be included.</w:t>
            </w:r>
          </w:p>
        </w:tc>
      </w:tr>
      <w:tr w:rsidTr="003B773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BoldandItalics"/>
              </w:rPr>
              <w:t>Method of communication</w:t>
            </w:r>
            <w:r w:rsidRPr="006B183B">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email</w:t>
            </w:r>
          </w:p>
          <w:p w:rsidR="00000000" w:rsidRPr="006B183B" w:rsidP="006B183B">
            <w:pPr>
              <w:pStyle w:val="ListBullet"/>
            </w:pPr>
            <w:r w:rsidRPr="006B183B">
              <w:t>face-to-face</w:t>
            </w:r>
          </w:p>
          <w:p w:rsidR="00000000" w:rsidRPr="006B183B" w:rsidP="006B183B">
            <w:pPr>
              <w:pStyle w:val="ListBullet"/>
            </w:pPr>
            <w:r w:rsidRPr="006B183B">
              <w:t>facsimile</w:t>
            </w:r>
          </w:p>
          <w:p w:rsidR="00000000" w:rsidRPr="006B183B" w:rsidP="006B183B">
            <w:pPr>
              <w:pStyle w:val="ListBullet"/>
            </w:pPr>
            <w:r w:rsidRPr="006B183B">
              <w:t>letters</w:t>
            </w:r>
          </w:p>
          <w:p w:rsidR="00000000" w:rsidP="006B183B">
            <w:pPr>
              <w:pStyle w:val="ListBullet"/>
              <w:rPr>
                <w:lang w:val="en-NZ"/>
              </w:rPr>
            </w:pPr>
            <w:r w:rsidRPr="006B183B">
              <w:t>telephone.</w:t>
            </w:r>
          </w:p>
        </w:tc>
      </w:tr>
      <w:tr w:rsidTr="003B773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BoldandItalics"/>
              </w:rPr>
              <w:t>Clients</w:t>
            </w:r>
            <w:r w:rsidRPr="006B183B">
              <w:t xml:space="preserve"> refers to:</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members of the public</w:t>
            </w:r>
          </w:p>
          <w:p w:rsidR="00000000" w:rsidP="006B183B">
            <w:pPr>
              <w:pStyle w:val="ListBullet"/>
              <w:rPr>
                <w:lang w:val="en-NZ"/>
              </w:rPr>
            </w:pPr>
            <w:r w:rsidRPr="006B183B">
              <w:t>members of the superannuation fund.</w:t>
            </w:r>
          </w:p>
        </w:tc>
      </w:tr>
      <w:tr w:rsidTr="003B773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BoldandItalics"/>
              </w:rPr>
              <w:t>Clients with special needs</w:t>
            </w:r>
            <w:r w:rsidRPr="006B183B">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clients who demonstrate or who indicate that they have complex financial or superannuation ne</w:t>
            </w:r>
            <w:r w:rsidRPr="006B183B">
              <w:t>eds</w:t>
            </w:r>
          </w:p>
          <w:p w:rsidR="00000000" w:rsidRPr="006B183B" w:rsidP="006B183B">
            <w:pPr>
              <w:pStyle w:val="ListBullet"/>
            </w:pPr>
            <w:r w:rsidRPr="006B183B">
              <w:t>clients who have English as a second language</w:t>
            </w:r>
          </w:p>
          <w:p w:rsidR="00000000" w:rsidRPr="006B183B" w:rsidP="006B183B">
            <w:pPr>
              <w:pStyle w:val="ListBullet"/>
            </w:pPr>
            <w:r w:rsidRPr="006B183B">
              <w:t>people from different cultural backgrounds</w:t>
            </w:r>
          </w:p>
          <w:p w:rsidR="00000000" w:rsidRPr="006B183B" w:rsidP="006B183B">
            <w:pPr>
              <w:pStyle w:val="ListBullet"/>
            </w:pPr>
            <w:r w:rsidRPr="006B183B">
              <w:t>people with a disability</w:t>
            </w:r>
          </w:p>
          <w:p w:rsidR="00000000" w:rsidP="006B183B">
            <w:pPr>
              <w:pStyle w:val="ListBullet"/>
              <w:rPr>
                <w:lang w:val="en-NZ"/>
              </w:rPr>
            </w:pPr>
            <w:r w:rsidRPr="006B183B">
              <w:t>very young or older age groups.</w:t>
            </w:r>
          </w:p>
        </w:tc>
      </w:tr>
      <w:tr w:rsidTr="003B773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BoldandItalics"/>
              </w:rPr>
              <w:t>Confidentiality</w:t>
            </w:r>
            <w:r w:rsidRPr="006B183B">
              <w:t xml:space="preserve"> includes: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any requirements under legislation such as:</w:t>
            </w:r>
          </w:p>
          <w:p w:rsidR="00000000" w:rsidRPr="006B183B" w:rsidP="006B183B">
            <w:pPr>
              <w:pStyle w:val="ListBullet2"/>
            </w:pPr>
            <w:r w:rsidRPr="006B183B">
              <w:t>Consumer Affairs Act</w:t>
            </w:r>
          </w:p>
          <w:p w:rsidR="00000000" w:rsidRPr="006B183B" w:rsidP="006B183B">
            <w:pPr>
              <w:pStyle w:val="ListBullet2"/>
            </w:pPr>
            <w:r w:rsidRPr="006B183B">
              <w:t>Privacy Act</w:t>
            </w:r>
          </w:p>
          <w:p w:rsidR="00000000" w:rsidRPr="006B183B" w:rsidP="006B183B">
            <w:pPr>
              <w:pStyle w:val="ListBullet2"/>
            </w:pPr>
            <w:r w:rsidRPr="006B183B">
              <w:t>Consumer Credit Code</w:t>
            </w:r>
          </w:p>
          <w:p w:rsidR="00000000" w:rsidRPr="006B183B" w:rsidP="006B183B">
            <w:pPr>
              <w:pStyle w:val="ListBullet2"/>
            </w:pPr>
            <w:r w:rsidRPr="006B183B">
              <w:t>industry codes of practice</w:t>
            </w:r>
          </w:p>
          <w:p w:rsidR="00000000" w:rsidP="006B183B">
            <w:pPr>
              <w:pStyle w:val="ListBullet2"/>
              <w:rPr>
                <w:lang w:val="en-NZ"/>
              </w:rPr>
            </w:pPr>
            <w:r w:rsidRPr="006B183B">
              <w:t>standards set out in organisation policies and procedures.</w:t>
            </w:r>
          </w:p>
        </w:tc>
      </w:tr>
      <w:tr w:rsidTr="003B773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BoldandItalics"/>
              </w:rPr>
              <w:t>Different types of funds</w:t>
            </w:r>
            <w:r w:rsidRPr="006B183B">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accumulation funds</w:t>
            </w:r>
          </w:p>
          <w:p w:rsidR="00000000" w:rsidRPr="006B183B" w:rsidP="006B183B">
            <w:pPr>
              <w:pStyle w:val="ListBullet"/>
            </w:pPr>
            <w:r w:rsidRPr="006B183B">
              <w:t>approved deposit funds</w:t>
            </w:r>
          </w:p>
          <w:p w:rsidR="00000000" w:rsidRPr="006B183B" w:rsidP="006B183B">
            <w:pPr>
              <w:pStyle w:val="ListBullet"/>
            </w:pPr>
            <w:r w:rsidRPr="006B183B">
              <w:t>corporate funds</w:t>
            </w:r>
          </w:p>
          <w:p w:rsidR="00000000" w:rsidRPr="006B183B" w:rsidP="006B183B">
            <w:pPr>
              <w:pStyle w:val="ListBullet"/>
            </w:pPr>
            <w:r w:rsidRPr="006B183B">
              <w:t>deferred annuities</w:t>
            </w:r>
          </w:p>
          <w:p w:rsidR="00000000" w:rsidRPr="006B183B" w:rsidP="006B183B">
            <w:pPr>
              <w:pStyle w:val="ListBullet"/>
            </w:pPr>
            <w:r w:rsidRPr="006B183B">
              <w:t>defined benefit funds</w:t>
            </w:r>
          </w:p>
          <w:p w:rsidR="00000000" w:rsidRPr="006B183B" w:rsidP="006B183B">
            <w:pPr>
              <w:pStyle w:val="ListBullet"/>
            </w:pPr>
            <w:r w:rsidRPr="006B183B">
              <w:t>eligible rollover funds</w:t>
            </w:r>
          </w:p>
          <w:p w:rsidR="00000000" w:rsidRPr="006B183B" w:rsidP="006B183B">
            <w:pPr>
              <w:pStyle w:val="ListBullet"/>
            </w:pPr>
            <w:r w:rsidRPr="006B183B">
              <w:t>industry funds</w:t>
            </w:r>
          </w:p>
          <w:p w:rsidR="00000000" w:rsidRPr="006B183B" w:rsidP="006B183B">
            <w:pPr>
              <w:pStyle w:val="ListBullet"/>
            </w:pPr>
            <w:r w:rsidRPr="006B183B">
              <w:t>public sector funds</w:t>
            </w:r>
          </w:p>
          <w:p w:rsidR="00000000" w:rsidRPr="006B183B" w:rsidP="006B183B">
            <w:pPr>
              <w:pStyle w:val="ListBullet"/>
            </w:pPr>
            <w:r w:rsidRPr="006B183B">
              <w:t>retail funds</w:t>
            </w:r>
          </w:p>
          <w:p w:rsidR="00000000" w:rsidRPr="006B183B" w:rsidP="006B183B">
            <w:pPr>
              <w:pStyle w:val="ListBullet"/>
            </w:pPr>
            <w:r w:rsidRPr="006B183B">
              <w:t>retirement savings accounts</w:t>
            </w:r>
          </w:p>
          <w:p w:rsidR="00000000" w:rsidRPr="006B183B" w:rsidP="006B183B">
            <w:pPr>
              <w:pStyle w:val="ListBullet"/>
            </w:pPr>
            <w:r w:rsidRPr="006B183B">
              <w:t>rollover funds</w:t>
            </w:r>
          </w:p>
          <w:p w:rsidR="00000000" w:rsidRPr="006B183B" w:rsidP="006B183B">
            <w:pPr>
              <w:pStyle w:val="ListBullet"/>
            </w:pPr>
            <w:r w:rsidRPr="006B183B">
              <w:t>self-managed superannuation funds</w:t>
            </w:r>
          </w:p>
          <w:p w:rsidR="00000000" w:rsidP="006B183B">
            <w:pPr>
              <w:pStyle w:val="ListBullet"/>
              <w:rPr>
                <w:lang w:val="en-NZ"/>
              </w:rPr>
            </w:pPr>
            <w:r w:rsidRPr="006B183B">
              <w:t>small Australian Prudential Regulation Authority (APRA) funds.</w:t>
            </w:r>
          </w:p>
        </w:tc>
      </w:tr>
      <w:tr w:rsidTr="003B773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BoldandItalics"/>
              </w:rPr>
              <w:t>Options available in the organisation</w:t>
            </w:r>
            <w:r w:rsidRPr="006B183B">
              <w:t xml:space="preserve"> may i</w:t>
            </w:r>
            <w:r w:rsidRPr="006B183B">
              <w:t>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benefit payment options</w:t>
            </w:r>
          </w:p>
          <w:p w:rsidR="00000000" w:rsidRPr="006B183B" w:rsidP="006B183B">
            <w:pPr>
              <w:pStyle w:val="ListBullet"/>
            </w:pPr>
            <w:r w:rsidRPr="006B183B">
              <w:t>different contribution levels</w:t>
            </w:r>
          </w:p>
          <w:p w:rsidR="00000000" w:rsidRPr="006B183B" w:rsidP="006B183B">
            <w:pPr>
              <w:pStyle w:val="ListBullet"/>
            </w:pPr>
            <w:r w:rsidRPr="006B183B">
              <w:t>insurance options</w:t>
            </w:r>
          </w:p>
          <w:p w:rsidR="00000000" w:rsidRPr="006B183B" w:rsidP="006B183B">
            <w:pPr>
              <w:pStyle w:val="ListBullet"/>
            </w:pPr>
            <w:r w:rsidRPr="006B183B">
              <w:t>investment options</w:t>
            </w:r>
          </w:p>
          <w:p w:rsidR="00000000" w:rsidP="006B183B">
            <w:pPr>
              <w:pStyle w:val="ListBullet"/>
              <w:rPr>
                <w:lang w:val="en-NZ"/>
              </w:rPr>
            </w:pPr>
            <w:r w:rsidRPr="006B183B">
              <w:t>minimum contributions.</w:t>
            </w:r>
          </w:p>
        </w:tc>
      </w:tr>
      <w:tr w:rsidTr="003B773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BoldandItalics"/>
              </w:rPr>
              <w:t>Membership changes</w:t>
            </w:r>
            <w:r w:rsidRPr="006B183B">
              <w:t xml:space="preserve"> may include change in: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contributions</w:t>
            </w:r>
          </w:p>
          <w:p w:rsidR="00000000" w:rsidRPr="006B183B" w:rsidP="006B183B">
            <w:pPr>
              <w:pStyle w:val="ListBullet"/>
            </w:pPr>
            <w:r w:rsidRPr="006B183B">
              <w:t>funds</w:t>
            </w:r>
          </w:p>
          <w:p w:rsidR="00000000" w:rsidRPr="006B183B" w:rsidP="006B183B">
            <w:pPr>
              <w:pStyle w:val="ListBullet"/>
            </w:pPr>
            <w:r w:rsidRPr="006B183B">
              <w:t>insurance</w:t>
            </w:r>
          </w:p>
          <w:p w:rsidR="00000000" w:rsidRPr="006B183B" w:rsidP="006B183B">
            <w:pPr>
              <w:pStyle w:val="ListBullet"/>
            </w:pPr>
            <w:r w:rsidRPr="006B183B">
              <w:t>personal circumstances</w:t>
            </w:r>
          </w:p>
          <w:p w:rsidR="00000000" w:rsidP="006B183B">
            <w:pPr>
              <w:pStyle w:val="ListBullet"/>
              <w:rPr>
                <w:lang w:val="en-NZ"/>
              </w:rPr>
            </w:pPr>
            <w:r w:rsidRPr="006B183B">
              <w:t>employment conditions.</w:t>
            </w:r>
          </w:p>
        </w:tc>
      </w:tr>
      <w:tr w:rsidTr="003B773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BoldandItalics"/>
              </w:rPr>
              <w:t>Planning related enquiries</w:t>
            </w:r>
            <w:r w:rsidRPr="006B183B">
              <w:t xml:space="preserve"> and superannuation decisions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ListBullet"/>
            </w:pPr>
            <w:r w:rsidRPr="006B183B">
              <w:t>how much to contribute</w:t>
            </w:r>
          </w:p>
          <w:p w:rsidR="00000000" w:rsidRPr="006B183B" w:rsidP="006B183B">
            <w:pPr>
              <w:pStyle w:val="ListBullet"/>
            </w:pPr>
            <w:r w:rsidRPr="006B183B">
              <w:t>lost accounts</w:t>
            </w:r>
          </w:p>
          <w:p w:rsidR="00000000" w:rsidRPr="006B183B" w:rsidP="006B183B">
            <w:pPr>
              <w:pStyle w:val="ListBullet"/>
            </w:pPr>
            <w:r w:rsidRPr="006B183B">
              <w:t>what level of insurance cover</w:t>
            </w:r>
          </w:p>
          <w:p w:rsidR="00000000" w:rsidRPr="006B183B" w:rsidP="006B183B">
            <w:pPr>
              <w:pStyle w:val="ListBullet"/>
            </w:pPr>
            <w:r w:rsidRPr="006B183B">
              <w:t>when and how to change funds</w:t>
            </w:r>
          </w:p>
          <w:p w:rsidR="00000000" w:rsidRPr="006B183B" w:rsidP="006B183B">
            <w:pPr>
              <w:pStyle w:val="ListBullet"/>
            </w:pPr>
            <w:r w:rsidRPr="006B183B">
              <w:t>which fund options to take</w:t>
            </w:r>
          </w:p>
          <w:p w:rsidR="00000000" w:rsidRPr="006B183B" w:rsidP="006B183B">
            <w:pPr>
              <w:pStyle w:val="ListBullet"/>
            </w:pPr>
            <w:r w:rsidRPr="006B183B">
              <w:t>which fund to join.</w:t>
            </w:r>
          </w:p>
        </w:tc>
      </w:tr>
    </w:tbl>
    <w:p w:rsidR="003B7734" w:rsidP="006B183B">
      <w:pPr>
        <w:pStyle w:val="BodyText"/>
      </w:pPr>
    </w:p>
    <w:p w:rsidR="003B7734" w:rsidP="006B183B">
      <w:pPr>
        <w:pStyle w:val="BodyText"/>
      </w:pPr>
    </w:p>
    <w:p w:rsidR="00000000" w:rsidRPr="006B183B" w:rsidP="006B183B">
      <w:pPr>
        <w:pStyle w:val="Heading1"/>
      </w:pPr>
      <w:bookmarkStart w:id="12" w:name="O_80978"/>
      <w:bookmarkEnd w:id="12"/>
      <w:r w:rsidRPr="006B183B">
        <w:t>Unit Sector(s)</w:t>
      </w:r>
    </w:p>
    <w:tbl>
      <w:tblPr>
        <w:tblW w:w="0" w:type="auto"/>
        <w:tblLayout w:type="fixed"/>
        <w:tblCellMar>
          <w:left w:w="62" w:type="dxa"/>
          <w:right w:w="62" w:type="dxa"/>
        </w:tblCellMar>
        <w:tblLook w:val="0000"/>
      </w:tblPr>
      <w:tblGrid>
        <w:gridCol w:w="2572"/>
        <w:gridCol w:w="5950"/>
      </w:tblGrid>
      <w:tr w:rsidTr="003B773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r w:rsidRPr="006B183B">
              <w:t>Superannuation</w:t>
            </w: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13" w:name="O_156729"/>
      <w:bookmarkEnd w:id="13"/>
      <w:r w:rsidRPr="006B183B">
        <w:t>Competency field</w:t>
      </w:r>
    </w:p>
    <w:tbl>
      <w:tblPr>
        <w:tblW w:w="0" w:type="auto"/>
        <w:tblLayout w:type="fixed"/>
        <w:tblCellMar>
          <w:left w:w="62" w:type="dxa"/>
          <w:right w:w="62" w:type="dxa"/>
        </w:tblCellMar>
        <w:tblLook w:val="0000"/>
      </w:tblPr>
      <w:tblGrid>
        <w:gridCol w:w="2754"/>
        <w:gridCol w:w="5768"/>
      </w:tblGrid>
      <w:tr w:rsidTr="003B773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p>
        </w:tc>
      </w:tr>
    </w:tbl>
    <w:p w:rsidR="00000000" w:rsidRPr="006B183B" w:rsidP="006B183B">
      <w:pPr>
        <w:pStyle w:val="BodyText"/>
      </w:pPr>
    </w:p>
    <w:p w:rsidR="00000000" w:rsidRPr="006B183B" w:rsidP="006B183B">
      <w:pPr>
        <w:pStyle w:val="AllowPageBreak"/>
      </w:pPr>
    </w:p>
    <w:p w:rsidR="00000000" w:rsidRPr="006B183B" w:rsidP="006B183B">
      <w:pPr>
        <w:pStyle w:val="Heading1"/>
      </w:pPr>
      <w:bookmarkStart w:id="14" w:name="O_156728"/>
      <w:bookmarkEnd w:id="14"/>
      <w:r w:rsidRPr="006B183B">
        <w:t>Co-requisite units</w:t>
      </w:r>
    </w:p>
    <w:tbl>
      <w:tblPr>
        <w:tblW w:w="0" w:type="auto"/>
        <w:tblLayout w:type="fixed"/>
        <w:tblCellMar>
          <w:left w:w="62" w:type="dxa"/>
          <w:right w:w="62" w:type="dxa"/>
        </w:tblCellMar>
        <w:tblLook w:val="0000"/>
      </w:tblPr>
      <w:tblGrid>
        <w:gridCol w:w="2629"/>
        <w:gridCol w:w="1324"/>
        <w:gridCol w:w="4569"/>
      </w:tblGrid>
      <w:tr w:rsidTr="003B773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r w:rsidRPr="006B183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83B">
            <w:pPr>
              <w:pStyle w:val="BodyText"/>
              <w:rPr>
                <w:lang w:val="en-NZ"/>
              </w:rPr>
            </w:pPr>
          </w:p>
        </w:tc>
      </w:tr>
      <w:tr w:rsidTr="003B773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83B" w:rsidP="006B183B">
            <w:pPr>
              <w:pStyle w:val="BodyText"/>
            </w:pPr>
          </w:p>
        </w:tc>
      </w:tr>
    </w:tbl>
    <w:p w:rsidR="00000000" w:rsidRPr="006B183B" w:rsidP="006B183B">
      <w:pPr>
        <w:pStyle w:val="BodyText"/>
      </w:pPr>
    </w:p>
    <w:p w:rsidR="00000000" w:rsidRPr="006B183B" w:rsidP="006B183B"/>
    <w:sectPr w:rsidSect="006B18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734" w:rsidP="003B7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34" w:rsidP="006B1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7734" w:rsidP="006B18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7734" w:rsidP="006B18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734" w:rsidP="003B77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34" w:rsidP="006B183B">
    <w:pPr>
      <w:pStyle w:val="Header"/>
      <w:framePr w:wrap="around"/>
    </w:pPr>
    <w:r>
      <w:fldChar w:fldCharType="begin"/>
    </w:r>
    <w:r>
      <w:instrText xml:space="preserve"> TITLE   \* MERGEFORMAT </w:instrText>
    </w:r>
    <w:r>
      <w:fldChar w:fldCharType="separate"/>
    </w:r>
    <w:r>
      <w:t>FNSSUP504A Provide advanced customer service to superannuation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7734" w:rsidP="006B18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E2C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18D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A4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8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183B"/>
    <w:pPr>
      <w:spacing w:before="360" w:after="60"/>
      <w:outlineLvl w:val="0"/>
    </w:pPr>
    <w:rPr>
      <w:sz w:val="32"/>
    </w:rPr>
  </w:style>
  <w:style w:type="paragraph" w:styleId="Heading2">
    <w:name w:val="heading 2"/>
    <w:basedOn w:val="HeadingBase"/>
    <w:next w:val="BodyText"/>
    <w:link w:val="Heading2Char"/>
    <w:qFormat/>
    <w:rsid w:val="006B183B"/>
    <w:pPr>
      <w:keepLines/>
      <w:spacing w:before="240" w:after="120"/>
      <w:outlineLvl w:val="1"/>
    </w:pPr>
    <w:rPr>
      <w:sz w:val="28"/>
      <w:szCs w:val="40"/>
    </w:rPr>
  </w:style>
  <w:style w:type="paragraph" w:styleId="Heading3">
    <w:name w:val="heading 3"/>
    <w:basedOn w:val="HeadingBase"/>
    <w:next w:val="BodyText"/>
    <w:link w:val="Heading3Char"/>
    <w:qFormat/>
    <w:rsid w:val="006B183B"/>
    <w:pPr>
      <w:spacing w:before="180" w:after="120"/>
      <w:outlineLvl w:val="2"/>
    </w:pPr>
    <w:rPr>
      <w:spacing w:val="-10"/>
      <w:kern w:val="32"/>
    </w:rPr>
  </w:style>
  <w:style w:type="paragraph" w:styleId="Heading4">
    <w:name w:val="heading 4"/>
    <w:basedOn w:val="HeadingBase"/>
    <w:next w:val="BodyText"/>
    <w:link w:val="Heading4Char"/>
    <w:qFormat/>
    <w:rsid w:val="006B183B"/>
    <w:pPr>
      <w:spacing w:before="160" w:after="120"/>
      <w:outlineLvl w:val="3"/>
    </w:pPr>
    <w:rPr>
      <w:sz w:val="22"/>
    </w:rPr>
  </w:style>
  <w:style w:type="paragraph" w:styleId="Heading5">
    <w:name w:val="heading 5"/>
    <w:basedOn w:val="HeadingBase"/>
    <w:next w:val="Normal"/>
    <w:link w:val="Heading5Char"/>
    <w:qFormat/>
    <w:rsid w:val="006B183B"/>
    <w:pPr>
      <w:spacing w:before="80"/>
      <w:outlineLvl w:val="4"/>
    </w:pPr>
    <w:rPr>
      <w:color w:val="918585"/>
      <w:sz w:val="20"/>
    </w:rPr>
  </w:style>
  <w:style w:type="paragraph" w:styleId="Heading6">
    <w:name w:val="heading 6"/>
    <w:basedOn w:val="HeadingBase"/>
    <w:next w:val="Normal"/>
    <w:link w:val="Heading6Char"/>
    <w:qFormat/>
    <w:rsid w:val="006B183B"/>
    <w:pPr>
      <w:spacing w:before="60"/>
      <w:outlineLvl w:val="5"/>
    </w:pPr>
    <w:rPr>
      <w:color w:val="918585"/>
      <w:sz w:val="20"/>
    </w:rPr>
  </w:style>
  <w:style w:type="paragraph" w:styleId="Heading7">
    <w:name w:val="heading 7"/>
    <w:basedOn w:val="Normal"/>
    <w:next w:val="Normal"/>
    <w:link w:val="Heading7Char"/>
    <w:qFormat/>
    <w:rsid w:val="006B183B"/>
    <w:pPr>
      <w:ind w:left="720"/>
      <w:outlineLvl w:val="6"/>
    </w:pPr>
    <w:rPr>
      <w:i/>
    </w:rPr>
  </w:style>
  <w:style w:type="paragraph" w:styleId="Heading8">
    <w:name w:val="heading 8"/>
    <w:basedOn w:val="Normal"/>
    <w:next w:val="Normal"/>
    <w:link w:val="Heading8Char"/>
    <w:qFormat/>
    <w:rsid w:val="006B183B"/>
    <w:pPr>
      <w:ind w:left="720"/>
      <w:outlineLvl w:val="7"/>
    </w:pPr>
    <w:rPr>
      <w:i/>
    </w:rPr>
  </w:style>
  <w:style w:type="paragraph" w:styleId="Heading9">
    <w:name w:val="heading 9"/>
    <w:basedOn w:val="Normal"/>
    <w:next w:val="Normal"/>
    <w:link w:val="Heading9Char"/>
    <w:qFormat/>
    <w:rsid w:val="006B183B"/>
    <w:pPr>
      <w:ind w:left="720"/>
      <w:outlineLvl w:val="8"/>
    </w:pPr>
    <w:rPr>
      <w:i/>
    </w:rPr>
  </w:style>
  <w:style w:type="character" w:default="1" w:styleId="DefaultParagraphFont">
    <w:name w:val="Default Paragraph Font"/>
    <w:uiPriority w:val="1"/>
    <w:unhideWhenUsed/>
    <w:rsid w:val="006B1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83B"/>
  </w:style>
  <w:style w:type="character" w:customStyle="1" w:styleId="Heading1Char">
    <w:name w:val="Heading 1 Char"/>
    <w:basedOn w:val="DefaultParagraphFont"/>
    <w:link w:val="Heading1"/>
    <w:rsid w:val="006B183B"/>
    <w:rPr>
      <w:rFonts w:ascii="Times New Roman" w:eastAsia="Times New Roman" w:hAnsi="Times New Roman" w:cs="Times New Roman"/>
      <w:b/>
      <w:sz w:val="32"/>
      <w:szCs w:val="20"/>
      <w:lang w:eastAsia="en-US"/>
    </w:rPr>
  </w:style>
  <w:style w:type="paragraph" w:styleId="BodyText">
    <w:name w:val="Body Text"/>
    <w:basedOn w:val="Normal"/>
    <w:link w:val="BodyTextChar"/>
    <w:rsid w:val="006B18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83B"/>
    <w:rPr>
      <w:rFonts w:ascii="Times New Roman" w:eastAsia="Times New Roman" w:hAnsi="Times New Roman" w:cs="Times New Roman"/>
      <w:sz w:val="24"/>
      <w:lang w:val="en-US" w:eastAsia="en-US"/>
    </w:rPr>
  </w:style>
  <w:style w:type="paragraph" w:styleId="Footer">
    <w:name w:val="footer"/>
    <w:basedOn w:val="Normal"/>
    <w:link w:val="FooterChar"/>
    <w:rsid w:val="006B1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83B"/>
    <w:rPr>
      <w:rFonts w:ascii="Times New Roman" w:eastAsia="Times New Roman" w:hAnsi="Times New Roman" w:cs="Times New Roman"/>
      <w:sz w:val="16"/>
      <w:lang w:val="en-US" w:eastAsia="en-US"/>
    </w:rPr>
  </w:style>
  <w:style w:type="paragraph" w:styleId="List">
    <w:name w:val="List"/>
    <w:basedOn w:val="BodyText"/>
    <w:next w:val="BodyText"/>
    <w:rsid w:val="006B183B"/>
    <w:pPr>
      <w:tabs>
        <w:tab w:val="left" w:pos="340"/>
      </w:tabs>
      <w:spacing w:before="60" w:after="60"/>
      <w:ind w:left="340" w:hanging="340"/>
    </w:pPr>
  </w:style>
  <w:style w:type="paragraph" w:styleId="ListBullet">
    <w:name w:val="List Bullet"/>
    <w:basedOn w:val="List"/>
    <w:rsid w:val="006B183B"/>
    <w:pPr>
      <w:numPr>
        <w:numId w:val="13"/>
      </w:numPr>
      <w:tabs>
        <w:tab w:val="clear" w:pos="340"/>
      </w:tabs>
      <w:spacing w:before="40" w:after="40"/>
    </w:pPr>
  </w:style>
  <w:style w:type="character" w:customStyle="1" w:styleId="SpecialBold">
    <w:name w:val="Special Bold"/>
    <w:basedOn w:val="DefaultParagraphFont"/>
    <w:rsid w:val="006B183B"/>
    <w:rPr>
      <w:b/>
      <w:spacing w:val="0"/>
    </w:rPr>
  </w:style>
  <w:style w:type="paragraph" w:styleId="ListBullet2">
    <w:name w:val="List Bullet 2"/>
    <w:basedOn w:val="List2"/>
    <w:rsid w:val="006B183B"/>
    <w:pPr>
      <w:numPr>
        <w:numId w:val="14"/>
      </w:numPr>
      <w:tabs>
        <w:tab w:val="clear" w:pos="680"/>
      </w:tabs>
    </w:pPr>
  </w:style>
  <w:style w:type="paragraph" w:styleId="Header">
    <w:name w:val="header"/>
    <w:basedOn w:val="Normal"/>
    <w:link w:val="HeaderChar"/>
    <w:rsid w:val="006B1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8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183B"/>
    <w:pPr>
      <w:spacing w:before="240" w:after="120"/>
      <w:outlineLvl w:val="0"/>
    </w:pPr>
    <w:rPr>
      <w:rFonts w:ascii="Times New Roman" w:hAnsi="Times New Roman"/>
      <w:b/>
      <w:sz w:val="28"/>
    </w:rPr>
  </w:style>
  <w:style w:type="paragraph" w:customStyle="1" w:styleId="AllowPageBreak">
    <w:name w:val="AllowPageBreak"/>
    <w:rsid w:val="006B18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183B"/>
    <w:pPr>
      <w:tabs>
        <w:tab w:val="left" w:pos="680"/>
      </w:tabs>
      <w:spacing w:before="60" w:after="60"/>
      <w:ind w:left="680" w:hanging="340"/>
    </w:pPr>
  </w:style>
  <w:style w:type="character" w:customStyle="1" w:styleId="BoldandItalics">
    <w:name w:val="Bold and Italics"/>
    <w:qFormat/>
    <w:rsid w:val="006B183B"/>
    <w:rPr>
      <w:b/>
      <w:i/>
      <w:u w:val="none"/>
    </w:rPr>
  </w:style>
  <w:style w:type="character" w:customStyle="1" w:styleId="Heading2Char">
    <w:name w:val="Heading 2 Char"/>
    <w:basedOn w:val="DefaultParagraphFont"/>
    <w:link w:val="Heading2"/>
    <w:rsid w:val="006B1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8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18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183B"/>
    <w:rPr>
      <w:rFonts w:ascii="Courier New" w:eastAsia="Times New Roman" w:hAnsi="Courier New" w:cs="Times New Roman"/>
      <w:i/>
      <w:szCs w:val="20"/>
      <w:lang w:val="en-US" w:eastAsia="en-US"/>
    </w:rPr>
  </w:style>
  <w:style w:type="paragraph" w:customStyle="1" w:styleId="HeadingBase">
    <w:name w:val="Heading Base"/>
    <w:rsid w:val="006B1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83B"/>
    <w:pPr>
      <w:tabs>
        <w:tab w:val="right" w:leader="dot" w:pos="9072"/>
      </w:tabs>
      <w:ind w:left="567"/>
    </w:pPr>
    <w:rPr>
      <w:szCs w:val="22"/>
    </w:rPr>
  </w:style>
  <w:style w:type="paragraph" w:customStyle="1" w:styleId="TOCBase">
    <w:name w:val="TOC Base"/>
    <w:rsid w:val="006B1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83B"/>
    <w:pPr>
      <w:tabs>
        <w:tab w:val="right" w:leader="dot" w:pos="9072"/>
      </w:tabs>
      <w:spacing w:before="40" w:after="40"/>
      <w:ind w:left="284"/>
    </w:pPr>
    <w:rPr>
      <w:rFonts w:ascii="Times New Roman" w:hAnsi="Times New Roman"/>
    </w:rPr>
  </w:style>
  <w:style w:type="paragraph" w:styleId="TOC1">
    <w:name w:val="toc 1"/>
    <w:basedOn w:val="TOCBase"/>
    <w:next w:val="Normal"/>
    <w:rsid w:val="006B18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83B"/>
    <w:pPr>
      <w:spacing w:before="5040"/>
      <w:jc w:val="center"/>
    </w:pPr>
    <w:rPr>
      <w:sz w:val="48"/>
      <w:szCs w:val="72"/>
      <w:lang w:val="en-US"/>
    </w:rPr>
  </w:style>
  <w:style w:type="character" w:customStyle="1" w:styleId="TitleChar">
    <w:name w:val="Title Char"/>
    <w:basedOn w:val="DefaultParagraphFont"/>
    <w:link w:val="Title"/>
    <w:rsid w:val="006B1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83B"/>
    <w:pPr>
      <w:tabs>
        <w:tab w:val="left" w:pos="3600"/>
        <w:tab w:val="left" w:pos="3958"/>
      </w:tabs>
    </w:pPr>
  </w:style>
  <w:style w:type="paragraph" w:customStyle="1" w:styleId="Note">
    <w:name w:val="Note"/>
    <w:basedOn w:val="BodyText"/>
    <w:rsid w:val="006B18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83B"/>
    <w:pPr>
      <w:framePr w:wrap="auto" w:hAnchor="text" w:y="6049"/>
    </w:pPr>
    <w:rPr>
      <w:color w:val="000000"/>
      <w:sz w:val="40"/>
    </w:rPr>
  </w:style>
  <w:style w:type="paragraph" w:customStyle="1" w:styleId="TOCTitle">
    <w:name w:val="TOCTitle"/>
    <w:basedOn w:val="Heading1"/>
    <w:rsid w:val="006B183B"/>
    <w:pPr>
      <w:spacing w:after="240"/>
      <w:jc w:val="center"/>
      <w:outlineLvl w:val="9"/>
    </w:pPr>
    <w:rPr>
      <w:caps/>
    </w:rPr>
  </w:style>
  <w:style w:type="paragraph" w:customStyle="1" w:styleId="Version">
    <w:name w:val="Version"/>
    <w:rsid w:val="006B18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83B"/>
    <w:pPr>
      <w:keepNext w:val="0"/>
      <w:tabs>
        <w:tab w:val="right" w:pos="4176"/>
      </w:tabs>
      <w:ind w:left="198" w:hanging="198"/>
    </w:pPr>
    <w:rPr>
      <w:rFonts w:ascii="Garamond" w:hAnsi="Garamond"/>
    </w:rPr>
  </w:style>
  <w:style w:type="paragraph" w:styleId="IndexHeading">
    <w:name w:val="index heading"/>
    <w:basedOn w:val="Normal"/>
    <w:next w:val="Index1"/>
    <w:semiHidden/>
    <w:rsid w:val="006B183B"/>
    <w:pPr>
      <w:spacing w:before="120" w:after="120"/>
    </w:pPr>
    <w:rPr>
      <w:rFonts w:ascii="Arial" w:hAnsi="Arial"/>
      <w:b/>
      <w:color w:val="918585"/>
      <w:sz w:val="24"/>
    </w:rPr>
  </w:style>
  <w:style w:type="paragraph" w:customStyle="1" w:styleId="Chapter">
    <w:name w:val="Chapter"/>
    <w:basedOn w:val="Normal"/>
    <w:rsid w:val="006B183B"/>
    <w:pPr>
      <w:spacing w:before="240"/>
    </w:pPr>
    <w:rPr>
      <w:rFonts w:ascii="Times New Roman" w:hAnsi="Times New Roman"/>
      <w:smallCaps/>
      <w:spacing w:val="80"/>
      <w:sz w:val="28"/>
    </w:rPr>
  </w:style>
  <w:style w:type="paragraph" w:customStyle="1" w:styleId="InChapter">
    <w:name w:val="InChapter"/>
    <w:basedOn w:val="Heading3"/>
    <w:rsid w:val="006B183B"/>
    <w:pPr>
      <w:spacing w:after="240"/>
      <w:outlineLvl w:val="9"/>
    </w:pPr>
    <w:rPr>
      <w:noProof/>
    </w:rPr>
  </w:style>
  <w:style w:type="paragraph" w:styleId="Index2">
    <w:name w:val="index 2"/>
    <w:basedOn w:val="Normal"/>
    <w:next w:val="Normal"/>
    <w:semiHidden/>
    <w:rsid w:val="006B183B"/>
    <w:pPr>
      <w:tabs>
        <w:tab w:val="right" w:pos="4176"/>
      </w:tabs>
      <w:ind w:left="568" w:hanging="284"/>
    </w:pPr>
    <w:rPr>
      <w:rFonts w:ascii="Garamond" w:hAnsi="Garamond"/>
    </w:rPr>
  </w:style>
  <w:style w:type="paragraph" w:customStyle="1" w:styleId="Byline">
    <w:name w:val="Byline"/>
    <w:rsid w:val="006B1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83B"/>
    <w:pPr>
      <w:tabs>
        <w:tab w:val="clear" w:pos="3600"/>
        <w:tab w:val="clear" w:pos="3958"/>
      </w:tabs>
      <w:jc w:val="right"/>
    </w:pPr>
  </w:style>
  <w:style w:type="character" w:styleId="Emphasis">
    <w:name w:val="Emphasis"/>
    <w:basedOn w:val="DefaultParagraphFont"/>
    <w:qFormat/>
    <w:rsid w:val="006B183B"/>
    <w:rPr>
      <w:i/>
    </w:rPr>
  </w:style>
  <w:style w:type="paragraph" w:styleId="Caption">
    <w:name w:val="caption"/>
    <w:basedOn w:val="BodyText"/>
    <w:next w:val="Normal"/>
    <w:qFormat/>
    <w:rsid w:val="006B183B"/>
    <w:pPr>
      <w:framePr w:w="2268" w:hSpace="181" w:vSpace="181" w:wrap="around" w:vAnchor="text" w:hAnchor="page" w:x="1135" w:y="285" w:anchorLock="1"/>
    </w:pPr>
    <w:rPr>
      <w:i/>
    </w:rPr>
  </w:style>
  <w:style w:type="paragraph" w:customStyle="1" w:styleId="MiniTOCTitle">
    <w:name w:val="MiniTOCTitle"/>
    <w:basedOn w:val="Heading4"/>
    <w:rsid w:val="006B183B"/>
    <w:pPr>
      <w:spacing w:before="240"/>
      <w:outlineLvl w:val="9"/>
    </w:pPr>
    <w:rPr>
      <w:noProof/>
      <w:sz w:val="24"/>
    </w:rPr>
  </w:style>
  <w:style w:type="paragraph" w:customStyle="1" w:styleId="MiniTOCItem">
    <w:name w:val="MiniTOCItem"/>
    <w:basedOn w:val="ListBullet"/>
    <w:rsid w:val="006B183B"/>
    <w:pPr>
      <w:numPr>
        <w:numId w:val="0"/>
      </w:numPr>
      <w:tabs>
        <w:tab w:val="right" w:leader="dot" w:pos="6521"/>
      </w:tabs>
      <w:spacing w:before="0" w:after="0"/>
    </w:pPr>
  </w:style>
  <w:style w:type="paragraph" w:customStyle="1" w:styleId="TOFTitle">
    <w:name w:val="TOFTitle"/>
    <w:basedOn w:val="TOCTitle"/>
    <w:rsid w:val="006B183B"/>
  </w:style>
  <w:style w:type="paragraph" w:styleId="TableofFigures">
    <w:name w:val="table of figures"/>
    <w:basedOn w:val="Normal"/>
    <w:next w:val="Normal"/>
    <w:semiHidden/>
    <w:rsid w:val="006B183B"/>
    <w:pPr>
      <w:tabs>
        <w:tab w:val="right" w:leader="dot" w:pos="9072"/>
      </w:tabs>
      <w:ind w:left="970" w:hanging="403"/>
    </w:pPr>
    <w:rPr>
      <w:rFonts w:ascii="Times New Roman" w:hAnsi="Times New Roman"/>
      <w:b/>
    </w:rPr>
  </w:style>
  <w:style w:type="paragraph" w:styleId="ListNumber">
    <w:name w:val="List Number"/>
    <w:basedOn w:val="List"/>
    <w:rsid w:val="006B183B"/>
    <w:pPr>
      <w:numPr>
        <w:numId w:val="11"/>
      </w:numPr>
    </w:pPr>
  </w:style>
  <w:style w:type="character" w:customStyle="1" w:styleId="WingdingSymbols">
    <w:name w:val="Wingding Symbols"/>
    <w:rsid w:val="006B183B"/>
    <w:rPr>
      <w:rFonts w:ascii="Wingdings" w:hAnsi="Wingdings"/>
    </w:rPr>
  </w:style>
  <w:style w:type="paragraph" w:customStyle="1" w:styleId="TableHeading">
    <w:name w:val="Table Heading"/>
    <w:basedOn w:val="HeadingBase"/>
    <w:rsid w:val="006B183B"/>
    <w:pPr>
      <w:keepLines/>
      <w:pBdr>
        <w:bottom w:val="single" w:sz="6" w:space="1" w:color="918585"/>
      </w:pBdr>
      <w:spacing w:before="240"/>
    </w:pPr>
  </w:style>
  <w:style w:type="character" w:customStyle="1" w:styleId="HotSpot">
    <w:name w:val="HotSpot"/>
    <w:rsid w:val="006B183B"/>
    <w:rPr>
      <w:color w:val="0033CC"/>
      <w:u w:val="none"/>
    </w:rPr>
  </w:style>
  <w:style w:type="paragraph" w:customStyle="1" w:styleId="BodyTextRight">
    <w:name w:val="Body Text Right"/>
    <w:basedOn w:val="BodyText"/>
    <w:rsid w:val="006B183B"/>
    <w:pPr>
      <w:spacing w:before="0" w:after="0"/>
      <w:jc w:val="right"/>
    </w:pPr>
  </w:style>
  <w:style w:type="paragraph" w:styleId="Index3">
    <w:name w:val="index 3"/>
    <w:basedOn w:val="ListNumber2"/>
    <w:next w:val="Normal"/>
    <w:semiHidden/>
    <w:rsid w:val="006B183B"/>
    <w:pPr>
      <w:numPr>
        <w:numId w:val="0"/>
      </w:numPr>
      <w:tabs>
        <w:tab w:val="right" w:leader="dot" w:pos="4176"/>
      </w:tabs>
    </w:pPr>
  </w:style>
  <w:style w:type="paragraph" w:styleId="ListNumber2">
    <w:name w:val="List Number 2"/>
    <w:basedOn w:val="List2"/>
    <w:rsid w:val="006B183B"/>
    <w:pPr>
      <w:numPr>
        <w:numId w:val="10"/>
      </w:numPr>
      <w:tabs>
        <w:tab w:val="clear" w:pos="1060"/>
      </w:tabs>
    </w:pPr>
  </w:style>
  <w:style w:type="paragraph" w:customStyle="1" w:styleId="MarginNote">
    <w:name w:val="Margin Note"/>
    <w:basedOn w:val="BodyText"/>
    <w:rsid w:val="006B1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8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183B"/>
    <w:rPr>
      <w:sz w:val="32"/>
    </w:rPr>
  </w:style>
  <w:style w:type="paragraph" w:customStyle="1" w:styleId="HeadingProcedure">
    <w:name w:val="Heading Procedure"/>
    <w:basedOn w:val="HeadingBase"/>
    <w:next w:val="Normal"/>
    <w:rsid w:val="006B183B"/>
    <w:pPr>
      <w:tabs>
        <w:tab w:val="left" w:pos="0"/>
      </w:tabs>
      <w:spacing w:before="120" w:after="60"/>
    </w:pPr>
    <w:rPr>
      <w:i/>
      <w:color w:val="918585"/>
      <w:sz w:val="22"/>
    </w:rPr>
  </w:style>
  <w:style w:type="paragraph" w:customStyle="1" w:styleId="TableBodyText">
    <w:name w:val="Table Body Text"/>
    <w:basedOn w:val="BodyText"/>
    <w:rsid w:val="006B183B"/>
    <w:pPr>
      <w:spacing w:before="60" w:after="60"/>
    </w:pPr>
  </w:style>
  <w:style w:type="paragraph" w:styleId="ListContinue">
    <w:name w:val="List Continue"/>
    <w:basedOn w:val="List"/>
    <w:rsid w:val="006B183B"/>
    <w:pPr>
      <w:ind w:firstLine="0"/>
    </w:pPr>
  </w:style>
  <w:style w:type="paragraph" w:customStyle="1" w:styleId="ListNote">
    <w:name w:val="List Note"/>
    <w:basedOn w:val="List"/>
    <w:rsid w:val="006B183B"/>
    <w:pPr>
      <w:pBdr>
        <w:top w:val="single" w:sz="6" w:space="2" w:color="918585"/>
        <w:bottom w:val="single" w:sz="6" w:space="2" w:color="918585"/>
      </w:pBdr>
      <w:tabs>
        <w:tab w:val="left" w:pos="1021"/>
      </w:tabs>
      <w:ind w:firstLine="0"/>
    </w:pPr>
  </w:style>
  <w:style w:type="paragraph" w:customStyle="1" w:styleId="Warning">
    <w:name w:val="Warning"/>
    <w:basedOn w:val="BodyText"/>
    <w:rsid w:val="006B183B"/>
    <w:pPr>
      <w:shd w:val="clear" w:color="auto" w:fill="D9D9D9"/>
      <w:tabs>
        <w:tab w:val="left" w:pos="992"/>
      </w:tabs>
      <w:ind w:left="119" w:right="119"/>
    </w:pPr>
    <w:rPr>
      <w:sz w:val="20"/>
    </w:rPr>
  </w:style>
  <w:style w:type="paragraph" w:customStyle="1" w:styleId="MarginIcons">
    <w:name w:val="Margin Icons"/>
    <w:basedOn w:val="BodyText"/>
    <w:rsid w:val="006B1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83B"/>
    <w:rPr>
      <w:rFonts w:ascii="Courier New" w:hAnsi="Courier New"/>
    </w:rPr>
  </w:style>
  <w:style w:type="paragraph" w:customStyle="1" w:styleId="NoteBullet">
    <w:name w:val="Note Bullet"/>
    <w:basedOn w:val="Note"/>
    <w:rsid w:val="006B183B"/>
    <w:pPr>
      <w:tabs>
        <w:tab w:val="clear" w:pos="680"/>
      </w:tabs>
      <w:spacing w:before="60" w:after="60"/>
    </w:pPr>
  </w:style>
  <w:style w:type="paragraph" w:customStyle="1" w:styleId="SubHeading2">
    <w:name w:val="SubHeading2"/>
    <w:basedOn w:val="HeadingBase"/>
    <w:rsid w:val="006B183B"/>
    <w:pPr>
      <w:spacing w:before="240" w:after="60"/>
    </w:pPr>
    <w:rPr>
      <w:sz w:val="20"/>
    </w:rPr>
  </w:style>
  <w:style w:type="paragraph" w:customStyle="1" w:styleId="SubHeading1">
    <w:name w:val="SubHeading1"/>
    <w:basedOn w:val="HeadingBase"/>
    <w:rsid w:val="006B183B"/>
    <w:pPr>
      <w:spacing w:before="240" w:after="60"/>
    </w:pPr>
    <w:rPr>
      <w:color w:val="918585"/>
      <w:sz w:val="22"/>
    </w:rPr>
  </w:style>
  <w:style w:type="paragraph" w:customStyle="1" w:styleId="SideHeading">
    <w:name w:val="Side Heading"/>
    <w:basedOn w:val="HeadingBase"/>
    <w:rsid w:val="006B1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83B"/>
    <w:pPr>
      <w:numPr>
        <w:numId w:val="12"/>
      </w:numPr>
    </w:pPr>
  </w:style>
  <w:style w:type="paragraph" w:styleId="PlainText">
    <w:name w:val="Plain Text"/>
    <w:basedOn w:val="Normal"/>
    <w:link w:val="PlainTextChar"/>
    <w:rsid w:val="006B183B"/>
    <w:rPr>
      <w:sz w:val="20"/>
    </w:rPr>
  </w:style>
  <w:style w:type="character" w:customStyle="1" w:styleId="PlainTextChar">
    <w:name w:val="Plain Text Char"/>
    <w:basedOn w:val="DefaultParagraphFont"/>
    <w:link w:val="PlainText"/>
    <w:rsid w:val="006B18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183B"/>
    <w:rPr>
      <w:b/>
      <w:smallCaps/>
    </w:rPr>
  </w:style>
  <w:style w:type="paragraph" w:customStyle="1" w:styleId="TableListNumber">
    <w:name w:val="Table List Number"/>
    <w:basedOn w:val="ListNumber"/>
    <w:rsid w:val="006B183B"/>
    <w:pPr>
      <w:numPr>
        <w:numId w:val="0"/>
      </w:numPr>
    </w:pPr>
  </w:style>
  <w:style w:type="paragraph" w:styleId="TOC4">
    <w:name w:val="toc 4"/>
    <w:basedOn w:val="TOCBase"/>
    <w:next w:val="Normal"/>
    <w:semiHidden/>
    <w:rsid w:val="006B183B"/>
    <w:pPr>
      <w:tabs>
        <w:tab w:val="right" w:leader="dot" w:pos="9071"/>
      </w:tabs>
      <w:ind w:left="1701"/>
    </w:pPr>
  </w:style>
  <w:style w:type="paragraph" w:customStyle="1" w:styleId="ListAlpha">
    <w:name w:val="List Alpha"/>
    <w:basedOn w:val="List"/>
    <w:rsid w:val="006B183B"/>
    <w:pPr>
      <w:numPr>
        <w:numId w:val="9"/>
      </w:numPr>
    </w:pPr>
  </w:style>
  <w:style w:type="paragraph" w:customStyle="1" w:styleId="ListAlpha2">
    <w:name w:val="List Alpha 2"/>
    <w:basedOn w:val="List2"/>
    <w:rsid w:val="006B183B"/>
    <w:pPr>
      <w:numPr>
        <w:numId w:val="8"/>
      </w:numPr>
    </w:pPr>
  </w:style>
  <w:style w:type="paragraph" w:styleId="List3">
    <w:name w:val="List 3"/>
    <w:basedOn w:val="BodyText"/>
    <w:rsid w:val="006B183B"/>
    <w:pPr>
      <w:tabs>
        <w:tab w:val="left" w:pos="1021"/>
      </w:tabs>
      <w:spacing w:before="60" w:after="60"/>
      <w:ind w:left="1020" w:hanging="340"/>
    </w:pPr>
  </w:style>
  <w:style w:type="paragraph" w:styleId="List4">
    <w:name w:val="List 4"/>
    <w:basedOn w:val="BodyText"/>
    <w:rsid w:val="006B183B"/>
    <w:pPr>
      <w:tabs>
        <w:tab w:val="left" w:pos="1361"/>
      </w:tabs>
      <w:spacing w:before="60" w:after="60"/>
      <w:ind w:left="1361" w:hanging="340"/>
    </w:pPr>
  </w:style>
  <w:style w:type="paragraph" w:styleId="List5">
    <w:name w:val="List 5"/>
    <w:basedOn w:val="BodyText"/>
    <w:rsid w:val="006B183B"/>
    <w:pPr>
      <w:tabs>
        <w:tab w:val="left" w:pos="1701"/>
      </w:tabs>
      <w:spacing w:before="60" w:after="60"/>
      <w:ind w:left="1701" w:hanging="340"/>
    </w:pPr>
  </w:style>
  <w:style w:type="paragraph" w:styleId="ListBullet3">
    <w:name w:val="List Bullet 3"/>
    <w:basedOn w:val="List3"/>
    <w:rsid w:val="006B183B"/>
    <w:pPr>
      <w:numPr>
        <w:numId w:val="15"/>
      </w:numPr>
      <w:tabs>
        <w:tab w:val="clear" w:pos="1021"/>
      </w:tabs>
      <w:ind w:left="1037" w:hanging="357"/>
    </w:pPr>
  </w:style>
  <w:style w:type="paragraph" w:styleId="ListBullet4">
    <w:name w:val="List Bullet 4"/>
    <w:basedOn w:val="List4"/>
    <w:rsid w:val="006B183B"/>
    <w:pPr>
      <w:numPr>
        <w:numId w:val="3"/>
      </w:numPr>
    </w:pPr>
  </w:style>
  <w:style w:type="paragraph" w:styleId="ListBullet5">
    <w:name w:val="List Bullet 5"/>
    <w:basedOn w:val="List5"/>
    <w:rsid w:val="006B183B"/>
    <w:pPr>
      <w:numPr>
        <w:numId w:val="4"/>
      </w:numPr>
    </w:pPr>
  </w:style>
  <w:style w:type="paragraph" w:styleId="ListContinue2">
    <w:name w:val="List Continue 2"/>
    <w:basedOn w:val="List2"/>
    <w:rsid w:val="006B183B"/>
    <w:pPr>
      <w:ind w:firstLine="0"/>
    </w:pPr>
  </w:style>
  <w:style w:type="paragraph" w:styleId="ListContinue3">
    <w:name w:val="List Continue 3"/>
    <w:basedOn w:val="List3"/>
    <w:rsid w:val="006B183B"/>
    <w:pPr>
      <w:ind w:left="1021" w:firstLine="0"/>
    </w:pPr>
  </w:style>
  <w:style w:type="paragraph" w:styleId="ListContinue4">
    <w:name w:val="List Continue 4"/>
    <w:basedOn w:val="List4"/>
    <w:rsid w:val="006B183B"/>
    <w:pPr>
      <w:ind w:firstLine="0"/>
    </w:pPr>
  </w:style>
  <w:style w:type="paragraph" w:styleId="ListContinue5">
    <w:name w:val="List Continue 5"/>
    <w:basedOn w:val="List5"/>
    <w:rsid w:val="006B183B"/>
    <w:pPr>
      <w:ind w:firstLine="0"/>
    </w:pPr>
  </w:style>
  <w:style w:type="paragraph" w:styleId="ListNumber3">
    <w:name w:val="List Number 3"/>
    <w:basedOn w:val="List3"/>
    <w:rsid w:val="006B183B"/>
    <w:pPr>
      <w:numPr>
        <w:numId w:val="5"/>
      </w:numPr>
    </w:pPr>
  </w:style>
  <w:style w:type="paragraph" w:styleId="ListNumber4">
    <w:name w:val="List Number 4"/>
    <w:basedOn w:val="List4"/>
    <w:rsid w:val="006B183B"/>
    <w:pPr>
      <w:numPr>
        <w:numId w:val="6"/>
      </w:numPr>
    </w:pPr>
  </w:style>
  <w:style w:type="paragraph" w:styleId="ListNumber5">
    <w:name w:val="List Number 5"/>
    <w:basedOn w:val="List5"/>
    <w:rsid w:val="006B183B"/>
    <w:pPr>
      <w:numPr>
        <w:numId w:val="7"/>
      </w:numPr>
    </w:pPr>
  </w:style>
  <w:style w:type="paragraph" w:styleId="BlockText">
    <w:name w:val="Block Text"/>
    <w:basedOn w:val="Normal"/>
    <w:rsid w:val="006B183B"/>
    <w:pPr>
      <w:spacing w:after="120"/>
      <w:ind w:left="1440" w:right="1440"/>
    </w:pPr>
  </w:style>
  <w:style w:type="character" w:customStyle="1" w:styleId="Subscript">
    <w:name w:val="Subscript"/>
    <w:basedOn w:val="DefaultParagraphFont"/>
    <w:rsid w:val="006B183B"/>
    <w:rPr>
      <w:sz w:val="16"/>
      <w:vertAlign w:val="subscript"/>
    </w:rPr>
  </w:style>
  <w:style w:type="character" w:customStyle="1" w:styleId="Superscript">
    <w:name w:val="Superscript"/>
    <w:basedOn w:val="DefaultParagraphFont"/>
    <w:rsid w:val="006B183B"/>
    <w:rPr>
      <w:sz w:val="16"/>
      <w:vertAlign w:val="superscript"/>
    </w:rPr>
  </w:style>
  <w:style w:type="character" w:customStyle="1" w:styleId="Symbols">
    <w:name w:val="Symbols"/>
    <w:basedOn w:val="DefaultParagraphFont"/>
    <w:rsid w:val="006B183B"/>
    <w:rPr>
      <w:rFonts w:ascii="Symbol" w:hAnsi="Symbol"/>
    </w:rPr>
  </w:style>
  <w:style w:type="character" w:customStyle="1" w:styleId="MenuOptions">
    <w:name w:val="Menu Options"/>
    <w:basedOn w:val="DefaultParagraphFont"/>
    <w:rsid w:val="006B183B"/>
    <w:rPr>
      <w:rFonts w:ascii="Arial Narrow" w:hAnsi="Arial Narrow"/>
      <w:smallCaps/>
    </w:rPr>
  </w:style>
  <w:style w:type="character" w:customStyle="1" w:styleId="Buttons">
    <w:name w:val="Buttons"/>
    <w:basedOn w:val="DefaultParagraphFont"/>
    <w:rsid w:val="006B183B"/>
    <w:rPr>
      <w:b/>
    </w:rPr>
  </w:style>
  <w:style w:type="character" w:customStyle="1" w:styleId="Underlined">
    <w:name w:val="Underlined"/>
    <w:basedOn w:val="DefaultParagraphFont"/>
    <w:rsid w:val="006B183B"/>
    <w:rPr>
      <w:u w:val="single"/>
    </w:rPr>
  </w:style>
  <w:style w:type="paragraph" w:customStyle="1" w:styleId="TableBodyTextRight">
    <w:name w:val="Table Body Text Right"/>
    <w:basedOn w:val="TableBodyText"/>
    <w:rsid w:val="006B183B"/>
    <w:pPr>
      <w:widowControl w:val="0"/>
      <w:autoSpaceDE w:val="0"/>
      <w:autoSpaceDN w:val="0"/>
      <w:adjustRightInd w:val="0"/>
      <w:jc w:val="right"/>
    </w:pPr>
    <w:rPr>
      <w:rFonts w:cs="Arial"/>
      <w:szCs w:val="18"/>
    </w:rPr>
  </w:style>
  <w:style w:type="paragraph" w:customStyle="1" w:styleId="CopyrightText">
    <w:name w:val="Copyright Text"/>
    <w:basedOn w:val="BodyText"/>
    <w:rsid w:val="006B183B"/>
    <w:rPr>
      <w:sz w:val="18"/>
    </w:rPr>
  </w:style>
  <w:style w:type="paragraph" w:customStyle="1" w:styleId="BodySmallRight">
    <w:name w:val="Body Small Right"/>
    <w:basedOn w:val="BodyTextRight"/>
    <w:rsid w:val="006B183B"/>
    <w:rPr>
      <w:sz w:val="18"/>
      <w:szCs w:val="18"/>
    </w:rPr>
  </w:style>
  <w:style w:type="paragraph" w:customStyle="1" w:styleId="MarginEdition">
    <w:name w:val="Margin Edition"/>
    <w:basedOn w:val="MarginNote"/>
    <w:rsid w:val="006B183B"/>
    <w:pPr>
      <w:spacing w:before="0" w:after="0"/>
    </w:pPr>
    <w:rPr>
      <w:rFonts w:ascii="Times New Roman" w:hAnsi="Times New Roman"/>
      <w:color w:val="999999"/>
    </w:rPr>
  </w:style>
  <w:style w:type="paragraph" w:customStyle="1" w:styleId="Spacer">
    <w:name w:val="Spacer"/>
    <w:basedOn w:val="Normal"/>
    <w:rsid w:val="006B183B"/>
    <w:rPr>
      <w:sz w:val="2"/>
      <w:szCs w:val="2"/>
    </w:rPr>
  </w:style>
  <w:style w:type="character" w:customStyle="1" w:styleId="Small">
    <w:name w:val="Small"/>
    <w:basedOn w:val="DefaultParagraphFont"/>
    <w:rsid w:val="006B183B"/>
    <w:rPr>
      <w:sz w:val="16"/>
    </w:rPr>
  </w:style>
  <w:style w:type="paragraph" w:customStyle="1" w:styleId="WideTable">
    <w:name w:val="Wide Table"/>
    <w:basedOn w:val="Normal"/>
    <w:rsid w:val="006B183B"/>
    <w:pPr>
      <w:ind w:left="-1418"/>
    </w:pPr>
    <w:rPr>
      <w:sz w:val="2"/>
      <w:szCs w:val="2"/>
    </w:rPr>
  </w:style>
  <w:style w:type="character" w:styleId="PageNumber">
    <w:name w:val="page number"/>
    <w:basedOn w:val="DefaultParagraphFont"/>
    <w:rsid w:val="006B183B"/>
  </w:style>
  <w:style w:type="paragraph" w:styleId="Quote">
    <w:name w:val="Quote"/>
    <w:basedOn w:val="Heading1"/>
    <w:link w:val="QuoteChar"/>
    <w:qFormat/>
    <w:rsid w:val="006B183B"/>
    <w:rPr>
      <w:b w:val="0"/>
      <w:sz w:val="72"/>
      <w:szCs w:val="72"/>
      <w:lang w:val="en-NZ"/>
    </w:rPr>
  </w:style>
  <w:style w:type="character" w:customStyle="1" w:styleId="QuoteChar">
    <w:name w:val="Quote Char"/>
    <w:basedOn w:val="DefaultParagraphFont"/>
    <w:link w:val="Quote"/>
    <w:rsid w:val="006B1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83B"/>
    <w:pPr>
      <w:pageBreakBefore/>
    </w:pPr>
  </w:style>
  <w:style w:type="paragraph" w:customStyle="1" w:styleId="Border">
    <w:name w:val="Border"/>
    <w:basedOn w:val="Normal"/>
    <w:qFormat/>
    <w:rsid w:val="006B1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83B"/>
    <w:rPr>
      <w:b/>
      <w:bCs/>
      <w:i/>
      <w:iCs/>
      <w:color w:val="auto"/>
    </w:rPr>
  </w:style>
  <w:style w:type="paragraph" w:styleId="IntenseQuote">
    <w:name w:val="Intense Quote"/>
    <w:basedOn w:val="Normal"/>
    <w:next w:val="Normal"/>
    <w:link w:val="IntenseQuoteChar"/>
    <w:uiPriority w:val="30"/>
    <w:qFormat/>
    <w:rsid w:val="006B1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8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183B"/>
    <w:rPr>
      <w:smallCaps/>
      <w:color w:val="auto"/>
      <w:u w:val="single"/>
    </w:rPr>
  </w:style>
  <w:style w:type="character" w:styleId="IntenseReference">
    <w:name w:val="Intense Reference"/>
    <w:basedOn w:val="DefaultParagraphFont"/>
    <w:uiPriority w:val="32"/>
    <w:qFormat/>
    <w:rsid w:val="006B183B"/>
    <w:rPr>
      <w:b/>
      <w:bCs/>
      <w:smallCaps/>
      <w:color w:val="auto"/>
      <w:spacing w:val="5"/>
      <w:u w:val="single"/>
    </w:rPr>
  </w:style>
  <w:style w:type="paragraph" w:customStyle="1" w:styleId="2ColumnHeading">
    <w:name w:val="2Column Heading"/>
    <w:basedOn w:val="BodyText"/>
    <w:qFormat/>
    <w:rsid w:val="006B183B"/>
    <w:pPr>
      <w:spacing w:after="60"/>
      <w:ind w:left="-2268"/>
    </w:pPr>
    <w:rPr>
      <w:b/>
    </w:rPr>
  </w:style>
  <w:style w:type="paragraph" w:customStyle="1" w:styleId="Heading1TOC">
    <w:name w:val="Heading1 TOC"/>
    <w:basedOn w:val="Normal"/>
    <w:qFormat/>
    <w:rsid w:val="006B183B"/>
    <w:pPr>
      <w:spacing w:before="240" w:after="120"/>
    </w:pPr>
    <w:rPr>
      <w:rFonts w:ascii="Times New Roman" w:hAnsi="Times New Roman"/>
      <w:b/>
      <w:sz w:val="32"/>
    </w:rPr>
  </w:style>
  <w:style w:type="paragraph" w:customStyle="1" w:styleId="Heading2TOC">
    <w:name w:val="Heading2 TOC"/>
    <w:basedOn w:val="Normal"/>
    <w:qFormat/>
    <w:rsid w:val="006B183B"/>
    <w:pPr>
      <w:spacing w:before="240" w:after="60"/>
    </w:pPr>
    <w:rPr>
      <w:rFonts w:ascii="Times New Roman" w:hAnsi="Times New Roman"/>
      <w:b/>
      <w:sz w:val="28"/>
    </w:rPr>
  </w:style>
  <w:style w:type="character" w:customStyle="1" w:styleId="Underline">
    <w:name w:val="Underline"/>
    <w:basedOn w:val="DefaultParagraphFont"/>
    <w:qFormat/>
    <w:rsid w:val="006B183B"/>
    <w:rPr>
      <w:u w:val="single"/>
    </w:rPr>
  </w:style>
  <w:style w:type="paragraph" w:styleId="BalloonText">
    <w:name w:val="Balloon Text"/>
    <w:basedOn w:val="Normal"/>
    <w:link w:val="BalloonTextChar"/>
    <w:rsid w:val="006B183B"/>
    <w:rPr>
      <w:rFonts w:ascii="Tahoma" w:hAnsi="Tahoma" w:cs="Tahoma"/>
      <w:sz w:val="16"/>
      <w:szCs w:val="16"/>
    </w:rPr>
  </w:style>
  <w:style w:type="character" w:customStyle="1" w:styleId="BalloonTextChar">
    <w:name w:val="Balloon Text Char"/>
    <w:basedOn w:val="DefaultParagraphFont"/>
    <w:link w:val="BalloonText"/>
    <w:rsid w:val="006B18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18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8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1498</Words>
  <Characters>9653</Characters>
  <Application>Microsoft Office Word</Application>
  <DocSecurity>0</DocSecurity>
  <Lines>353</Lines>
  <Paragraphs>197</Paragraphs>
  <ScaleCrop>false</ScaleCrop>
  <Company>Author-it Software Corporation Ltd.</Company>
  <LinksUpToDate>false</LinksUpToDate>
  <CharactersWithSpaces>11059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FNSSUP504A Provide advanced customer service to superannuation clients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2012-05-26T16:35:00Z</dcterms:created>
  <dcterms:modified xsi:type="dcterms:W3CDTF">2012-05-26T16:35:00Z</dcterms:modified>
</cp:coreProperties>
</file>