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61A" w:rsidP="00A1261A">
      <w:pPr>
        <w:pStyle w:val="Title"/>
      </w:pPr>
      <w:r>
        <w:fldChar w:fldCharType="begin"/>
      </w:r>
      <w:r>
        <w:instrText xml:space="preserve"> TITLE   \* MERGEFORMAT </w:instrText>
      </w:r>
      <w:r>
        <w:fldChar w:fldCharType="separate"/>
      </w:r>
      <w:r>
        <w:t>FNSSUP407A Assess complex superannuation benefit or insurance claims</w:t>
      </w:r>
      <w:r>
        <w:fldChar w:fldCharType="end"/>
      </w:r>
    </w:p>
    <w:p w:rsidR="00A1261A" w:rsidP="00A1261A">
      <w:pPr>
        <w:pStyle w:val="Version"/>
        <w:sectPr w:rsidSect="00F25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5271" w:rsidP="00F25271">
      <w:pPr>
        <w:pStyle w:val="SuperHeading"/>
      </w:pPr>
      <w:r w:rsidRPr="00F25271">
        <w:t>FNSSUP407A Assess complex superannuation benefit or insurance claims</w:t>
      </w:r>
    </w:p>
    <w:p w:rsidR="00000000" w:rsidRPr="00F25271" w:rsidP="00F25271">
      <w:pPr>
        <w:pStyle w:val="SuperHeading"/>
      </w:pPr>
    </w:p>
    <w:p w:rsidR="00000000" w:rsidRPr="00F25271" w:rsidP="00F25271">
      <w:pPr>
        <w:pStyle w:val="Heading1"/>
      </w:pPr>
      <w:bookmarkStart w:id="1" w:name="O_80919"/>
      <w:bookmarkEnd w:id="1"/>
      <w:r w:rsidRPr="00F25271">
        <w:t>Modification History</w:t>
      </w:r>
    </w:p>
    <w:p w:rsidR="00000000" w:rsidRPr="00F25271" w:rsidP="00F25271">
      <w:pPr>
        <w:pStyle w:val="BodyText"/>
      </w:pPr>
      <w:r w:rsidRPr="00F25271">
        <w:t>Not applicable.</w:t>
      </w:r>
    </w:p>
    <w:p w:rsidR="00000000" w:rsidRPr="00F25271" w:rsidP="00F25271">
      <w:pPr>
        <w:pStyle w:val="AllowPageBreak"/>
      </w:pPr>
    </w:p>
    <w:p w:rsidR="00000000" w:rsidRPr="00F25271" w:rsidP="00F25271">
      <w:pPr>
        <w:pStyle w:val="Heading1"/>
      </w:pPr>
      <w:bookmarkStart w:id="2" w:name="O_80920"/>
      <w:bookmarkEnd w:id="2"/>
      <w:r w:rsidRPr="00F25271">
        <w:t>Unit Descriptor</w:t>
      </w:r>
    </w:p>
    <w:tbl>
      <w:tblPr>
        <w:tblW w:w="0" w:type="auto"/>
        <w:tblLayout w:type="fixed"/>
        <w:tblCellMar>
          <w:left w:w="62" w:type="dxa"/>
          <w:right w:w="62" w:type="dxa"/>
        </w:tblCellMar>
        <w:tblLook w:val="0000"/>
      </w:tblPr>
      <w:tblGrid>
        <w:gridCol w:w="2641"/>
        <w:gridCol w:w="5881"/>
      </w:tblGrid>
      <w:tr w:rsidTr="00A12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This unit describes the performance outcomes, skills and knowledge required to asses</w:t>
            </w:r>
            <w:r w:rsidRPr="00F25271">
              <w:t>s complex superannuation benefits and/or insurance claims. It encompasses reviewing the validity of requests, reviewing documentation and evidence, determining entitlements and communicating the decision.</w:t>
            </w:r>
          </w:p>
          <w:p w:rsidR="00000000" w:rsidRPr="00F25271" w:rsidP="00F25271">
            <w:pPr>
              <w:pStyle w:val="BodyText"/>
            </w:pPr>
          </w:p>
          <w:p w:rsidR="00000000" w:rsidRPr="00F25271" w:rsidP="00F25271">
            <w:pPr>
              <w:pStyle w:val="BodyText"/>
            </w:pPr>
            <w:r w:rsidRPr="00F25271">
              <w:t>This unit is applicable to individuals working wit</w:t>
            </w:r>
            <w:r w:rsidRPr="00F25271">
              <w:t>hin enterprises and job roles subject to licensing, legislative, regulatory or certification requirements including legislation administered by the Australian Securities and Investments Commission (ASIC).</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3" w:name="O_80921"/>
      <w:bookmarkEnd w:id="3"/>
      <w:r w:rsidRPr="00F25271">
        <w:t>Application of the Unit</w:t>
      </w:r>
    </w:p>
    <w:tbl>
      <w:tblPr>
        <w:tblW w:w="0" w:type="auto"/>
        <w:tblLayout w:type="fixed"/>
        <w:tblCellMar>
          <w:left w:w="62" w:type="dxa"/>
          <w:right w:w="62" w:type="dxa"/>
        </w:tblCellMar>
        <w:tblLook w:val="0000"/>
      </w:tblPr>
      <w:tblGrid>
        <w:gridCol w:w="2717"/>
        <w:gridCol w:w="5805"/>
      </w:tblGrid>
      <w:tr w:rsidTr="00A1261A">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This unit applies to job roles involving assessing complex superannuation benefits and or insurance claims of various fund types.</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4" w:name="O_80922"/>
      <w:bookmarkEnd w:id="4"/>
      <w:r w:rsidRPr="00F25271">
        <w:t>Licensing/Regulatory Information</w:t>
      </w:r>
    </w:p>
    <w:p w:rsidR="00000000" w:rsidRPr="00F25271" w:rsidP="00F25271">
      <w:pPr>
        <w:pStyle w:val="BodyText"/>
      </w:pPr>
      <w:r w:rsidRPr="00F25271">
        <w:t>Not applicable.</w:t>
      </w:r>
    </w:p>
    <w:p w:rsidR="00000000" w:rsidRPr="00F25271" w:rsidP="00F25271">
      <w:pPr>
        <w:pStyle w:val="AllowPageBreak"/>
      </w:pPr>
    </w:p>
    <w:p w:rsidR="00000000" w:rsidRPr="00F25271" w:rsidP="00F25271">
      <w:pPr>
        <w:pStyle w:val="Heading1"/>
      </w:pPr>
      <w:bookmarkStart w:id="5" w:name="O_80924"/>
      <w:bookmarkEnd w:id="5"/>
      <w:r w:rsidRPr="00F25271">
        <w:t>Pre-Requisites</w:t>
      </w:r>
    </w:p>
    <w:tbl>
      <w:tblPr>
        <w:tblW w:w="0" w:type="auto"/>
        <w:tblLayout w:type="fixed"/>
        <w:tblCellMar>
          <w:left w:w="62" w:type="dxa"/>
          <w:right w:w="62" w:type="dxa"/>
        </w:tblCellMar>
        <w:tblLook w:val="0000"/>
      </w:tblPr>
      <w:tblGrid>
        <w:gridCol w:w="2745"/>
        <w:gridCol w:w="1301"/>
        <w:gridCol w:w="4476"/>
      </w:tblGrid>
      <w:tr w:rsidTr="00A1261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p>
        </w:tc>
      </w:tr>
      <w:tr w:rsidTr="00A1261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p>
        </w:tc>
      </w:tr>
      <w:tr w:rsidTr="00A1261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6" w:name="O_80923"/>
      <w:bookmarkEnd w:id="6"/>
      <w:r w:rsidRPr="00F25271">
        <w:t>Employability Skills Information</w:t>
      </w:r>
    </w:p>
    <w:tbl>
      <w:tblPr>
        <w:tblW w:w="0" w:type="auto"/>
        <w:tblLayout w:type="fixed"/>
        <w:tblCellMar>
          <w:left w:w="62" w:type="dxa"/>
          <w:right w:w="62" w:type="dxa"/>
        </w:tblCellMar>
        <w:tblLook w:val="0000"/>
      </w:tblPr>
      <w:tblGrid>
        <w:gridCol w:w="2762"/>
        <w:gridCol w:w="5760"/>
      </w:tblGrid>
      <w:tr w:rsidTr="00A1261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This unit contains employability skills.</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7" w:name="O_80925"/>
      <w:bookmarkEnd w:id="7"/>
      <w:r w:rsidRPr="00F25271">
        <w:t>Elements and Performance Criteria Pre-Content</w:t>
      </w:r>
    </w:p>
    <w:tbl>
      <w:tblPr>
        <w:tblW w:w="0" w:type="auto"/>
        <w:tblLayout w:type="fixed"/>
        <w:tblCellMar>
          <w:left w:w="62" w:type="dxa"/>
          <w:right w:w="62" w:type="dxa"/>
        </w:tblCellMar>
        <w:tblLook w:val="0000"/>
      </w:tblPr>
      <w:tblGrid>
        <w:gridCol w:w="2626"/>
        <w:gridCol w:w="5896"/>
      </w:tblGrid>
      <w:tr w:rsidTr="00A1261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Performance criteria describe the performance needed to demonstrate achievement of the element. Where bold italicised text is used, further information is detailed in the required skills and</w:t>
            </w:r>
            <w:r w:rsidRPr="00F25271">
              <w:t xml:space="preserve"> knowledge section and the range statement. Assessment of performance is to be consistent with the evidence guide.</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8" w:name="O_80926"/>
      <w:bookmarkEnd w:id="8"/>
      <w:r w:rsidRPr="00F25271">
        <w:t>Elements and Performance Criteria</w:t>
      </w:r>
    </w:p>
    <w:tbl>
      <w:tblPr>
        <w:tblW w:w="0" w:type="auto"/>
        <w:tblLayout w:type="fixed"/>
        <w:tblCellMar>
          <w:left w:w="62" w:type="dxa"/>
          <w:right w:w="62" w:type="dxa"/>
        </w:tblCellMar>
        <w:tblLook w:val="0000"/>
      </w:tblPr>
      <w:tblGrid>
        <w:gridCol w:w="2626"/>
        <w:gridCol w:w="5896"/>
      </w:tblGrid>
      <w:tr w:rsidTr="00A1261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PERFORMANCE CRITERIA</w:t>
            </w:r>
          </w:p>
        </w:tc>
      </w:tr>
      <w:tr w:rsidTr="00A1261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List"/>
              <w:rPr>
                <w:lang w:val="en-NZ"/>
              </w:rPr>
            </w:pPr>
            <w:r w:rsidRPr="00F25271">
              <w:t>1.</w:t>
            </w:r>
            <w:r w:rsidRPr="00F25271">
              <w:tab/>
              <w:t>Review validity of request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2"/>
            </w:pPr>
            <w:r w:rsidRPr="00F25271">
              <w:t>1.1.</w:t>
            </w:r>
            <w:r w:rsidRPr="00F25271">
              <w:tab/>
              <w:t xml:space="preserve">Validity of request for </w:t>
            </w:r>
            <w:r w:rsidRPr="00F25271">
              <w:rPr>
                <w:rStyle w:val="BoldandItalics"/>
              </w:rPr>
              <w:t>payment</w:t>
            </w:r>
            <w:r w:rsidRPr="00F25271">
              <w:t xml:space="preserve"> is reviewed against fund entitlements within operating guidelines, operational authorities and legislative guidelines</w:t>
            </w:r>
          </w:p>
          <w:p w:rsidR="00000000" w:rsidP="00F25271">
            <w:pPr>
              <w:pStyle w:val="List2"/>
              <w:rPr>
                <w:lang w:val="en-NZ"/>
              </w:rPr>
            </w:pPr>
            <w:r w:rsidRPr="00F25271">
              <w:t>1.2.</w:t>
            </w:r>
            <w:r w:rsidRPr="00F25271">
              <w:tab/>
              <w:t>Review is undertaken in a methodical manner using suitable checklist or similar instruments to ensure accuracy</w:t>
            </w:r>
          </w:p>
        </w:tc>
      </w:tr>
      <w:tr w:rsidTr="00A1261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List"/>
              <w:rPr>
                <w:lang w:val="en-NZ"/>
              </w:rPr>
            </w:pPr>
            <w:r w:rsidRPr="00F25271">
              <w:t>2.</w:t>
            </w:r>
            <w:r w:rsidRPr="00F25271">
              <w:tab/>
              <w:t>Review doc</w:t>
            </w:r>
            <w:r w:rsidRPr="00F25271">
              <w:t>umentation and evidence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2"/>
            </w:pPr>
            <w:r w:rsidRPr="00F25271">
              <w:t>2.1.</w:t>
            </w:r>
            <w:r w:rsidRPr="00F25271">
              <w:tab/>
            </w:r>
            <w:r w:rsidRPr="00F25271">
              <w:rPr>
                <w:rStyle w:val="BoldandItalics"/>
              </w:rPr>
              <w:t>Payment criteria</w:t>
            </w:r>
            <w:r w:rsidRPr="00F25271">
              <w:t xml:space="preserve"> are established to enable compliance to be determined within the terms and conditions of the trust, relevant legislation, and operating guidelines</w:t>
            </w:r>
          </w:p>
          <w:p w:rsidR="00000000" w:rsidP="00F25271">
            <w:pPr>
              <w:pStyle w:val="List2"/>
              <w:rPr>
                <w:lang w:val="en-NZ"/>
              </w:rPr>
            </w:pPr>
            <w:r w:rsidRPr="00F25271">
              <w:t>2.2.</w:t>
            </w:r>
            <w:r w:rsidRPr="00F25271">
              <w:tab/>
              <w:t xml:space="preserve">Additional evidence is obtained where required from </w:t>
            </w:r>
            <w:r w:rsidRPr="00F25271">
              <w:rPr>
                <w:rStyle w:val="BoldandItalics"/>
              </w:rPr>
              <w:t>approp</w:t>
            </w:r>
            <w:r w:rsidRPr="00F25271">
              <w:rPr>
                <w:rStyle w:val="BoldandItalics"/>
              </w:rPr>
              <w:t>riate parties</w:t>
            </w:r>
            <w:r w:rsidRPr="00F25271">
              <w:t xml:space="preserve"> to confirm that request complies with the fund's conditions of entitlement</w:t>
            </w:r>
          </w:p>
        </w:tc>
      </w:tr>
      <w:tr w:rsidTr="00A1261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List"/>
              <w:rPr>
                <w:lang w:val="en-NZ"/>
              </w:rPr>
            </w:pPr>
            <w:r w:rsidRPr="00F25271">
              <w:t>3.</w:t>
            </w:r>
            <w:r w:rsidRPr="00F25271">
              <w:tab/>
              <w:t>Determine entitlement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2"/>
            </w:pPr>
            <w:r w:rsidRPr="00F25271">
              <w:t>3.1.</w:t>
            </w:r>
            <w:r w:rsidRPr="00F25271">
              <w:tab/>
              <w:t>Level of entitlement is determined based on accurate and complete information</w:t>
            </w:r>
          </w:p>
          <w:p w:rsidR="00000000" w:rsidRPr="00F25271" w:rsidP="00F25271">
            <w:pPr>
              <w:pStyle w:val="List2"/>
            </w:pPr>
            <w:r w:rsidRPr="00F25271">
              <w:t>3.2.</w:t>
            </w:r>
            <w:r w:rsidRPr="00F25271">
              <w:tab/>
              <w:t>Entitlements are determined within authority levels a</w:t>
            </w:r>
            <w:r w:rsidRPr="00F25271">
              <w:t>nd a sign-off is obtained where required</w:t>
            </w:r>
          </w:p>
          <w:p w:rsidR="00000000" w:rsidP="00F25271">
            <w:pPr>
              <w:pStyle w:val="List2"/>
              <w:rPr>
                <w:lang w:val="en-NZ"/>
              </w:rPr>
            </w:pPr>
            <w:r w:rsidRPr="00F25271">
              <w:t>3.3.</w:t>
            </w:r>
            <w:r w:rsidRPr="00F25271">
              <w:tab/>
              <w:t xml:space="preserve">Decision on payment is made in accordance with trustee instruction, operating guidelines and </w:t>
            </w:r>
            <w:r w:rsidRPr="00F25271">
              <w:rPr>
                <w:rStyle w:val="BoldandItalics"/>
              </w:rPr>
              <w:t>relevant legislation</w:t>
            </w:r>
          </w:p>
        </w:tc>
      </w:tr>
      <w:tr w:rsidTr="00A1261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List"/>
              <w:rPr>
                <w:lang w:val="en-NZ"/>
              </w:rPr>
            </w:pPr>
            <w:r w:rsidRPr="00F25271">
              <w:t>4.</w:t>
            </w:r>
            <w:r w:rsidRPr="00F25271">
              <w:tab/>
              <w:t>Communicate decision</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2"/>
            </w:pPr>
            <w:r w:rsidRPr="00F25271">
              <w:t>4.1.</w:t>
            </w:r>
            <w:r w:rsidRPr="00F25271">
              <w:tab/>
            </w:r>
            <w:r w:rsidRPr="00F25271">
              <w:t>Decision is advised according to organisation policy and procedures to relevant parties</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9" w:name="O_80927"/>
      <w:bookmarkEnd w:id="9"/>
      <w:r w:rsidRPr="00F25271">
        <w:t>Required Skills and Knowledge</w:t>
      </w:r>
    </w:p>
    <w:tbl>
      <w:tblPr>
        <w:tblW w:w="0" w:type="auto"/>
        <w:tblLayout w:type="fixed"/>
        <w:tblCellMar>
          <w:left w:w="62" w:type="dxa"/>
          <w:right w:w="62" w:type="dxa"/>
        </w:tblCellMar>
        <w:tblLook w:val="0000"/>
      </w:tblPr>
      <w:tblGrid>
        <w:gridCol w:w="8522"/>
      </w:tblGrid>
      <w:tr w:rsidTr="00A126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REQUIRED SKILLS AND KNOWLEDGE</w:t>
            </w:r>
          </w:p>
        </w:tc>
      </w:tr>
      <w:tr w:rsidTr="00A126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t>This section describes the skills and knowledge required for this unit.</w:t>
            </w:r>
          </w:p>
        </w:tc>
      </w:tr>
      <w:tr w:rsidTr="00A1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Required skills</w:t>
            </w:r>
          </w:p>
        </w:tc>
      </w:tr>
      <w:tr w:rsidTr="00A1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Bullet"/>
            </w:pPr>
            <w:r w:rsidRPr="00F25271">
              <w:t>communication skills to:</w:t>
            </w:r>
          </w:p>
          <w:p w:rsidR="00000000" w:rsidRPr="00F25271" w:rsidP="00F25271">
            <w:pPr>
              <w:pStyle w:val="ListBullet2"/>
            </w:pPr>
            <w:r w:rsidRPr="00F25271">
              <w:t>liaise with others, share information, confirm work requirements, using questioning and active listening as required</w:t>
            </w:r>
          </w:p>
          <w:p w:rsidR="00000000" w:rsidRPr="00F25271" w:rsidP="00F25271">
            <w:pPr>
              <w:pStyle w:val="ListBullet2"/>
            </w:pPr>
            <w:r w:rsidRPr="00F25271">
              <w:t>use language and concepts appropriate to cultural differences</w:t>
            </w:r>
          </w:p>
          <w:p w:rsidR="00000000" w:rsidRPr="00F25271" w:rsidP="00F25271">
            <w:pPr>
              <w:pStyle w:val="ListBullet"/>
            </w:pPr>
            <w:r w:rsidRPr="00F25271">
              <w:t>numeracy and IT skills to:</w:t>
            </w:r>
          </w:p>
          <w:p w:rsidR="00000000" w:rsidRPr="00F25271" w:rsidP="00F25271">
            <w:pPr>
              <w:pStyle w:val="ListBullet2"/>
            </w:pPr>
            <w:r w:rsidRPr="00F25271">
              <w:t>perform calculations related to superannuation benefits</w:t>
            </w:r>
          </w:p>
          <w:p w:rsidR="00000000" w:rsidRPr="00F25271" w:rsidP="00F25271">
            <w:pPr>
              <w:pStyle w:val="ListBullet2"/>
            </w:pPr>
            <w:r w:rsidRPr="00F25271">
              <w:t>access and update account records electronically</w:t>
            </w:r>
          </w:p>
          <w:p w:rsidR="00000000" w:rsidRPr="00F25271" w:rsidP="00F25271">
            <w:pPr>
              <w:pStyle w:val="ListBullet2"/>
            </w:pPr>
            <w:r w:rsidRPr="00F25271">
              <w:t>use internet information</w:t>
            </w:r>
          </w:p>
          <w:p w:rsidR="00000000" w:rsidRPr="00F25271" w:rsidP="00F25271">
            <w:pPr>
              <w:pStyle w:val="ListBullet"/>
            </w:pPr>
            <w:r w:rsidRPr="00F25271">
              <w:t>literacy skills to read and interpret documentation from a variety of sources and record and consolidate related information</w:t>
            </w:r>
          </w:p>
          <w:p w:rsidR="00000000" w:rsidRPr="00F25271" w:rsidP="00F25271">
            <w:pPr>
              <w:pStyle w:val="ListBullet"/>
            </w:pPr>
            <w:r w:rsidRPr="00F25271">
              <w:t>data analysis and interpretation skills</w:t>
            </w:r>
          </w:p>
          <w:p w:rsidR="00000000" w:rsidRPr="00F25271" w:rsidP="00F25271">
            <w:pPr>
              <w:pStyle w:val="ListBullet"/>
            </w:pPr>
            <w:r w:rsidRPr="00F25271">
              <w:t>interpersonal skills to relate effectively within a team environment</w:t>
            </w:r>
          </w:p>
          <w:p w:rsidR="00000000" w:rsidRPr="00F25271" w:rsidP="00F25271">
            <w:pPr>
              <w:pStyle w:val="ListBullet"/>
            </w:pPr>
            <w:r w:rsidRPr="00F25271">
              <w:t>organisation skills, including the ability to plan and sequence work</w:t>
            </w:r>
          </w:p>
          <w:p w:rsidR="00000000" w:rsidRPr="00F25271" w:rsidP="00F25271">
            <w:pPr>
              <w:pStyle w:val="ListBullet"/>
            </w:pPr>
            <w:r w:rsidRPr="00F25271">
              <w:t>research and analysis for accessing, interpreting and managing complex informa</w:t>
            </w:r>
            <w:r w:rsidRPr="00F25271">
              <w:t>tion</w:t>
            </w:r>
          </w:p>
          <w:p w:rsidR="00000000" w:rsidRPr="00F25271" w:rsidP="00F25271">
            <w:pPr>
              <w:pStyle w:val="ListBullet2"/>
            </w:pPr>
            <w:r w:rsidRPr="00F25271">
              <w:t>interpreting documentation</w:t>
            </w:r>
          </w:p>
          <w:p w:rsidR="00000000" w:rsidRPr="00F25271" w:rsidP="00F25271">
            <w:pPr>
              <w:pStyle w:val="ListBullet2"/>
            </w:pPr>
            <w:r w:rsidRPr="00F25271">
              <w:t>coordinating tasks</w:t>
            </w:r>
          </w:p>
          <w:p w:rsidR="00000000" w:rsidRPr="00F25271" w:rsidP="00F25271">
            <w:pPr>
              <w:pStyle w:val="ListBullet"/>
            </w:pPr>
            <w:r w:rsidRPr="00F25271">
              <w:t>learning skills to maintain knowledge of changes to products and relevant legislation</w:t>
            </w:r>
          </w:p>
          <w:p w:rsidR="00000000" w:rsidRPr="00F25271" w:rsidP="00F25271">
            <w:pPr>
              <w:pStyle w:val="ListBullet"/>
            </w:pPr>
            <w:r w:rsidRPr="00F25271">
              <w:t>judgement skills for forming recommendations in operational situations</w:t>
            </w:r>
          </w:p>
          <w:p w:rsidR="00000000" w:rsidP="00F25271">
            <w:pPr>
              <w:pStyle w:val="ListBullet"/>
              <w:rPr>
                <w:lang w:val="en-NZ"/>
              </w:rPr>
            </w:pPr>
            <w:r w:rsidRPr="00F25271">
              <w:t>management skills for working effectively in a constantly changing environment</w:t>
            </w:r>
          </w:p>
        </w:tc>
      </w:tr>
      <w:tr w:rsidTr="00A1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Required knowledge</w:t>
            </w:r>
          </w:p>
        </w:tc>
      </w:tr>
      <w:tr w:rsidTr="00A1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Bullet"/>
            </w:pPr>
            <w:r w:rsidRPr="00F25271">
              <w:t>relevant superannuation legislation</w:t>
            </w:r>
          </w:p>
          <w:p w:rsidR="00000000" w:rsidRPr="00F25271" w:rsidP="00F25271">
            <w:pPr>
              <w:pStyle w:val="ListBullet"/>
            </w:pPr>
            <w:r w:rsidRPr="00F25271">
              <w:t>computerised superannuation systems and procedures</w:t>
            </w:r>
          </w:p>
          <w:p w:rsidR="00000000" w:rsidRPr="00F25271" w:rsidP="00F25271">
            <w:pPr>
              <w:pStyle w:val="ListBullet"/>
            </w:pPr>
            <w:r w:rsidRPr="00F25271">
              <w:t>organisation authority levels</w:t>
            </w:r>
          </w:p>
          <w:p w:rsidR="00000000" w:rsidRPr="00F25271" w:rsidP="00F25271">
            <w:pPr>
              <w:pStyle w:val="ListBullet"/>
            </w:pPr>
            <w:r w:rsidRPr="00F25271">
              <w:t>fund entitlements and operating guidel</w:t>
            </w:r>
            <w:r w:rsidRPr="00F25271">
              <w:t>ines</w:t>
            </w:r>
          </w:p>
          <w:p w:rsidR="00000000" w:rsidRPr="00F25271" w:rsidP="00F25271">
            <w:pPr>
              <w:pStyle w:val="ListBullet"/>
            </w:pPr>
            <w:r w:rsidRPr="00F25271">
              <w:t>appropriate payment criteria</w:t>
            </w:r>
          </w:p>
          <w:p w:rsidR="00000000" w:rsidRPr="00F25271" w:rsidP="00F25271">
            <w:pPr>
              <w:pStyle w:val="ListBullet"/>
            </w:pPr>
            <w:r w:rsidRPr="00F25271">
              <w:t>through understanding of the application of fund policies and procedures</w:t>
            </w:r>
          </w:p>
          <w:p w:rsidR="00000000" w:rsidRPr="00F25271" w:rsidP="00F25271">
            <w:pPr>
              <w:pStyle w:val="ListBullet"/>
            </w:pPr>
            <w:r w:rsidRPr="00F25271">
              <w:t>industry products and services</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10" w:name="O_80928"/>
      <w:bookmarkEnd w:id="10"/>
      <w:r w:rsidRPr="00F25271">
        <w:t>Evidence Guide</w:t>
      </w:r>
    </w:p>
    <w:tbl>
      <w:tblPr>
        <w:tblW w:w="9570" w:type="dxa"/>
        <w:tblLayout w:type="fixed"/>
        <w:tblCellMar>
          <w:left w:w="62" w:type="dxa"/>
          <w:right w:w="62" w:type="dxa"/>
        </w:tblCellMar>
        <w:tblLook w:val="0000"/>
      </w:tblPr>
      <w:tblGrid>
        <w:gridCol w:w="2808"/>
        <w:gridCol w:w="6762"/>
      </w:tblGrid>
      <w:tr w:rsidTr="00A126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EVIDENCE GUIDE</w:t>
            </w:r>
          </w:p>
        </w:tc>
      </w:tr>
      <w:tr w:rsidTr="00A126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t>The Evidence Guide provides advice on assessment and must be read in conjunction with the performance criteria, required skills and knowledge, range statement and the Assessment Guidelines for the Training Package.</w:t>
            </w:r>
          </w:p>
        </w:tc>
      </w:tr>
      <w:tr w:rsidTr="00A1261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p>
        </w:tc>
      </w:tr>
      <w:tr w:rsidTr="00A1261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Evidence of the ability to:</w:t>
            </w:r>
          </w:p>
          <w:p w:rsidR="00000000" w:rsidRPr="00F25271" w:rsidP="00F25271">
            <w:pPr>
              <w:pStyle w:val="ListBullet"/>
            </w:pPr>
            <w:r w:rsidRPr="00F25271">
              <w:t>review validity of requests and related documentation and evidence</w:t>
            </w:r>
          </w:p>
          <w:p w:rsidR="00000000" w:rsidRPr="00F25271" w:rsidP="00F25271">
            <w:pPr>
              <w:pStyle w:val="ListBullet"/>
            </w:pPr>
            <w:r w:rsidRPr="00F25271">
              <w:t>determine entitlements demonstrating knowledge of organisation auth</w:t>
            </w:r>
            <w:r w:rsidRPr="00F25271">
              <w:t>ority levels and fund entitlements and operating guidelines</w:t>
            </w:r>
          </w:p>
          <w:p w:rsidR="00000000" w:rsidP="00F25271">
            <w:pPr>
              <w:pStyle w:val="ListBullet"/>
              <w:rPr>
                <w:lang w:val="en-NZ"/>
              </w:rPr>
            </w:pPr>
            <w:r w:rsidRPr="00F25271">
              <w:t>follow appropriate payment criteria applying an understanding of the application of fund policies and procedures and give sound advice and negotiate on options.</w:t>
            </w:r>
          </w:p>
        </w:tc>
      </w:tr>
      <w:tr w:rsidTr="00A1261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 xml:space="preserve">Context of and specific resources </w:t>
            </w:r>
            <w:r w:rsidRPr="00F25271">
              <w:rPr>
                <w:rStyle w:val="SpecialBold"/>
              </w:rPr>
              <w:t>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Assessment must ensure:</w:t>
            </w:r>
          </w:p>
          <w:p w:rsidR="00000000" w:rsidRPr="00F25271" w:rsidP="00F25271">
            <w:pPr>
              <w:pStyle w:val="ListBullet"/>
            </w:pPr>
            <w:r w:rsidRPr="00F25271">
              <w:t>competency is demonstrated in the context of the work environment and conditions specified in the range statement either in a relevant workplace or a closely simulated work environment</w:t>
            </w:r>
          </w:p>
          <w:p w:rsidR="00000000" w:rsidRPr="00F25271" w:rsidP="00F25271">
            <w:pPr>
              <w:pStyle w:val="ListBullet"/>
            </w:pPr>
            <w:r w:rsidRPr="00F25271">
              <w:t>access to and the use of a rang</w:t>
            </w:r>
            <w:r w:rsidRPr="00F25271">
              <w:t>e of common office equipment, technology, software and consumables</w:t>
            </w:r>
          </w:p>
          <w:p w:rsidR="00000000" w:rsidRPr="00F25271" w:rsidP="00F25271">
            <w:pPr>
              <w:pStyle w:val="ListBullet"/>
            </w:pPr>
            <w:r w:rsidRPr="00F25271">
              <w:t>access to organisation financial records</w:t>
            </w:r>
          </w:p>
          <w:p w:rsidR="00000000" w:rsidP="00F25271">
            <w:pPr>
              <w:pStyle w:val="ListBullet"/>
              <w:rPr>
                <w:lang w:val="en-NZ"/>
              </w:rPr>
            </w:pPr>
            <w:r w:rsidRPr="00F25271">
              <w:t>access to organisation policies and procedures.</w:t>
            </w:r>
          </w:p>
        </w:tc>
      </w:tr>
      <w:tr w:rsidTr="00A1261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A range of assessment methods should be used to assess practical skills and kn</w:t>
            </w:r>
            <w:r w:rsidRPr="00F25271">
              <w:t>owledge. The following examples, in combination, are appropriate for this unit:</w:t>
            </w:r>
          </w:p>
          <w:p w:rsidR="00000000" w:rsidRPr="00F25271" w:rsidP="00F25271">
            <w:pPr>
              <w:pStyle w:val="ListBullet"/>
            </w:pPr>
            <w:r w:rsidRPr="00F25271">
              <w:t>evaluating an integrated activity, which combines the elements of competency for the unit, or a cluster of related units of competency</w:t>
            </w:r>
          </w:p>
          <w:p w:rsidR="00000000" w:rsidRPr="00F25271" w:rsidP="00F25271">
            <w:pPr>
              <w:pStyle w:val="ListBullet"/>
            </w:pPr>
            <w:r w:rsidRPr="00F25271">
              <w:t>observing processes and procedures in workplaces</w:t>
            </w:r>
          </w:p>
          <w:p w:rsidR="00000000" w:rsidRPr="00F25271" w:rsidP="00F25271">
            <w:pPr>
              <w:pStyle w:val="ListBullet"/>
            </w:pPr>
            <w:r w:rsidRPr="00F25271">
              <w:t>verbal or written questioning on underpinning knowledge and skills</w:t>
            </w:r>
          </w:p>
          <w:p w:rsidR="00000000" w:rsidRPr="00F25271" w:rsidP="00F25271">
            <w:pPr>
              <w:pStyle w:val="ListBullet"/>
            </w:pPr>
            <w:r w:rsidRPr="00F25271">
              <w:t>evaluating samples of work</w:t>
            </w:r>
          </w:p>
          <w:p w:rsidR="00000000" w:rsidRPr="00F25271" w:rsidP="00F25271">
            <w:pPr>
              <w:pStyle w:val="ListBullet"/>
            </w:pPr>
            <w:r w:rsidRPr="00F25271">
              <w:t>accessing and validating third party reports</w:t>
            </w:r>
          </w:p>
          <w:p w:rsidR="00000000" w:rsidP="00F25271">
            <w:pPr>
              <w:pStyle w:val="ListBullet"/>
              <w:rPr>
                <w:lang w:val="en-NZ"/>
              </w:rPr>
            </w:pPr>
            <w:r w:rsidRPr="00F25271">
              <w:t>setting and reviewing workplace business simulations or scenarios.</w:t>
            </w:r>
          </w:p>
        </w:tc>
      </w:tr>
      <w:tr w:rsidTr="00A1261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11" w:name="O_80929"/>
      <w:bookmarkEnd w:id="11"/>
      <w:r w:rsidRPr="00F25271">
        <w:t>Range Statement</w:t>
      </w:r>
    </w:p>
    <w:tbl>
      <w:tblPr>
        <w:tblW w:w="0" w:type="auto"/>
        <w:tblLayout w:type="fixed"/>
        <w:tblCellMar>
          <w:left w:w="62" w:type="dxa"/>
          <w:right w:w="62" w:type="dxa"/>
        </w:tblCellMar>
        <w:tblLook w:val="0000"/>
      </w:tblPr>
      <w:tblGrid>
        <w:gridCol w:w="2490"/>
        <w:gridCol w:w="6032"/>
      </w:tblGrid>
      <w:tr w:rsidTr="00A126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RANGE STATEMENT</w:t>
            </w:r>
          </w:p>
        </w:tc>
      </w:tr>
      <w:tr w:rsidTr="00A126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t xml:space="preserve">The range statement relates to the unit of competency as a whole. It allows for different work environments and situations that may affect </w:t>
            </w:r>
            <w:r w:rsidRPr="00F25271">
              <w:t>performance. Bold italicised wording, if used in the performance criteria, is detailed below. Essential operating conditions that may be present with training and assessment (depending on the work situation, needs of the candidate, accessibility of the ite</w:t>
            </w:r>
            <w:r w:rsidRPr="00F25271">
              <w:t>m, and local industry and regional contexts) may also be included.</w:t>
            </w:r>
          </w:p>
        </w:tc>
      </w:tr>
      <w:tr w:rsidTr="00A1261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BoldandItalics"/>
              </w:rPr>
              <w:t>Payments</w:t>
            </w:r>
            <w:r w:rsidRPr="00F25271">
              <w:t xml:space="preserve"> may involve: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Bullet"/>
            </w:pPr>
            <w:r w:rsidRPr="00F25271">
              <w:t>complex legal or trust interpretations or complex insurance classes (e.g. disability claim)</w:t>
            </w:r>
          </w:p>
          <w:p w:rsidR="00000000" w:rsidRPr="00F25271" w:rsidP="00F25271">
            <w:pPr>
              <w:pStyle w:val="ListBullet"/>
            </w:pPr>
            <w:r w:rsidRPr="00F25271">
              <w:t>complex technical determinations</w:t>
            </w:r>
          </w:p>
          <w:p w:rsidR="00000000" w:rsidP="00F25271">
            <w:pPr>
              <w:pStyle w:val="ListBullet"/>
              <w:rPr>
                <w:lang w:val="en-NZ"/>
              </w:rPr>
            </w:pPr>
            <w:r w:rsidRPr="00F25271">
              <w:t>high monetary impact.</w:t>
            </w:r>
          </w:p>
        </w:tc>
      </w:tr>
      <w:tr w:rsidTr="00A1261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BoldandItalics"/>
              </w:rPr>
              <w:t>Payment criteria</w:t>
            </w:r>
            <w:r w:rsidRPr="00F25271">
              <w:t xml:space="preserve"> are: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Bullet"/>
            </w:pPr>
            <w:r w:rsidRPr="00F25271">
              <w:t>criteria to measure the legitimacy of a request for payment</w:t>
            </w:r>
          </w:p>
          <w:p w:rsidR="00000000" w:rsidP="00F25271">
            <w:pPr>
              <w:pStyle w:val="ListBullet"/>
              <w:rPr>
                <w:lang w:val="en-NZ"/>
              </w:rPr>
            </w:pPr>
            <w:r w:rsidRPr="00F25271">
              <w:t>payments may include investment and insurance components.</w:t>
            </w:r>
          </w:p>
        </w:tc>
      </w:tr>
      <w:tr w:rsidTr="00A1261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BoldandItalics"/>
              </w:rPr>
              <w:t>Appropriate parties</w:t>
            </w:r>
            <w:r w:rsidRPr="00F2527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Bullet"/>
            </w:pPr>
            <w:r w:rsidRPr="00F25271">
              <w:t>beneficiary</w:t>
            </w:r>
          </w:p>
          <w:p w:rsidR="00000000" w:rsidRPr="00F25271" w:rsidP="00F25271">
            <w:pPr>
              <w:pStyle w:val="ListBullet"/>
            </w:pPr>
            <w:r w:rsidRPr="00F25271">
              <w:t>legal representative</w:t>
            </w:r>
          </w:p>
          <w:p w:rsidR="00000000" w:rsidRPr="00F25271" w:rsidP="00F25271">
            <w:pPr>
              <w:pStyle w:val="ListBullet"/>
            </w:pPr>
            <w:r w:rsidRPr="00F25271">
              <w:t>member</w:t>
            </w:r>
          </w:p>
          <w:p w:rsidR="00000000" w:rsidRPr="00F25271" w:rsidP="00F25271">
            <w:pPr>
              <w:pStyle w:val="ListBullet"/>
            </w:pPr>
            <w:r w:rsidRPr="00F25271">
              <w:t>rollover fund</w:t>
            </w:r>
          </w:p>
          <w:p w:rsidR="00000000" w:rsidRPr="00F25271" w:rsidP="00F25271">
            <w:pPr>
              <w:pStyle w:val="ListBullet"/>
            </w:pPr>
            <w:r w:rsidRPr="00F25271">
              <w:t>this function may arise from referrals tha</w:t>
            </w:r>
            <w:r w:rsidRPr="00F25271">
              <w:t>t have exceeded the authorities of subordinate officers</w:t>
            </w:r>
          </w:p>
          <w:p w:rsidR="00000000" w:rsidP="00F25271">
            <w:pPr>
              <w:pStyle w:val="ListBullet"/>
              <w:rPr>
                <w:lang w:val="en-NZ"/>
              </w:rPr>
            </w:pPr>
            <w:r w:rsidRPr="00F25271">
              <w:t>trustee or other representative.</w:t>
            </w:r>
          </w:p>
        </w:tc>
      </w:tr>
      <w:tr w:rsidTr="00A1261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BoldandItalics"/>
              </w:rPr>
              <w:t>Relevant legislation</w:t>
            </w:r>
            <w:r w:rsidRPr="00F2527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ListBullet"/>
            </w:pPr>
            <w:r w:rsidRPr="00F25271">
              <w:t xml:space="preserve">anti-discrimination legislation </w:t>
            </w:r>
          </w:p>
          <w:p w:rsidR="00000000" w:rsidRPr="00F25271" w:rsidP="00F25271">
            <w:pPr>
              <w:pStyle w:val="ListBullet"/>
            </w:pPr>
            <w:r w:rsidRPr="00F25271">
              <w:t xml:space="preserve">Corporations Act </w:t>
            </w:r>
          </w:p>
          <w:p w:rsidR="00000000" w:rsidRPr="00F25271" w:rsidP="00F25271">
            <w:pPr>
              <w:pStyle w:val="ListBullet"/>
            </w:pPr>
            <w:r w:rsidRPr="00F25271">
              <w:t xml:space="preserve">Family Law Legislation Amendment Superannuation Act </w:t>
            </w:r>
          </w:p>
          <w:p w:rsidR="00000000" w:rsidRPr="00F25271" w:rsidP="00F25271">
            <w:pPr>
              <w:pStyle w:val="ListBullet"/>
            </w:pPr>
            <w:r w:rsidRPr="00F25271">
              <w:t>Financial Services Reform Act (FSRA)</w:t>
            </w:r>
          </w:p>
          <w:p w:rsidR="00000000" w:rsidRPr="00F25271" w:rsidP="00F25271">
            <w:pPr>
              <w:pStyle w:val="ListBullet"/>
            </w:pPr>
            <w:r w:rsidRPr="00F25271">
              <w:t xml:space="preserve">Income Tax Assessment Act </w:t>
            </w:r>
          </w:p>
          <w:p w:rsidR="00000000" w:rsidRPr="00F25271" w:rsidP="00F25271">
            <w:pPr>
              <w:pStyle w:val="ListBullet"/>
            </w:pPr>
            <w:r w:rsidRPr="00F25271">
              <w:t>industrial legislation</w:t>
            </w:r>
          </w:p>
          <w:p w:rsidR="00000000" w:rsidRPr="00F25271" w:rsidP="00F25271">
            <w:pPr>
              <w:pStyle w:val="ListBullet"/>
            </w:pPr>
            <w:r w:rsidRPr="00F25271">
              <w:t>Insurance Act</w:t>
            </w:r>
          </w:p>
          <w:p w:rsidR="00000000" w:rsidRPr="00F25271" w:rsidP="00F25271">
            <w:pPr>
              <w:pStyle w:val="ListBullet"/>
            </w:pPr>
            <w:r w:rsidRPr="00F25271">
              <w:t>Privacy Act</w:t>
            </w:r>
          </w:p>
          <w:p w:rsidR="00000000" w:rsidRPr="00F25271" w:rsidP="00F25271">
            <w:pPr>
              <w:pStyle w:val="ListBullet"/>
            </w:pPr>
            <w:r w:rsidRPr="00F25271">
              <w:t xml:space="preserve">Retirement Savings Account Act </w:t>
            </w:r>
          </w:p>
          <w:p w:rsidR="00000000" w:rsidRPr="00F25271" w:rsidP="00F25271">
            <w:pPr>
              <w:pStyle w:val="ListBullet"/>
            </w:pPr>
            <w:r w:rsidRPr="00F25271">
              <w:t>stamp duty legislation</w:t>
            </w:r>
          </w:p>
          <w:p w:rsidR="00000000" w:rsidRPr="00F25271" w:rsidP="00F25271">
            <w:pPr>
              <w:pStyle w:val="ListBullet"/>
            </w:pPr>
            <w:r w:rsidRPr="00F25271">
              <w:t xml:space="preserve">Superannuation (Resolution of Complaints) Act </w:t>
            </w:r>
          </w:p>
          <w:p w:rsidR="00000000" w:rsidRPr="00F25271" w:rsidP="00F25271">
            <w:pPr>
              <w:pStyle w:val="ListBullet"/>
            </w:pPr>
            <w:r w:rsidRPr="00F25271">
              <w:t>Superannuation (Unclaimed Moneys and Lost</w:t>
            </w:r>
            <w:r w:rsidRPr="00F25271">
              <w:t xml:space="preserve"> Members) Act </w:t>
            </w:r>
          </w:p>
          <w:p w:rsidR="00000000" w:rsidRPr="00F25271" w:rsidP="00F25271">
            <w:pPr>
              <w:pStyle w:val="ListBullet"/>
            </w:pPr>
            <w:r w:rsidRPr="00F25271">
              <w:t>Superannuation Contributions Tax (Assessment and Collection) Act (surcharge)</w:t>
            </w:r>
          </w:p>
          <w:p w:rsidR="00000000" w:rsidRPr="00F25271" w:rsidP="00F25271">
            <w:pPr>
              <w:pStyle w:val="ListBullet"/>
            </w:pPr>
            <w:r w:rsidRPr="00F25271">
              <w:t xml:space="preserve">Superannuation Guarantee (Administration) Act (SGAA) </w:t>
            </w:r>
          </w:p>
          <w:p w:rsidR="00000000" w:rsidRPr="00F25271" w:rsidP="00F25271">
            <w:pPr>
              <w:pStyle w:val="ListBullet"/>
            </w:pPr>
            <w:r w:rsidRPr="00F25271">
              <w:t>Superannuation Industry (Supervision) Act (SIS)</w:t>
            </w:r>
          </w:p>
          <w:p w:rsidR="00000000" w:rsidRPr="00F25271" w:rsidP="00F25271">
            <w:pPr>
              <w:pStyle w:val="ListBullet"/>
            </w:pPr>
            <w:r w:rsidRPr="00F25271">
              <w:t xml:space="preserve">Superannuation Industry (Supervision) Regulations </w:t>
            </w:r>
          </w:p>
          <w:p w:rsidR="00000000" w:rsidRPr="00F25271" w:rsidP="00F25271">
            <w:pPr>
              <w:pStyle w:val="ListBullet"/>
            </w:pPr>
            <w:r w:rsidRPr="00F25271">
              <w:t>trade practices legislation</w:t>
            </w:r>
          </w:p>
          <w:p w:rsidR="00000000" w:rsidRPr="00F25271" w:rsidP="00F25271">
            <w:pPr>
              <w:pStyle w:val="ListBullet"/>
            </w:pPr>
            <w:r w:rsidRPr="00F25271">
              <w:t>Trustee Acts or Trust Acts in each State and Territory.</w:t>
            </w:r>
          </w:p>
        </w:tc>
      </w:tr>
    </w:tbl>
    <w:p w:rsidR="00A1261A" w:rsidP="00F25271">
      <w:pPr>
        <w:pStyle w:val="BodyText"/>
      </w:pPr>
    </w:p>
    <w:p w:rsidR="00A1261A" w:rsidP="00F25271">
      <w:pPr>
        <w:pStyle w:val="BodyText"/>
      </w:pPr>
    </w:p>
    <w:p w:rsidR="00000000" w:rsidRPr="00F25271" w:rsidP="00F25271">
      <w:pPr>
        <w:pStyle w:val="Heading1"/>
      </w:pPr>
      <w:bookmarkStart w:id="12" w:name="O_80930"/>
      <w:bookmarkEnd w:id="12"/>
      <w:r w:rsidRPr="00F25271">
        <w:t>Unit Sector(s)</w:t>
      </w:r>
    </w:p>
    <w:tbl>
      <w:tblPr>
        <w:tblW w:w="0" w:type="auto"/>
        <w:tblLayout w:type="fixed"/>
        <w:tblCellMar>
          <w:left w:w="62" w:type="dxa"/>
          <w:right w:w="62" w:type="dxa"/>
        </w:tblCellMar>
        <w:tblLook w:val="0000"/>
      </w:tblPr>
      <w:tblGrid>
        <w:gridCol w:w="2572"/>
        <w:gridCol w:w="5950"/>
      </w:tblGrid>
      <w:tr w:rsidTr="00A1261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r w:rsidRPr="00F25271">
              <w:t>Superannuation</w:t>
            </w: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13" w:name="O_156721"/>
      <w:bookmarkEnd w:id="13"/>
      <w:r w:rsidRPr="00F25271">
        <w:t>Competency field</w:t>
      </w:r>
    </w:p>
    <w:tbl>
      <w:tblPr>
        <w:tblW w:w="0" w:type="auto"/>
        <w:tblLayout w:type="fixed"/>
        <w:tblCellMar>
          <w:left w:w="62" w:type="dxa"/>
          <w:right w:w="62" w:type="dxa"/>
        </w:tblCellMar>
        <w:tblLook w:val="0000"/>
      </w:tblPr>
      <w:tblGrid>
        <w:gridCol w:w="2754"/>
        <w:gridCol w:w="5768"/>
      </w:tblGrid>
      <w:tr w:rsidTr="00A1261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p>
        </w:tc>
      </w:tr>
    </w:tbl>
    <w:p w:rsidR="00000000" w:rsidRPr="00F25271" w:rsidP="00F25271">
      <w:pPr>
        <w:pStyle w:val="BodyText"/>
      </w:pPr>
    </w:p>
    <w:p w:rsidR="00000000" w:rsidRPr="00F25271" w:rsidP="00F25271">
      <w:pPr>
        <w:pStyle w:val="AllowPageBreak"/>
      </w:pPr>
    </w:p>
    <w:p w:rsidR="00000000" w:rsidRPr="00F25271" w:rsidP="00F25271">
      <w:pPr>
        <w:pStyle w:val="Heading1"/>
      </w:pPr>
      <w:bookmarkStart w:id="14" w:name="O_156720"/>
      <w:bookmarkEnd w:id="14"/>
      <w:r w:rsidRPr="00F25271">
        <w:t>Co-requisite units</w:t>
      </w:r>
    </w:p>
    <w:tbl>
      <w:tblPr>
        <w:tblW w:w="0" w:type="auto"/>
        <w:tblLayout w:type="fixed"/>
        <w:tblCellMar>
          <w:left w:w="62" w:type="dxa"/>
          <w:right w:w="62" w:type="dxa"/>
        </w:tblCellMar>
        <w:tblLook w:val="0000"/>
      </w:tblPr>
      <w:tblGrid>
        <w:gridCol w:w="2629"/>
        <w:gridCol w:w="1324"/>
        <w:gridCol w:w="4569"/>
      </w:tblGrid>
      <w:tr w:rsidTr="00A1261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r w:rsidRPr="00F2527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71">
            <w:pPr>
              <w:pStyle w:val="BodyText"/>
              <w:rPr>
                <w:lang w:val="en-NZ"/>
              </w:rPr>
            </w:pPr>
          </w:p>
        </w:tc>
      </w:tr>
      <w:tr w:rsidTr="00A1261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71" w:rsidP="00F25271">
            <w:pPr>
              <w:pStyle w:val="BodyText"/>
            </w:pPr>
          </w:p>
        </w:tc>
      </w:tr>
    </w:tbl>
    <w:p w:rsidR="00000000" w:rsidRPr="00F25271" w:rsidP="00F25271">
      <w:pPr>
        <w:pStyle w:val="BodyText"/>
      </w:pPr>
    </w:p>
    <w:p w:rsidR="00000000" w:rsidRPr="00F25271" w:rsidP="00F25271"/>
    <w:sectPr w:rsidSect="00F25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61A" w:rsidP="00A12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1A" w:rsidP="00F25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261A" w:rsidP="00F252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61A" w:rsidP="00F252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61A" w:rsidP="00A126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1A" w:rsidP="00F25271">
    <w:pPr>
      <w:pStyle w:val="Header"/>
      <w:framePr w:wrap="around"/>
    </w:pPr>
    <w:r>
      <w:fldChar w:fldCharType="begin"/>
    </w:r>
    <w:r>
      <w:instrText xml:space="preserve"> TITLE   \* MERGEFORMAT </w:instrText>
    </w:r>
    <w:r>
      <w:fldChar w:fldCharType="separate"/>
    </w:r>
    <w:r>
      <w:t>FNSSUP407A Assess complex superannuation benefit or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61A" w:rsidP="00F252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CE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2B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85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271"/>
    <w:pPr>
      <w:spacing w:before="360" w:after="60"/>
      <w:outlineLvl w:val="0"/>
    </w:pPr>
    <w:rPr>
      <w:sz w:val="32"/>
    </w:rPr>
  </w:style>
  <w:style w:type="paragraph" w:styleId="Heading2">
    <w:name w:val="heading 2"/>
    <w:basedOn w:val="HeadingBase"/>
    <w:next w:val="BodyText"/>
    <w:link w:val="Heading2Char"/>
    <w:qFormat/>
    <w:rsid w:val="00F25271"/>
    <w:pPr>
      <w:keepLines/>
      <w:spacing w:before="240" w:after="120"/>
      <w:outlineLvl w:val="1"/>
    </w:pPr>
    <w:rPr>
      <w:sz w:val="28"/>
      <w:szCs w:val="40"/>
    </w:rPr>
  </w:style>
  <w:style w:type="paragraph" w:styleId="Heading3">
    <w:name w:val="heading 3"/>
    <w:basedOn w:val="HeadingBase"/>
    <w:next w:val="BodyText"/>
    <w:link w:val="Heading3Char"/>
    <w:qFormat/>
    <w:rsid w:val="00F25271"/>
    <w:pPr>
      <w:spacing w:before="180" w:after="120"/>
      <w:outlineLvl w:val="2"/>
    </w:pPr>
    <w:rPr>
      <w:spacing w:val="-10"/>
      <w:kern w:val="32"/>
    </w:rPr>
  </w:style>
  <w:style w:type="paragraph" w:styleId="Heading4">
    <w:name w:val="heading 4"/>
    <w:basedOn w:val="HeadingBase"/>
    <w:next w:val="BodyText"/>
    <w:link w:val="Heading4Char"/>
    <w:qFormat/>
    <w:rsid w:val="00F25271"/>
    <w:pPr>
      <w:spacing w:before="160" w:after="120"/>
      <w:outlineLvl w:val="3"/>
    </w:pPr>
    <w:rPr>
      <w:sz w:val="22"/>
    </w:rPr>
  </w:style>
  <w:style w:type="paragraph" w:styleId="Heading5">
    <w:name w:val="heading 5"/>
    <w:basedOn w:val="HeadingBase"/>
    <w:next w:val="Normal"/>
    <w:link w:val="Heading5Char"/>
    <w:qFormat/>
    <w:rsid w:val="00F25271"/>
    <w:pPr>
      <w:spacing w:before="80"/>
      <w:outlineLvl w:val="4"/>
    </w:pPr>
    <w:rPr>
      <w:color w:val="918585"/>
      <w:sz w:val="20"/>
    </w:rPr>
  </w:style>
  <w:style w:type="paragraph" w:styleId="Heading6">
    <w:name w:val="heading 6"/>
    <w:basedOn w:val="HeadingBase"/>
    <w:next w:val="Normal"/>
    <w:link w:val="Heading6Char"/>
    <w:qFormat/>
    <w:rsid w:val="00F25271"/>
    <w:pPr>
      <w:spacing w:before="60"/>
      <w:outlineLvl w:val="5"/>
    </w:pPr>
    <w:rPr>
      <w:color w:val="918585"/>
      <w:sz w:val="20"/>
    </w:rPr>
  </w:style>
  <w:style w:type="paragraph" w:styleId="Heading7">
    <w:name w:val="heading 7"/>
    <w:basedOn w:val="Normal"/>
    <w:next w:val="Normal"/>
    <w:link w:val="Heading7Char"/>
    <w:qFormat/>
    <w:rsid w:val="00F25271"/>
    <w:pPr>
      <w:ind w:left="720"/>
      <w:outlineLvl w:val="6"/>
    </w:pPr>
    <w:rPr>
      <w:i/>
    </w:rPr>
  </w:style>
  <w:style w:type="paragraph" w:styleId="Heading8">
    <w:name w:val="heading 8"/>
    <w:basedOn w:val="Normal"/>
    <w:next w:val="Normal"/>
    <w:link w:val="Heading8Char"/>
    <w:qFormat/>
    <w:rsid w:val="00F25271"/>
    <w:pPr>
      <w:ind w:left="720"/>
      <w:outlineLvl w:val="7"/>
    </w:pPr>
    <w:rPr>
      <w:i/>
    </w:rPr>
  </w:style>
  <w:style w:type="paragraph" w:styleId="Heading9">
    <w:name w:val="heading 9"/>
    <w:basedOn w:val="Normal"/>
    <w:next w:val="Normal"/>
    <w:link w:val="Heading9Char"/>
    <w:qFormat/>
    <w:rsid w:val="00F25271"/>
    <w:pPr>
      <w:ind w:left="720"/>
      <w:outlineLvl w:val="8"/>
    </w:pPr>
    <w:rPr>
      <w:i/>
    </w:rPr>
  </w:style>
  <w:style w:type="character" w:default="1" w:styleId="DefaultParagraphFont">
    <w:name w:val="Default Paragraph Font"/>
    <w:uiPriority w:val="1"/>
    <w:unhideWhenUsed/>
    <w:rsid w:val="00F25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271"/>
  </w:style>
  <w:style w:type="character" w:customStyle="1" w:styleId="Heading1Char">
    <w:name w:val="Heading 1 Char"/>
    <w:basedOn w:val="DefaultParagraphFont"/>
    <w:link w:val="Heading1"/>
    <w:rsid w:val="00F25271"/>
    <w:rPr>
      <w:rFonts w:ascii="Times New Roman" w:eastAsia="Times New Roman" w:hAnsi="Times New Roman" w:cs="Times New Roman"/>
      <w:b/>
      <w:sz w:val="32"/>
      <w:szCs w:val="20"/>
      <w:lang w:eastAsia="en-US"/>
    </w:rPr>
  </w:style>
  <w:style w:type="paragraph" w:styleId="BodyText">
    <w:name w:val="Body Text"/>
    <w:basedOn w:val="Normal"/>
    <w:link w:val="BodyTextChar"/>
    <w:rsid w:val="00F25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271"/>
    <w:rPr>
      <w:rFonts w:ascii="Times New Roman" w:eastAsia="Times New Roman" w:hAnsi="Times New Roman" w:cs="Times New Roman"/>
      <w:sz w:val="24"/>
      <w:lang w:val="en-US" w:eastAsia="en-US"/>
    </w:rPr>
  </w:style>
  <w:style w:type="paragraph" w:styleId="Footer">
    <w:name w:val="footer"/>
    <w:basedOn w:val="Normal"/>
    <w:link w:val="FooterChar"/>
    <w:rsid w:val="00F25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271"/>
    <w:rPr>
      <w:rFonts w:ascii="Times New Roman" w:eastAsia="Times New Roman" w:hAnsi="Times New Roman" w:cs="Times New Roman"/>
      <w:sz w:val="16"/>
      <w:lang w:val="en-US" w:eastAsia="en-US"/>
    </w:rPr>
  </w:style>
  <w:style w:type="paragraph" w:styleId="List">
    <w:name w:val="List"/>
    <w:basedOn w:val="BodyText"/>
    <w:next w:val="BodyText"/>
    <w:rsid w:val="00F25271"/>
    <w:pPr>
      <w:tabs>
        <w:tab w:val="left" w:pos="340"/>
      </w:tabs>
      <w:spacing w:before="60" w:after="60"/>
      <w:ind w:left="340" w:hanging="340"/>
    </w:pPr>
  </w:style>
  <w:style w:type="paragraph" w:styleId="ListBullet">
    <w:name w:val="List Bullet"/>
    <w:basedOn w:val="List"/>
    <w:rsid w:val="00F25271"/>
    <w:pPr>
      <w:numPr>
        <w:numId w:val="13"/>
      </w:numPr>
      <w:tabs>
        <w:tab w:val="clear" w:pos="340"/>
      </w:tabs>
      <w:spacing w:before="40" w:after="40"/>
    </w:pPr>
  </w:style>
  <w:style w:type="character" w:customStyle="1" w:styleId="SpecialBold">
    <w:name w:val="Special Bold"/>
    <w:basedOn w:val="DefaultParagraphFont"/>
    <w:rsid w:val="00F25271"/>
    <w:rPr>
      <w:b/>
      <w:spacing w:val="0"/>
    </w:rPr>
  </w:style>
  <w:style w:type="paragraph" w:styleId="ListBullet2">
    <w:name w:val="List Bullet 2"/>
    <w:basedOn w:val="List2"/>
    <w:rsid w:val="00F25271"/>
    <w:pPr>
      <w:numPr>
        <w:numId w:val="14"/>
      </w:numPr>
      <w:tabs>
        <w:tab w:val="clear" w:pos="680"/>
      </w:tabs>
    </w:pPr>
  </w:style>
  <w:style w:type="paragraph" w:styleId="Header">
    <w:name w:val="header"/>
    <w:basedOn w:val="Normal"/>
    <w:link w:val="HeaderChar"/>
    <w:rsid w:val="00F25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2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271"/>
    <w:pPr>
      <w:spacing w:before="240" w:after="120"/>
      <w:outlineLvl w:val="0"/>
    </w:pPr>
    <w:rPr>
      <w:rFonts w:ascii="Times New Roman" w:hAnsi="Times New Roman"/>
      <w:b/>
      <w:sz w:val="28"/>
    </w:rPr>
  </w:style>
  <w:style w:type="paragraph" w:customStyle="1" w:styleId="AllowPageBreak">
    <w:name w:val="AllowPageBreak"/>
    <w:rsid w:val="00F252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5271"/>
    <w:pPr>
      <w:tabs>
        <w:tab w:val="left" w:pos="680"/>
      </w:tabs>
      <w:spacing w:before="60" w:after="60"/>
      <w:ind w:left="680" w:hanging="340"/>
    </w:pPr>
  </w:style>
  <w:style w:type="character" w:customStyle="1" w:styleId="BoldandItalics">
    <w:name w:val="Bold and Italics"/>
    <w:qFormat/>
    <w:rsid w:val="00F25271"/>
    <w:rPr>
      <w:b/>
      <w:i/>
      <w:u w:val="none"/>
    </w:rPr>
  </w:style>
  <w:style w:type="character" w:customStyle="1" w:styleId="Heading2Char">
    <w:name w:val="Heading 2 Char"/>
    <w:basedOn w:val="DefaultParagraphFont"/>
    <w:link w:val="Heading2"/>
    <w:rsid w:val="00F25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2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2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271"/>
    <w:rPr>
      <w:rFonts w:ascii="Courier New" w:eastAsia="Times New Roman" w:hAnsi="Courier New" w:cs="Times New Roman"/>
      <w:i/>
      <w:szCs w:val="20"/>
      <w:lang w:val="en-US" w:eastAsia="en-US"/>
    </w:rPr>
  </w:style>
  <w:style w:type="paragraph" w:customStyle="1" w:styleId="HeadingBase">
    <w:name w:val="Heading Base"/>
    <w:rsid w:val="00F25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271"/>
    <w:pPr>
      <w:tabs>
        <w:tab w:val="right" w:leader="dot" w:pos="9072"/>
      </w:tabs>
      <w:ind w:left="567"/>
    </w:pPr>
    <w:rPr>
      <w:szCs w:val="22"/>
    </w:rPr>
  </w:style>
  <w:style w:type="paragraph" w:customStyle="1" w:styleId="TOCBase">
    <w:name w:val="TOC Base"/>
    <w:rsid w:val="00F25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271"/>
    <w:pPr>
      <w:tabs>
        <w:tab w:val="right" w:leader="dot" w:pos="9072"/>
      </w:tabs>
      <w:spacing w:before="40" w:after="40"/>
      <w:ind w:left="284"/>
    </w:pPr>
    <w:rPr>
      <w:rFonts w:ascii="Times New Roman" w:hAnsi="Times New Roman"/>
    </w:rPr>
  </w:style>
  <w:style w:type="paragraph" w:styleId="TOC1">
    <w:name w:val="toc 1"/>
    <w:basedOn w:val="TOCBase"/>
    <w:next w:val="Normal"/>
    <w:rsid w:val="00F252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271"/>
    <w:pPr>
      <w:spacing w:before="5040"/>
      <w:jc w:val="center"/>
    </w:pPr>
    <w:rPr>
      <w:sz w:val="48"/>
      <w:szCs w:val="72"/>
      <w:lang w:val="en-US"/>
    </w:rPr>
  </w:style>
  <w:style w:type="character" w:customStyle="1" w:styleId="TitleChar">
    <w:name w:val="Title Char"/>
    <w:basedOn w:val="DefaultParagraphFont"/>
    <w:link w:val="Title"/>
    <w:rsid w:val="00F25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271"/>
    <w:pPr>
      <w:tabs>
        <w:tab w:val="left" w:pos="3600"/>
        <w:tab w:val="left" w:pos="3958"/>
      </w:tabs>
    </w:pPr>
  </w:style>
  <w:style w:type="paragraph" w:customStyle="1" w:styleId="Note">
    <w:name w:val="Note"/>
    <w:basedOn w:val="BodyText"/>
    <w:rsid w:val="00F25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271"/>
    <w:pPr>
      <w:framePr w:wrap="auto" w:hAnchor="text" w:y="6049"/>
    </w:pPr>
    <w:rPr>
      <w:color w:val="000000"/>
      <w:sz w:val="40"/>
    </w:rPr>
  </w:style>
  <w:style w:type="paragraph" w:customStyle="1" w:styleId="TOCTitle">
    <w:name w:val="TOCTitle"/>
    <w:basedOn w:val="Heading1"/>
    <w:rsid w:val="00F25271"/>
    <w:pPr>
      <w:spacing w:after="240"/>
      <w:jc w:val="center"/>
      <w:outlineLvl w:val="9"/>
    </w:pPr>
    <w:rPr>
      <w:caps/>
    </w:rPr>
  </w:style>
  <w:style w:type="paragraph" w:customStyle="1" w:styleId="Version">
    <w:name w:val="Version"/>
    <w:rsid w:val="00F25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271"/>
    <w:pPr>
      <w:keepNext w:val="0"/>
      <w:tabs>
        <w:tab w:val="right" w:pos="4176"/>
      </w:tabs>
      <w:ind w:left="198" w:hanging="198"/>
    </w:pPr>
    <w:rPr>
      <w:rFonts w:ascii="Garamond" w:hAnsi="Garamond"/>
    </w:rPr>
  </w:style>
  <w:style w:type="paragraph" w:styleId="IndexHeading">
    <w:name w:val="index heading"/>
    <w:basedOn w:val="Normal"/>
    <w:next w:val="Index1"/>
    <w:semiHidden/>
    <w:rsid w:val="00F25271"/>
    <w:pPr>
      <w:spacing w:before="120" w:after="120"/>
    </w:pPr>
    <w:rPr>
      <w:rFonts w:ascii="Arial" w:hAnsi="Arial"/>
      <w:b/>
      <w:color w:val="918585"/>
      <w:sz w:val="24"/>
    </w:rPr>
  </w:style>
  <w:style w:type="paragraph" w:customStyle="1" w:styleId="Chapter">
    <w:name w:val="Chapter"/>
    <w:basedOn w:val="Normal"/>
    <w:rsid w:val="00F25271"/>
    <w:pPr>
      <w:spacing w:before="240"/>
    </w:pPr>
    <w:rPr>
      <w:rFonts w:ascii="Times New Roman" w:hAnsi="Times New Roman"/>
      <w:smallCaps/>
      <w:spacing w:val="80"/>
      <w:sz w:val="28"/>
    </w:rPr>
  </w:style>
  <w:style w:type="paragraph" w:customStyle="1" w:styleId="InChapter">
    <w:name w:val="InChapter"/>
    <w:basedOn w:val="Heading3"/>
    <w:rsid w:val="00F25271"/>
    <w:pPr>
      <w:spacing w:after="240"/>
      <w:outlineLvl w:val="9"/>
    </w:pPr>
    <w:rPr>
      <w:noProof/>
    </w:rPr>
  </w:style>
  <w:style w:type="paragraph" w:styleId="Index2">
    <w:name w:val="index 2"/>
    <w:basedOn w:val="Normal"/>
    <w:next w:val="Normal"/>
    <w:semiHidden/>
    <w:rsid w:val="00F25271"/>
    <w:pPr>
      <w:tabs>
        <w:tab w:val="right" w:pos="4176"/>
      </w:tabs>
      <w:ind w:left="568" w:hanging="284"/>
    </w:pPr>
    <w:rPr>
      <w:rFonts w:ascii="Garamond" w:hAnsi="Garamond"/>
    </w:rPr>
  </w:style>
  <w:style w:type="paragraph" w:customStyle="1" w:styleId="Byline">
    <w:name w:val="Byline"/>
    <w:rsid w:val="00F25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271"/>
    <w:pPr>
      <w:tabs>
        <w:tab w:val="clear" w:pos="3600"/>
        <w:tab w:val="clear" w:pos="3958"/>
      </w:tabs>
      <w:jc w:val="right"/>
    </w:pPr>
  </w:style>
  <w:style w:type="character" w:styleId="Emphasis">
    <w:name w:val="Emphasis"/>
    <w:basedOn w:val="DefaultParagraphFont"/>
    <w:qFormat/>
    <w:rsid w:val="00F25271"/>
    <w:rPr>
      <w:i/>
    </w:rPr>
  </w:style>
  <w:style w:type="paragraph" w:styleId="Caption">
    <w:name w:val="caption"/>
    <w:basedOn w:val="BodyText"/>
    <w:next w:val="Normal"/>
    <w:qFormat/>
    <w:rsid w:val="00F25271"/>
    <w:pPr>
      <w:framePr w:w="2268" w:hSpace="181" w:vSpace="181" w:wrap="around" w:vAnchor="text" w:hAnchor="page" w:x="1135" w:y="285" w:anchorLock="1"/>
    </w:pPr>
    <w:rPr>
      <w:i/>
    </w:rPr>
  </w:style>
  <w:style w:type="paragraph" w:customStyle="1" w:styleId="MiniTOCTitle">
    <w:name w:val="MiniTOCTitle"/>
    <w:basedOn w:val="Heading4"/>
    <w:rsid w:val="00F25271"/>
    <w:pPr>
      <w:spacing w:before="240"/>
      <w:outlineLvl w:val="9"/>
    </w:pPr>
    <w:rPr>
      <w:noProof/>
      <w:sz w:val="24"/>
    </w:rPr>
  </w:style>
  <w:style w:type="paragraph" w:customStyle="1" w:styleId="MiniTOCItem">
    <w:name w:val="MiniTOCItem"/>
    <w:basedOn w:val="ListBullet"/>
    <w:rsid w:val="00F25271"/>
    <w:pPr>
      <w:numPr>
        <w:numId w:val="0"/>
      </w:numPr>
      <w:tabs>
        <w:tab w:val="right" w:leader="dot" w:pos="6521"/>
      </w:tabs>
      <w:spacing w:before="0" w:after="0"/>
    </w:pPr>
  </w:style>
  <w:style w:type="paragraph" w:customStyle="1" w:styleId="TOFTitle">
    <w:name w:val="TOFTitle"/>
    <w:basedOn w:val="TOCTitle"/>
    <w:rsid w:val="00F25271"/>
  </w:style>
  <w:style w:type="paragraph" w:styleId="TableofFigures">
    <w:name w:val="table of figures"/>
    <w:basedOn w:val="Normal"/>
    <w:next w:val="Normal"/>
    <w:semiHidden/>
    <w:rsid w:val="00F25271"/>
    <w:pPr>
      <w:tabs>
        <w:tab w:val="right" w:leader="dot" w:pos="9072"/>
      </w:tabs>
      <w:ind w:left="970" w:hanging="403"/>
    </w:pPr>
    <w:rPr>
      <w:rFonts w:ascii="Times New Roman" w:hAnsi="Times New Roman"/>
      <w:b/>
    </w:rPr>
  </w:style>
  <w:style w:type="paragraph" w:styleId="ListNumber">
    <w:name w:val="List Number"/>
    <w:basedOn w:val="List"/>
    <w:rsid w:val="00F25271"/>
    <w:pPr>
      <w:numPr>
        <w:numId w:val="11"/>
      </w:numPr>
    </w:pPr>
  </w:style>
  <w:style w:type="character" w:customStyle="1" w:styleId="WingdingSymbols">
    <w:name w:val="Wingding Symbols"/>
    <w:rsid w:val="00F25271"/>
    <w:rPr>
      <w:rFonts w:ascii="Wingdings" w:hAnsi="Wingdings"/>
    </w:rPr>
  </w:style>
  <w:style w:type="paragraph" w:customStyle="1" w:styleId="TableHeading">
    <w:name w:val="Table Heading"/>
    <w:basedOn w:val="HeadingBase"/>
    <w:rsid w:val="00F25271"/>
    <w:pPr>
      <w:keepLines/>
      <w:pBdr>
        <w:bottom w:val="single" w:sz="6" w:space="1" w:color="918585"/>
      </w:pBdr>
      <w:spacing w:before="240"/>
    </w:pPr>
  </w:style>
  <w:style w:type="character" w:customStyle="1" w:styleId="HotSpot">
    <w:name w:val="HotSpot"/>
    <w:rsid w:val="00F25271"/>
    <w:rPr>
      <w:color w:val="0033CC"/>
      <w:u w:val="none"/>
    </w:rPr>
  </w:style>
  <w:style w:type="paragraph" w:customStyle="1" w:styleId="BodyTextRight">
    <w:name w:val="Body Text Right"/>
    <w:basedOn w:val="BodyText"/>
    <w:rsid w:val="00F25271"/>
    <w:pPr>
      <w:spacing w:before="0" w:after="0"/>
      <w:jc w:val="right"/>
    </w:pPr>
  </w:style>
  <w:style w:type="paragraph" w:styleId="Index3">
    <w:name w:val="index 3"/>
    <w:basedOn w:val="ListNumber2"/>
    <w:next w:val="Normal"/>
    <w:semiHidden/>
    <w:rsid w:val="00F25271"/>
    <w:pPr>
      <w:numPr>
        <w:numId w:val="0"/>
      </w:numPr>
      <w:tabs>
        <w:tab w:val="right" w:leader="dot" w:pos="4176"/>
      </w:tabs>
    </w:pPr>
  </w:style>
  <w:style w:type="paragraph" w:styleId="ListNumber2">
    <w:name w:val="List Number 2"/>
    <w:basedOn w:val="List2"/>
    <w:rsid w:val="00F25271"/>
    <w:pPr>
      <w:numPr>
        <w:numId w:val="10"/>
      </w:numPr>
      <w:tabs>
        <w:tab w:val="clear" w:pos="1060"/>
      </w:tabs>
    </w:pPr>
  </w:style>
  <w:style w:type="paragraph" w:customStyle="1" w:styleId="MarginNote">
    <w:name w:val="Margin Note"/>
    <w:basedOn w:val="BodyText"/>
    <w:rsid w:val="00F25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2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271"/>
    <w:rPr>
      <w:sz w:val="32"/>
    </w:rPr>
  </w:style>
  <w:style w:type="paragraph" w:customStyle="1" w:styleId="HeadingProcedure">
    <w:name w:val="Heading Procedure"/>
    <w:basedOn w:val="HeadingBase"/>
    <w:next w:val="Normal"/>
    <w:rsid w:val="00F25271"/>
    <w:pPr>
      <w:tabs>
        <w:tab w:val="left" w:pos="0"/>
      </w:tabs>
      <w:spacing w:before="120" w:after="60"/>
    </w:pPr>
    <w:rPr>
      <w:i/>
      <w:color w:val="918585"/>
      <w:sz w:val="22"/>
    </w:rPr>
  </w:style>
  <w:style w:type="paragraph" w:customStyle="1" w:styleId="TableBodyText">
    <w:name w:val="Table Body Text"/>
    <w:basedOn w:val="BodyText"/>
    <w:rsid w:val="00F25271"/>
    <w:pPr>
      <w:spacing w:before="60" w:after="60"/>
    </w:pPr>
  </w:style>
  <w:style w:type="paragraph" w:styleId="ListContinue">
    <w:name w:val="List Continue"/>
    <w:basedOn w:val="List"/>
    <w:rsid w:val="00F25271"/>
    <w:pPr>
      <w:ind w:firstLine="0"/>
    </w:pPr>
  </w:style>
  <w:style w:type="paragraph" w:customStyle="1" w:styleId="ListNote">
    <w:name w:val="List Note"/>
    <w:basedOn w:val="List"/>
    <w:rsid w:val="00F25271"/>
    <w:pPr>
      <w:pBdr>
        <w:top w:val="single" w:sz="6" w:space="2" w:color="918585"/>
        <w:bottom w:val="single" w:sz="6" w:space="2" w:color="918585"/>
      </w:pBdr>
      <w:tabs>
        <w:tab w:val="left" w:pos="1021"/>
      </w:tabs>
      <w:ind w:firstLine="0"/>
    </w:pPr>
  </w:style>
  <w:style w:type="paragraph" w:customStyle="1" w:styleId="Warning">
    <w:name w:val="Warning"/>
    <w:basedOn w:val="BodyText"/>
    <w:rsid w:val="00F25271"/>
    <w:pPr>
      <w:shd w:val="clear" w:color="auto" w:fill="D9D9D9"/>
      <w:tabs>
        <w:tab w:val="left" w:pos="992"/>
      </w:tabs>
      <w:ind w:left="119" w:right="119"/>
    </w:pPr>
    <w:rPr>
      <w:sz w:val="20"/>
    </w:rPr>
  </w:style>
  <w:style w:type="paragraph" w:customStyle="1" w:styleId="MarginIcons">
    <w:name w:val="Margin Icons"/>
    <w:basedOn w:val="BodyText"/>
    <w:rsid w:val="00F25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271"/>
    <w:rPr>
      <w:rFonts w:ascii="Courier New" w:hAnsi="Courier New"/>
    </w:rPr>
  </w:style>
  <w:style w:type="paragraph" w:customStyle="1" w:styleId="NoteBullet">
    <w:name w:val="Note Bullet"/>
    <w:basedOn w:val="Note"/>
    <w:rsid w:val="00F25271"/>
    <w:pPr>
      <w:tabs>
        <w:tab w:val="clear" w:pos="680"/>
      </w:tabs>
      <w:spacing w:before="60" w:after="60"/>
    </w:pPr>
  </w:style>
  <w:style w:type="paragraph" w:customStyle="1" w:styleId="SubHeading2">
    <w:name w:val="SubHeading2"/>
    <w:basedOn w:val="HeadingBase"/>
    <w:rsid w:val="00F25271"/>
    <w:pPr>
      <w:spacing w:before="240" w:after="60"/>
    </w:pPr>
    <w:rPr>
      <w:sz w:val="20"/>
    </w:rPr>
  </w:style>
  <w:style w:type="paragraph" w:customStyle="1" w:styleId="SubHeading1">
    <w:name w:val="SubHeading1"/>
    <w:basedOn w:val="HeadingBase"/>
    <w:rsid w:val="00F25271"/>
    <w:pPr>
      <w:spacing w:before="240" w:after="60"/>
    </w:pPr>
    <w:rPr>
      <w:color w:val="918585"/>
      <w:sz w:val="22"/>
    </w:rPr>
  </w:style>
  <w:style w:type="paragraph" w:customStyle="1" w:styleId="SideHeading">
    <w:name w:val="Side Heading"/>
    <w:basedOn w:val="HeadingBase"/>
    <w:rsid w:val="00F25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271"/>
    <w:pPr>
      <w:numPr>
        <w:numId w:val="12"/>
      </w:numPr>
    </w:pPr>
  </w:style>
  <w:style w:type="paragraph" w:styleId="PlainText">
    <w:name w:val="Plain Text"/>
    <w:basedOn w:val="Normal"/>
    <w:link w:val="PlainTextChar"/>
    <w:rsid w:val="00F25271"/>
    <w:rPr>
      <w:sz w:val="20"/>
    </w:rPr>
  </w:style>
  <w:style w:type="character" w:customStyle="1" w:styleId="PlainTextChar">
    <w:name w:val="Plain Text Char"/>
    <w:basedOn w:val="DefaultParagraphFont"/>
    <w:link w:val="PlainText"/>
    <w:rsid w:val="00F252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271"/>
    <w:rPr>
      <w:b/>
      <w:smallCaps/>
    </w:rPr>
  </w:style>
  <w:style w:type="paragraph" w:customStyle="1" w:styleId="TableListNumber">
    <w:name w:val="Table List Number"/>
    <w:basedOn w:val="ListNumber"/>
    <w:rsid w:val="00F25271"/>
    <w:pPr>
      <w:numPr>
        <w:numId w:val="0"/>
      </w:numPr>
    </w:pPr>
  </w:style>
  <w:style w:type="paragraph" w:styleId="TOC4">
    <w:name w:val="toc 4"/>
    <w:basedOn w:val="TOCBase"/>
    <w:next w:val="Normal"/>
    <w:semiHidden/>
    <w:rsid w:val="00F25271"/>
    <w:pPr>
      <w:tabs>
        <w:tab w:val="right" w:leader="dot" w:pos="9071"/>
      </w:tabs>
      <w:ind w:left="1701"/>
    </w:pPr>
  </w:style>
  <w:style w:type="paragraph" w:customStyle="1" w:styleId="ListAlpha">
    <w:name w:val="List Alpha"/>
    <w:basedOn w:val="List"/>
    <w:rsid w:val="00F25271"/>
    <w:pPr>
      <w:numPr>
        <w:numId w:val="9"/>
      </w:numPr>
    </w:pPr>
  </w:style>
  <w:style w:type="paragraph" w:customStyle="1" w:styleId="ListAlpha2">
    <w:name w:val="List Alpha 2"/>
    <w:basedOn w:val="List2"/>
    <w:rsid w:val="00F25271"/>
    <w:pPr>
      <w:numPr>
        <w:numId w:val="8"/>
      </w:numPr>
    </w:pPr>
  </w:style>
  <w:style w:type="paragraph" w:styleId="List3">
    <w:name w:val="List 3"/>
    <w:basedOn w:val="BodyText"/>
    <w:rsid w:val="00F25271"/>
    <w:pPr>
      <w:tabs>
        <w:tab w:val="left" w:pos="1021"/>
      </w:tabs>
      <w:spacing w:before="60" w:after="60"/>
      <w:ind w:left="1020" w:hanging="340"/>
    </w:pPr>
  </w:style>
  <w:style w:type="paragraph" w:styleId="List4">
    <w:name w:val="List 4"/>
    <w:basedOn w:val="BodyText"/>
    <w:rsid w:val="00F25271"/>
    <w:pPr>
      <w:tabs>
        <w:tab w:val="left" w:pos="1361"/>
      </w:tabs>
      <w:spacing w:before="60" w:after="60"/>
      <w:ind w:left="1361" w:hanging="340"/>
    </w:pPr>
  </w:style>
  <w:style w:type="paragraph" w:styleId="List5">
    <w:name w:val="List 5"/>
    <w:basedOn w:val="BodyText"/>
    <w:rsid w:val="00F25271"/>
    <w:pPr>
      <w:tabs>
        <w:tab w:val="left" w:pos="1701"/>
      </w:tabs>
      <w:spacing w:before="60" w:after="60"/>
      <w:ind w:left="1701" w:hanging="340"/>
    </w:pPr>
  </w:style>
  <w:style w:type="paragraph" w:styleId="ListBullet3">
    <w:name w:val="List Bullet 3"/>
    <w:basedOn w:val="List3"/>
    <w:rsid w:val="00F25271"/>
    <w:pPr>
      <w:numPr>
        <w:numId w:val="15"/>
      </w:numPr>
      <w:tabs>
        <w:tab w:val="clear" w:pos="1021"/>
      </w:tabs>
      <w:ind w:left="1037" w:hanging="357"/>
    </w:pPr>
  </w:style>
  <w:style w:type="paragraph" w:styleId="ListBullet4">
    <w:name w:val="List Bullet 4"/>
    <w:basedOn w:val="List4"/>
    <w:rsid w:val="00F25271"/>
    <w:pPr>
      <w:numPr>
        <w:numId w:val="3"/>
      </w:numPr>
    </w:pPr>
  </w:style>
  <w:style w:type="paragraph" w:styleId="ListBullet5">
    <w:name w:val="List Bullet 5"/>
    <w:basedOn w:val="List5"/>
    <w:rsid w:val="00F25271"/>
    <w:pPr>
      <w:numPr>
        <w:numId w:val="4"/>
      </w:numPr>
    </w:pPr>
  </w:style>
  <w:style w:type="paragraph" w:styleId="ListContinue2">
    <w:name w:val="List Continue 2"/>
    <w:basedOn w:val="List2"/>
    <w:rsid w:val="00F25271"/>
    <w:pPr>
      <w:ind w:firstLine="0"/>
    </w:pPr>
  </w:style>
  <w:style w:type="paragraph" w:styleId="ListContinue3">
    <w:name w:val="List Continue 3"/>
    <w:basedOn w:val="List3"/>
    <w:rsid w:val="00F25271"/>
    <w:pPr>
      <w:ind w:left="1021" w:firstLine="0"/>
    </w:pPr>
  </w:style>
  <w:style w:type="paragraph" w:styleId="ListContinue4">
    <w:name w:val="List Continue 4"/>
    <w:basedOn w:val="List4"/>
    <w:rsid w:val="00F25271"/>
    <w:pPr>
      <w:ind w:firstLine="0"/>
    </w:pPr>
  </w:style>
  <w:style w:type="paragraph" w:styleId="ListContinue5">
    <w:name w:val="List Continue 5"/>
    <w:basedOn w:val="List5"/>
    <w:rsid w:val="00F25271"/>
    <w:pPr>
      <w:ind w:firstLine="0"/>
    </w:pPr>
  </w:style>
  <w:style w:type="paragraph" w:styleId="ListNumber3">
    <w:name w:val="List Number 3"/>
    <w:basedOn w:val="List3"/>
    <w:rsid w:val="00F25271"/>
    <w:pPr>
      <w:numPr>
        <w:numId w:val="5"/>
      </w:numPr>
    </w:pPr>
  </w:style>
  <w:style w:type="paragraph" w:styleId="ListNumber4">
    <w:name w:val="List Number 4"/>
    <w:basedOn w:val="List4"/>
    <w:rsid w:val="00F25271"/>
    <w:pPr>
      <w:numPr>
        <w:numId w:val="6"/>
      </w:numPr>
    </w:pPr>
  </w:style>
  <w:style w:type="paragraph" w:styleId="ListNumber5">
    <w:name w:val="List Number 5"/>
    <w:basedOn w:val="List5"/>
    <w:rsid w:val="00F25271"/>
    <w:pPr>
      <w:numPr>
        <w:numId w:val="7"/>
      </w:numPr>
    </w:pPr>
  </w:style>
  <w:style w:type="paragraph" w:styleId="BlockText">
    <w:name w:val="Block Text"/>
    <w:basedOn w:val="Normal"/>
    <w:rsid w:val="00F25271"/>
    <w:pPr>
      <w:spacing w:after="120"/>
      <w:ind w:left="1440" w:right="1440"/>
    </w:pPr>
  </w:style>
  <w:style w:type="character" w:customStyle="1" w:styleId="Subscript">
    <w:name w:val="Subscript"/>
    <w:basedOn w:val="DefaultParagraphFont"/>
    <w:rsid w:val="00F25271"/>
    <w:rPr>
      <w:sz w:val="16"/>
      <w:vertAlign w:val="subscript"/>
    </w:rPr>
  </w:style>
  <w:style w:type="character" w:customStyle="1" w:styleId="Superscript">
    <w:name w:val="Superscript"/>
    <w:basedOn w:val="DefaultParagraphFont"/>
    <w:rsid w:val="00F25271"/>
    <w:rPr>
      <w:sz w:val="16"/>
      <w:vertAlign w:val="superscript"/>
    </w:rPr>
  </w:style>
  <w:style w:type="character" w:customStyle="1" w:styleId="Symbols">
    <w:name w:val="Symbols"/>
    <w:basedOn w:val="DefaultParagraphFont"/>
    <w:rsid w:val="00F25271"/>
    <w:rPr>
      <w:rFonts w:ascii="Symbol" w:hAnsi="Symbol"/>
    </w:rPr>
  </w:style>
  <w:style w:type="character" w:customStyle="1" w:styleId="MenuOptions">
    <w:name w:val="Menu Options"/>
    <w:basedOn w:val="DefaultParagraphFont"/>
    <w:rsid w:val="00F25271"/>
    <w:rPr>
      <w:rFonts w:ascii="Arial Narrow" w:hAnsi="Arial Narrow"/>
      <w:smallCaps/>
    </w:rPr>
  </w:style>
  <w:style w:type="character" w:customStyle="1" w:styleId="Buttons">
    <w:name w:val="Buttons"/>
    <w:basedOn w:val="DefaultParagraphFont"/>
    <w:rsid w:val="00F25271"/>
    <w:rPr>
      <w:b/>
    </w:rPr>
  </w:style>
  <w:style w:type="character" w:customStyle="1" w:styleId="Underlined">
    <w:name w:val="Underlined"/>
    <w:basedOn w:val="DefaultParagraphFont"/>
    <w:rsid w:val="00F25271"/>
    <w:rPr>
      <w:u w:val="single"/>
    </w:rPr>
  </w:style>
  <w:style w:type="paragraph" w:customStyle="1" w:styleId="TableBodyTextRight">
    <w:name w:val="Table Body Text Right"/>
    <w:basedOn w:val="TableBodyText"/>
    <w:rsid w:val="00F25271"/>
    <w:pPr>
      <w:widowControl w:val="0"/>
      <w:autoSpaceDE w:val="0"/>
      <w:autoSpaceDN w:val="0"/>
      <w:adjustRightInd w:val="0"/>
      <w:jc w:val="right"/>
    </w:pPr>
    <w:rPr>
      <w:rFonts w:cs="Arial"/>
      <w:szCs w:val="18"/>
    </w:rPr>
  </w:style>
  <w:style w:type="paragraph" w:customStyle="1" w:styleId="CopyrightText">
    <w:name w:val="Copyright Text"/>
    <w:basedOn w:val="BodyText"/>
    <w:rsid w:val="00F25271"/>
    <w:rPr>
      <w:sz w:val="18"/>
    </w:rPr>
  </w:style>
  <w:style w:type="paragraph" w:customStyle="1" w:styleId="BodySmallRight">
    <w:name w:val="Body Small Right"/>
    <w:basedOn w:val="BodyTextRight"/>
    <w:rsid w:val="00F25271"/>
    <w:rPr>
      <w:sz w:val="18"/>
      <w:szCs w:val="18"/>
    </w:rPr>
  </w:style>
  <w:style w:type="paragraph" w:customStyle="1" w:styleId="MarginEdition">
    <w:name w:val="Margin Edition"/>
    <w:basedOn w:val="MarginNote"/>
    <w:rsid w:val="00F25271"/>
    <w:pPr>
      <w:spacing w:before="0" w:after="0"/>
    </w:pPr>
    <w:rPr>
      <w:rFonts w:ascii="Times New Roman" w:hAnsi="Times New Roman"/>
      <w:color w:val="999999"/>
    </w:rPr>
  </w:style>
  <w:style w:type="paragraph" w:customStyle="1" w:styleId="Spacer">
    <w:name w:val="Spacer"/>
    <w:basedOn w:val="Normal"/>
    <w:rsid w:val="00F25271"/>
    <w:rPr>
      <w:sz w:val="2"/>
      <w:szCs w:val="2"/>
    </w:rPr>
  </w:style>
  <w:style w:type="character" w:customStyle="1" w:styleId="Small">
    <w:name w:val="Small"/>
    <w:basedOn w:val="DefaultParagraphFont"/>
    <w:rsid w:val="00F25271"/>
    <w:rPr>
      <w:sz w:val="16"/>
    </w:rPr>
  </w:style>
  <w:style w:type="paragraph" w:customStyle="1" w:styleId="WideTable">
    <w:name w:val="Wide Table"/>
    <w:basedOn w:val="Normal"/>
    <w:rsid w:val="00F25271"/>
    <w:pPr>
      <w:ind w:left="-1418"/>
    </w:pPr>
    <w:rPr>
      <w:sz w:val="2"/>
      <w:szCs w:val="2"/>
    </w:rPr>
  </w:style>
  <w:style w:type="character" w:styleId="PageNumber">
    <w:name w:val="page number"/>
    <w:basedOn w:val="DefaultParagraphFont"/>
    <w:rsid w:val="00F25271"/>
  </w:style>
  <w:style w:type="paragraph" w:styleId="Quote">
    <w:name w:val="Quote"/>
    <w:basedOn w:val="Heading1"/>
    <w:link w:val="QuoteChar"/>
    <w:qFormat/>
    <w:rsid w:val="00F25271"/>
    <w:rPr>
      <w:b w:val="0"/>
      <w:sz w:val="72"/>
      <w:szCs w:val="72"/>
      <w:lang w:val="en-NZ"/>
    </w:rPr>
  </w:style>
  <w:style w:type="character" w:customStyle="1" w:styleId="QuoteChar">
    <w:name w:val="Quote Char"/>
    <w:basedOn w:val="DefaultParagraphFont"/>
    <w:link w:val="Quote"/>
    <w:rsid w:val="00F25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271"/>
    <w:pPr>
      <w:pageBreakBefore/>
    </w:pPr>
  </w:style>
  <w:style w:type="paragraph" w:customStyle="1" w:styleId="Border">
    <w:name w:val="Border"/>
    <w:basedOn w:val="Normal"/>
    <w:qFormat/>
    <w:rsid w:val="00F25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271"/>
    <w:rPr>
      <w:b/>
      <w:bCs/>
      <w:i/>
      <w:iCs/>
      <w:color w:val="auto"/>
    </w:rPr>
  </w:style>
  <w:style w:type="paragraph" w:styleId="IntenseQuote">
    <w:name w:val="Intense Quote"/>
    <w:basedOn w:val="Normal"/>
    <w:next w:val="Normal"/>
    <w:link w:val="IntenseQuoteChar"/>
    <w:uiPriority w:val="30"/>
    <w:qFormat/>
    <w:rsid w:val="00F25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2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271"/>
    <w:rPr>
      <w:smallCaps/>
      <w:color w:val="auto"/>
      <w:u w:val="single"/>
    </w:rPr>
  </w:style>
  <w:style w:type="character" w:styleId="IntenseReference">
    <w:name w:val="Intense Reference"/>
    <w:basedOn w:val="DefaultParagraphFont"/>
    <w:uiPriority w:val="32"/>
    <w:qFormat/>
    <w:rsid w:val="00F25271"/>
    <w:rPr>
      <w:b/>
      <w:bCs/>
      <w:smallCaps/>
      <w:color w:val="auto"/>
      <w:spacing w:val="5"/>
      <w:u w:val="single"/>
    </w:rPr>
  </w:style>
  <w:style w:type="paragraph" w:customStyle="1" w:styleId="2ColumnHeading">
    <w:name w:val="2Column Heading"/>
    <w:basedOn w:val="BodyText"/>
    <w:qFormat/>
    <w:rsid w:val="00F25271"/>
    <w:pPr>
      <w:spacing w:after="60"/>
      <w:ind w:left="-2268"/>
    </w:pPr>
    <w:rPr>
      <w:b/>
    </w:rPr>
  </w:style>
  <w:style w:type="paragraph" w:customStyle="1" w:styleId="Heading1TOC">
    <w:name w:val="Heading1 TOC"/>
    <w:basedOn w:val="Normal"/>
    <w:qFormat/>
    <w:rsid w:val="00F25271"/>
    <w:pPr>
      <w:spacing w:before="240" w:after="120"/>
    </w:pPr>
    <w:rPr>
      <w:rFonts w:ascii="Times New Roman" w:hAnsi="Times New Roman"/>
      <w:b/>
      <w:sz w:val="32"/>
    </w:rPr>
  </w:style>
  <w:style w:type="paragraph" w:customStyle="1" w:styleId="Heading2TOC">
    <w:name w:val="Heading2 TOC"/>
    <w:basedOn w:val="Normal"/>
    <w:qFormat/>
    <w:rsid w:val="00F25271"/>
    <w:pPr>
      <w:spacing w:before="240" w:after="60"/>
    </w:pPr>
    <w:rPr>
      <w:rFonts w:ascii="Times New Roman" w:hAnsi="Times New Roman"/>
      <w:b/>
      <w:sz w:val="28"/>
    </w:rPr>
  </w:style>
  <w:style w:type="character" w:customStyle="1" w:styleId="Underline">
    <w:name w:val="Underline"/>
    <w:basedOn w:val="DefaultParagraphFont"/>
    <w:qFormat/>
    <w:rsid w:val="00F25271"/>
    <w:rPr>
      <w:u w:val="single"/>
    </w:rPr>
  </w:style>
  <w:style w:type="paragraph" w:styleId="BalloonText">
    <w:name w:val="Balloon Text"/>
    <w:basedOn w:val="Normal"/>
    <w:link w:val="BalloonTextChar"/>
    <w:rsid w:val="00F25271"/>
    <w:rPr>
      <w:rFonts w:ascii="Tahoma" w:hAnsi="Tahoma" w:cs="Tahoma"/>
      <w:sz w:val="16"/>
      <w:szCs w:val="16"/>
    </w:rPr>
  </w:style>
  <w:style w:type="character" w:customStyle="1" w:styleId="BalloonTextChar">
    <w:name w:val="Balloon Text Char"/>
    <w:basedOn w:val="DefaultParagraphFont"/>
    <w:link w:val="BalloonText"/>
    <w:rsid w:val="00F252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2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1034</Words>
  <Characters>6872</Characters>
  <Application>Microsoft Office Word</Application>
  <DocSecurity>0</DocSecurity>
  <Lines>251</Lines>
  <Paragraphs>133</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FNSSUP407A Assess complex superannuation benefit or insurance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