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1650" w:rsidP="00551650">
      <w:pPr>
        <w:pStyle w:val="Title"/>
      </w:pPr>
      <w:r>
        <w:fldChar w:fldCharType="begin"/>
      </w:r>
      <w:r>
        <w:instrText xml:space="preserve"> TITLE   \* MERGEFORMAT </w:instrText>
      </w:r>
      <w:r>
        <w:fldChar w:fldCharType="separate"/>
      </w:r>
      <w:r>
        <w:t>FNSSUP402A Assist in meeting superannuation compliance requirements</w:t>
      </w:r>
      <w:r>
        <w:fldChar w:fldCharType="end"/>
      </w:r>
    </w:p>
    <w:p w:rsidR="00551650" w:rsidP="00551650">
      <w:pPr>
        <w:pStyle w:val="Version"/>
        <w:sectPr w:rsidSect="00154C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54C34" w:rsidP="00154C34">
      <w:pPr>
        <w:pStyle w:val="SuperHeading"/>
      </w:pPr>
      <w:r w:rsidRPr="00154C34">
        <w:t>FNSSUP402A Assist in meeting superannuation compliance requirements</w:t>
      </w:r>
    </w:p>
    <w:p w:rsidR="00000000" w:rsidRPr="00154C34" w:rsidP="00154C34">
      <w:pPr>
        <w:pStyle w:val="SuperHeading"/>
      </w:pPr>
    </w:p>
    <w:p w:rsidR="00000000" w:rsidRPr="00154C34" w:rsidP="00154C34">
      <w:pPr>
        <w:pStyle w:val="Heading1"/>
      </w:pPr>
      <w:bookmarkStart w:id="1" w:name="O_80859"/>
      <w:bookmarkEnd w:id="1"/>
      <w:r w:rsidRPr="00154C34">
        <w:t>Modification History</w:t>
      </w:r>
    </w:p>
    <w:p w:rsidR="00000000" w:rsidRPr="00154C34" w:rsidP="00154C34">
      <w:pPr>
        <w:pStyle w:val="BodyText"/>
      </w:pPr>
      <w:r w:rsidRPr="00154C34">
        <w:t>Not applicable.</w:t>
      </w:r>
    </w:p>
    <w:p w:rsidR="00000000" w:rsidRPr="00154C34" w:rsidP="00154C34">
      <w:pPr>
        <w:pStyle w:val="AllowPageBreak"/>
      </w:pPr>
    </w:p>
    <w:p w:rsidR="00000000" w:rsidRPr="00154C34" w:rsidP="00154C34">
      <w:pPr>
        <w:pStyle w:val="Heading1"/>
      </w:pPr>
      <w:bookmarkStart w:id="2" w:name="O_80860"/>
      <w:bookmarkEnd w:id="2"/>
      <w:r w:rsidRPr="00154C34">
        <w:t>Unit Descriptor</w:t>
      </w:r>
    </w:p>
    <w:tbl>
      <w:tblPr>
        <w:tblW w:w="0" w:type="auto"/>
        <w:tblLayout w:type="fixed"/>
        <w:tblCellMar>
          <w:left w:w="62" w:type="dxa"/>
          <w:right w:w="62" w:type="dxa"/>
        </w:tblCellMar>
        <w:tblLook w:val="0000"/>
      </w:tblPr>
      <w:tblGrid>
        <w:gridCol w:w="2581"/>
        <w:gridCol w:w="5941"/>
      </w:tblGrid>
      <w:tr w:rsidTr="00551650">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C34">
            <w:pPr>
              <w:pStyle w:val="BodyText"/>
              <w:rPr>
                <w:lang w:val="en-NZ"/>
              </w:rPr>
            </w:pPr>
            <w:r w:rsidRPr="00154C34">
              <w:t>Unit descriptor</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C34" w:rsidP="00154C34">
            <w:pPr>
              <w:pStyle w:val="BodyText"/>
            </w:pPr>
            <w:r w:rsidRPr="00154C34">
              <w:t>This unit describes the performance outcomes, skills and knowledge required to assist</w:t>
            </w:r>
            <w:r w:rsidRPr="00154C34">
              <w:t xml:space="preserve"> the organisation to meet compliance requirements relevant to superannuation and the type of fund. It encompasses the identification of compliance requirements, determining legislative and regulatory requirements, assisting in compliance audits, reviewing </w:t>
            </w:r>
            <w:r w:rsidRPr="00154C34">
              <w:t>organisation policies and procedures to ensure compliance, preparing statutory reports to meet compliance requirements, identifying Australian Taxation Office (ATO), Australian Prudential Regulation Authority (APRA) and Australian Securities and Investment</w:t>
            </w:r>
            <w:r w:rsidRPr="00154C34">
              <w:t>s Commission (ASIC) compliance requirements and implementing quality assurance practices.</w:t>
            </w:r>
          </w:p>
          <w:p w:rsidR="00000000" w:rsidRPr="00154C34" w:rsidP="00154C34">
            <w:pPr>
              <w:pStyle w:val="BodyText"/>
            </w:pPr>
          </w:p>
          <w:p w:rsidR="00000000" w:rsidRPr="00154C34" w:rsidP="00154C34">
            <w:pPr>
              <w:pStyle w:val="BodyText"/>
            </w:pPr>
            <w:r w:rsidRPr="00154C34">
              <w:t>This unit is applicable to individuals working within enterprises and job roles subject to licensing, legislative, regulatory or certification requirements including</w:t>
            </w:r>
            <w:r w:rsidRPr="00154C34">
              <w:t xml:space="preserve"> legislation administered by the Australian Securities and Investments Commission (ASIC).</w:t>
            </w:r>
          </w:p>
        </w:tc>
      </w:tr>
    </w:tbl>
    <w:p w:rsidR="00000000" w:rsidRPr="00154C34" w:rsidP="00154C34">
      <w:pPr>
        <w:pStyle w:val="BodyText"/>
      </w:pPr>
    </w:p>
    <w:p w:rsidR="00000000" w:rsidRPr="00154C34" w:rsidP="00154C34">
      <w:pPr>
        <w:pStyle w:val="AllowPageBreak"/>
      </w:pPr>
    </w:p>
    <w:p w:rsidR="00000000" w:rsidRPr="00154C34" w:rsidP="00154C34">
      <w:pPr>
        <w:pStyle w:val="Heading1"/>
      </w:pPr>
      <w:bookmarkStart w:id="3" w:name="O_80861"/>
      <w:bookmarkEnd w:id="3"/>
      <w:r w:rsidRPr="00154C34">
        <w:t>Application of the Unit</w:t>
      </w:r>
    </w:p>
    <w:tbl>
      <w:tblPr>
        <w:tblW w:w="0" w:type="auto"/>
        <w:tblLayout w:type="fixed"/>
        <w:tblCellMar>
          <w:left w:w="62" w:type="dxa"/>
          <w:right w:w="62" w:type="dxa"/>
        </w:tblCellMar>
        <w:tblLook w:val="0000"/>
      </w:tblPr>
      <w:tblGrid>
        <w:gridCol w:w="2689"/>
        <w:gridCol w:w="5833"/>
      </w:tblGrid>
      <w:tr w:rsidTr="00551650">
        <w:tblPrEx>
          <w:tblW w:w="0" w:type="auto"/>
          <w:tblLayout w:type="fixed"/>
          <w:tblCellMar>
            <w:left w:w="62" w:type="dxa"/>
            <w:right w:w="62" w:type="dxa"/>
          </w:tblCellMar>
          <w:tblLook w:val="0000"/>
        </w:tblPrEx>
        <w:trPr>
          <w:tblHeader/>
        </w:trPr>
        <w:tc>
          <w:tcPr>
            <w:tcW w:w="2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C34">
            <w:pPr>
              <w:pStyle w:val="BodyText"/>
              <w:rPr>
                <w:lang w:val="en-NZ"/>
              </w:rPr>
            </w:pPr>
            <w:r w:rsidRPr="00154C34">
              <w:t>Application of the unit</w:t>
            </w:r>
          </w:p>
        </w:tc>
        <w:tc>
          <w:tcPr>
            <w:tcW w:w="5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C34" w:rsidP="00154C34">
            <w:pPr>
              <w:pStyle w:val="BodyText"/>
            </w:pPr>
            <w:r w:rsidRPr="00154C34">
              <w:t>This unit has application to superannuation administration, trustees and auditory roles.</w:t>
            </w:r>
          </w:p>
        </w:tc>
      </w:tr>
    </w:tbl>
    <w:p w:rsidR="00000000" w:rsidRPr="00154C34" w:rsidP="00154C34">
      <w:pPr>
        <w:pStyle w:val="BodyText"/>
      </w:pPr>
    </w:p>
    <w:p w:rsidR="00000000" w:rsidRPr="00154C34" w:rsidP="00154C34">
      <w:pPr>
        <w:pStyle w:val="AllowPageBreak"/>
      </w:pPr>
    </w:p>
    <w:p w:rsidR="00000000" w:rsidRPr="00154C34" w:rsidP="00154C34">
      <w:pPr>
        <w:pStyle w:val="Heading1"/>
      </w:pPr>
      <w:bookmarkStart w:id="4" w:name="O_80862"/>
      <w:bookmarkEnd w:id="4"/>
      <w:r w:rsidRPr="00154C34">
        <w:t>Licensing/Regulatory Information</w:t>
      </w:r>
    </w:p>
    <w:p w:rsidR="00000000" w:rsidRPr="00154C34" w:rsidP="00154C34">
      <w:pPr>
        <w:pStyle w:val="BodyText"/>
      </w:pPr>
      <w:r w:rsidRPr="00154C34">
        <w:t>Not applicable.</w:t>
      </w:r>
    </w:p>
    <w:p w:rsidR="00000000" w:rsidRPr="00154C34" w:rsidP="00154C34">
      <w:pPr>
        <w:pStyle w:val="AllowPageBreak"/>
      </w:pPr>
    </w:p>
    <w:p w:rsidR="00000000" w:rsidRPr="00154C34" w:rsidP="00154C34">
      <w:pPr>
        <w:pStyle w:val="Heading1"/>
      </w:pPr>
      <w:bookmarkStart w:id="5" w:name="O_80864"/>
      <w:bookmarkEnd w:id="5"/>
      <w:r w:rsidRPr="00154C34">
        <w:t>Pre-Requisites</w:t>
      </w:r>
    </w:p>
    <w:tbl>
      <w:tblPr>
        <w:tblW w:w="0" w:type="auto"/>
        <w:tblLayout w:type="fixed"/>
        <w:tblCellMar>
          <w:left w:w="62" w:type="dxa"/>
          <w:right w:w="62" w:type="dxa"/>
        </w:tblCellMar>
        <w:tblLook w:val="0000"/>
      </w:tblPr>
      <w:tblGrid>
        <w:gridCol w:w="2725"/>
        <w:gridCol w:w="1305"/>
        <w:gridCol w:w="4492"/>
      </w:tblGrid>
      <w:tr w:rsidTr="00551650">
        <w:tblPrEx>
          <w:tblW w:w="0" w:type="auto"/>
          <w:tblLayout w:type="fixed"/>
          <w:tblCellMar>
            <w:left w:w="62" w:type="dxa"/>
            <w:right w:w="62" w:type="dxa"/>
          </w:tblCellMar>
          <w:tblLook w:val="0000"/>
        </w:tblPrEx>
        <w:trPr>
          <w:tblHeader/>
        </w:trPr>
        <w:tc>
          <w:tcPr>
            <w:tcW w:w="2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C34">
            <w:pPr>
              <w:pStyle w:val="BodyText"/>
              <w:rPr>
                <w:lang w:val="en-NZ"/>
              </w:rPr>
            </w:pPr>
            <w:r w:rsidRPr="00154C34">
              <w:t>Prerequisite units</w:t>
            </w:r>
          </w:p>
        </w:tc>
        <w:tc>
          <w:tcPr>
            <w:tcW w:w="579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C34">
            <w:pPr>
              <w:pStyle w:val="BodyText"/>
              <w:rPr>
                <w:lang w:val="en-NZ"/>
              </w:rPr>
            </w:pPr>
          </w:p>
        </w:tc>
      </w:tr>
      <w:tr w:rsidTr="00551650">
        <w:tblPrEx>
          <w:tblW w:w="0" w:type="auto"/>
          <w:tblLayout w:type="fixed"/>
          <w:tblCellMar>
            <w:left w:w="62" w:type="dxa"/>
            <w:right w:w="62" w:type="dxa"/>
          </w:tblCellMar>
          <w:tblLook w:val="0000"/>
        </w:tblPrEx>
        <w:tc>
          <w:tcPr>
            <w:tcW w:w="2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C34">
            <w:pPr>
              <w:pStyle w:val="BodyText"/>
              <w:rPr>
                <w:lang w:val="en-NZ"/>
              </w:rPr>
            </w:pPr>
          </w:p>
        </w:tc>
      </w:tr>
      <w:tr w:rsidTr="00551650">
        <w:tblPrEx>
          <w:tblW w:w="0" w:type="auto"/>
          <w:tblLayout w:type="fixed"/>
          <w:tblCellMar>
            <w:left w:w="62" w:type="dxa"/>
            <w:right w:w="62" w:type="dxa"/>
          </w:tblCellMar>
          <w:tblLook w:val="0000"/>
        </w:tblPrEx>
        <w:tc>
          <w:tcPr>
            <w:tcW w:w="2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C34" w:rsidP="00154C34">
            <w:pPr>
              <w:pStyle w:val="BodyText"/>
            </w:pPr>
          </w:p>
        </w:tc>
      </w:tr>
    </w:tbl>
    <w:p w:rsidR="00000000" w:rsidRPr="00154C34" w:rsidP="00154C34">
      <w:pPr>
        <w:pStyle w:val="BodyText"/>
      </w:pPr>
    </w:p>
    <w:p w:rsidR="00000000" w:rsidRPr="00154C34" w:rsidP="00154C34">
      <w:pPr>
        <w:pStyle w:val="AllowPageBreak"/>
      </w:pPr>
    </w:p>
    <w:p w:rsidR="00000000" w:rsidRPr="00154C34" w:rsidP="00154C34">
      <w:pPr>
        <w:pStyle w:val="Heading1"/>
      </w:pPr>
      <w:bookmarkStart w:id="6" w:name="O_80863"/>
      <w:bookmarkEnd w:id="6"/>
      <w:r w:rsidRPr="00154C34">
        <w:t>Employability Skills Information</w:t>
      </w:r>
    </w:p>
    <w:tbl>
      <w:tblPr>
        <w:tblW w:w="0" w:type="auto"/>
        <w:tblLayout w:type="fixed"/>
        <w:tblCellMar>
          <w:left w:w="62" w:type="dxa"/>
          <w:right w:w="62" w:type="dxa"/>
        </w:tblCellMar>
        <w:tblLook w:val="0000"/>
      </w:tblPr>
      <w:tblGrid>
        <w:gridCol w:w="2733"/>
        <w:gridCol w:w="5789"/>
      </w:tblGrid>
      <w:tr w:rsidTr="00551650">
        <w:tblPrEx>
          <w:tblW w:w="0" w:type="auto"/>
          <w:tblLayout w:type="fixed"/>
          <w:tblCellMar>
            <w:left w:w="62" w:type="dxa"/>
            <w:right w:w="62" w:type="dxa"/>
          </w:tblCellMar>
          <w:tblLook w:val="0000"/>
        </w:tblPrEx>
        <w:trPr>
          <w:tblHeader/>
        </w:trPr>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C34">
            <w:pPr>
              <w:pStyle w:val="BodyText"/>
              <w:rPr>
                <w:lang w:val="en-NZ"/>
              </w:rPr>
            </w:pPr>
            <w:r w:rsidRPr="00154C34">
              <w:t>Employability skills</w:t>
            </w:r>
          </w:p>
        </w:tc>
        <w:tc>
          <w:tcPr>
            <w:tcW w:w="57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C34" w:rsidP="00154C34">
            <w:pPr>
              <w:pStyle w:val="BodyText"/>
            </w:pPr>
            <w:r w:rsidRPr="00154C34">
              <w:t>This unit contains employability skills.</w:t>
            </w:r>
          </w:p>
        </w:tc>
      </w:tr>
    </w:tbl>
    <w:p w:rsidR="00000000" w:rsidRPr="00154C34" w:rsidP="00154C34">
      <w:pPr>
        <w:pStyle w:val="BodyText"/>
      </w:pPr>
    </w:p>
    <w:p w:rsidR="00000000" w:rsidRPr="00154C34" w:rsidP="00154C34">
      <w:pPr>
        <w:pStyle w:val="AllowPageBreak"/>
      </w:pPr>
    </w:p>
    <w:p w:rsidR="00000000" w:rsidRPr="00154C34" w:rsidP="00154C34">
      <w:pPr>
        <w:pStyle w:val="Heading1"/>
      </w:pPr>
      <w:bookmarkStart w:id="7" w:name="O_80865"/>
      <w:bookmarkEnd w:id="7"/>
      <w:r w:rsidRPr="00154C34">
        <w:t>Elements and Performance Criteria Pre-Content</w:t>
      </w:r>
    </w:p>
    <w:tbl>
      <w:tblPr>
        <w:tblW w:w="0" w:type="auto"/>
        <w:tblLayout w:type="fixed"/>
        <w:tblCellMar>
          <w:left w:w="62" w:type="dxa"/>
          <w:right w:w="62" w:type="dxa"/>
        </w:tblCellMar>
        <w:tblLook w:val="0000"/>
      </w:tblPr>
      <w:tblGrid>
        <w:gridCol w:w="2561"/>
        <w:gridCol w:w="5961"/>
      </w:tblGrid>
      <w:tr w:rsidTr="00551650">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C34">
            <w:pPr>
              <w:pStyle w:val="BodyText"/>
              <w:rPr>
                <w:lang w:val="en-NZ"/>
              </w:rPr>
            </w:pPr>
            <w:r w:rsidRPr="00154C34">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C34" w:rsidP="00154C34">
            <w:pPr>
              <w:pStyle w:val="BodyText"/>
            </w:pPr>
            <w:r w:rsidRPr="00154C34">
              <w:t>Performance criteria describe the performance needed to demonstrate achievement of the element. Where bold italicised text is used, further info</w:t>
            </w:r>
            <w:r w:rsidRPr="00154C34">
              <w:t>rmation is detailed in the required skills and knowledge section and the range statement. Assessment of performance is to be consistent with the evidence guide.</w:t>
            </w:r>
          </w:p>
        </w:tc>
      </w:tr>
    </w:tbl>
    <w:p w:rsidR="00000000" w:rsidRPr="00154C34" w:rsidP="00154C34">
      <w:pPr>
        <w:pStyle w:val="BodyText"/>
      </w:pPr>
    </w:p>
    <w:p w:rsidR="00000000" w:rsidRPr="00154C34" w:rsidP="00154C34">
      <w:pPr>
        <w:pStyle w:val="AllowPageBreak"/>
      </w:pPr>
    </w:p>
    <w:p w:rsidR="00000000" w:rsidRPr="00154C34" w:rsidP="00154C34">
      <w:pPr>
        <w:pStyle w:val="Heading1"/>
      </w:pPr>
      <w:bookmarkStart w:id="8" w:name="O_80866"/>
      <w:bookmarkEnd w:id="8"/>
      <w:r w:rsidRPr="00154C34">
        <w:t>Elements and Performance Criteria</w:t>
      </w:r>
    </w:p>
    <w:tbl>
      <w:tblPr>
        <w:tblW w:w="0" w:type="auto"/>
        <w:tblLayout w:type="fixed"/>
        <w:tblCellMar>
          <w:left w:w="62" w:type="dxa"/>
          <w:right w:w="62" w:type="dxa"/>
        </w:tblCellMar>
        <w:tblLook w:val="0000"/>
      </w:tblPr>
      <w:tblGrid>
        <w:gridCol w:w="2561"/>
        <w:gridCol w:w="5961"/>
      </w:tblGrid>
      <w:tr w:rsidTr="00551650">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C34" w:rsidP="00154C34">
            <w:pPr>
              <w:pStyle w:val="BodyText"/>
            </w:pPr>
            <w:r w:rsidRPr="00154C34">
              <w:rPr>
                <w:rStyle w:val="SpecialBold"/>
              </w:rPr>
              <w:t>ELEMENT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C34">
            <w:pPr>
              <w:pStyle w:val="BodyText"/>
              <w:rPr>
                <w:lang w:val="en-NZ"/>
              </w:rPr>
            </w:pPr>
            <w:r w:rsidRPr="00154C34">
              <w:rPr>
                <w:rStyle w:val="SpecialBold"/>
              </w:rPr>
              <w:t>PERFORMANCE CRITERIA</w:t>
            </w:r>
          </w:p>
        </w:tc>
      </w:tr>
      <w:tr w:rsidTr="00551650">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C34">
            <w:pPr>
              <w:pStyle w:val="List"/>
              <w:rPr>
                <w:lang w:val="en-NZ"/>
              </w:rPr>
            </w:pPr>
            <w:r w:rsidRPr="00154C34">
              <w:t>1.</w:t>
            </w:r>
            <w:r w:rsidRPr="00154C34">
              <w:tab/>
            </w:r>
            <w:r w:rsidRPr="00154C34">
              <w:t>Identify compliance requirements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C34" w:rsidP="00154C34">
            <w:pPr>
              <w:pStyle w:val="List2"/>
            </w:pPr>
            <w:r w:rsidRPr="00154C34">
              <w:t>1.1.</w:t>
            </w:r>
            <w:r w:rsidRPr="00154C34">
              <w:tab/>
              <w:t xml:space="preserve">The roles of compliance </w:t>
            </w:r>
            <w:r w:rsidRPr="00154C34">
              <w:rPr>
                <w:rStyle w:val="BoldandItalics"/>
              </w:rPr>
              <w:t>regulatory bodies</w:t>
            </w:r>
            <w:r w:rsidRPr="00154C34">
              <w:t xml:space="preserve"> are identified</w:t>
            </w:r>
          </w:p>
          <w:p w:rsidR="00000000" w:rsidRPr="00154C34" w:rsidP="00154C34">
            <w:pPr>
              <w:pStyle w:val="List2"/>
            </w:pPr>
            <w:r w:rsidRPr="00154C34">
              <w:t>1.2.</w:t>
            </w:r>
            <w:r w:rsidRPr="00154C34">
              <w:tab/>
              <w:t>The implications of compliance and non-compliance are clarified and explained to the customer</w:t>
            </w:r>
          </w:p>
          <w:p w:rsidR="00000000" w:rsidRPr="00154C34" w:rsidP="00154C34">
            <w:pPr>
              <w:pStyle w:val="List2"/>
            </w:pPr>
            <w:r w:rsidRPr="00154C34">
              <w:t>1.3.</w:t>
            </w:r>
            <w:r w:rsidRPr="00154C34">
              <w:tab/>
            </w:r>
            <w:r w:rsidRPr="00154C34">
              <w:rPr>
                <w:rStyle w:val="BoldandItalics"/>
              </w:rPr>
              <w:t>Legislation and regulations determining compliance</w:t>
            </w:r>
            <w:r w:rsidRPr="00154C34">
              <w:t xml:space="preserve"> are id</w:t>
            </w:r>
            <w:r w:rsidRPr="00154C34">
              <w:t>entified</w:t>
            </w:r>
          </w:p>
          <w:p w:rsidR="00000000" w:rsidP="00154C34">
            <w:pPr>
              <w:pStyle w:val="List2"/>
              <w:rPr>
                <w:lang w:val="en-NZ"/>
              </w:rPr>
            </w:pPr>
            <w:r w:rsidRPr="00154C34">
              <w:t>1.4.</w:t>
            </w:r>
            <w:r w:rsidRPr="00154C34">
              <w:tab/>
              <w:t>The reporting requirements of relevant legislation are identified</w:t>
            </w:r>
          </w:p>
        </w:tc>
      </w:tr>
      <w:tr w:rsidTr="00551650">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C34">
            <w:pPr>
              <w:pStyle w:val="List"/>
              <w:rPr>
                <w:lang w:val="en-NZ"/>
              </w:rPr>
            </w:pPr>
            <w:r w:rsidRPr="00154C34">
              <w:t>2.</w:t>
            </w:r>
            <w:r w:rsidRPr="00154C34">
              <w:tab/>
              <w:t>Assist in compliance audits as required</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C34" w:rsidP="00154C34">
            <w:pPr>
              <w:pStyle w:val="List2"/>
            </w:pPr>
            <w:r w:rsidRPr="00154C34">
              <w:t>2.1.</w:t>
            </w:r>
            <w:r w:rsidRPr="00154C34">
              <w:tab/>
              <w:t>Information for annual review and compliance reports is provided in a timely manner</w:t>
            </w:r>
          </w:p>
          <w:p w:rsidR="00000000" w:rsidRPr="00154C34" w:rsidP="00154C34">
            <w:pPr>
              <w:pStyle w:val="List2"/>
            </w:pPr>
            <w:r w:rsidRPr="00154C34">
              <w:t>2.2.</w:t>
            </w:r>
            <w:r w:rsidRPr="00154C34">
              <w:tab/>
              <w:t>External auditors are provided with re</w:t>
            </w:r>
            <w:r w:rsidRPr="00154C34">
              <w:t>quired information</w:t>
            </w:r>
          </w:p>
          <w:p w:rsidR="00000000" w:rsidRPr="00154C34" w:rsidP="00154C34">
            <w:pPr>
              <w:pStyle w:val="List2"/>
            </w:pPr>
            <w:r w:rsidRPr="00154C34">
              <w:t>2.3.</w:t>
            </w:r>
            <w:r w:rsidRPr="00154C34">
              <w:tab/>
              <w:t xml:space="preserve">Collation of information is provided to enable </w:t>
            </w:r>
            <w:r w:rsidRPr="00154C34">
              <w:rPr>
                <w:rStyle w:val="BoldandItalics"/>
              </w:rPr>
              <w:t>statutory returns</w:t>
            </w:r>
            <w:r w:rsidRPr="00154C34">
              <w:t xml:space="preserve"> to be prepared for submission to APRA, ASIC and the ATO as required</w:t>
            </w:r>
          </w:p>
          <w:p w:rsidR="00000000" w:rsidP="00154C34">
            <w:pPr>
              <w:pStyle w:val="List2"/>
              <w:rPr>
                <w:lang w:val="en-NZ"/>
              </w:rPr>
            </w:pPr>
            <w:r w:rsidRPr="00154C34">
              <w:t>2.4.</w:t>
            </w:r>
            <w:r w:rsidRPr="00154C34">
              <w:tab/>
              <w:t>Documents and records are stored according to regulatory requirements</w:t>
            </w:r>
          </w:p>
        </w:tc>
      </w:tr>
      <w:tr w:rsidTr="00551650">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C34">
            <w:pPr>
              <w:pStyle w:val="List"/>
              <w:rPr>
                <w:lang w:val="en-NZ"/>
              </w:rPr>
            </w:pPr>
            <w:r w:rsidRPr="00154C34">
              <w:t>3.</w:t>
            </w:r>
            <w:r w:rsidRPr="00154C34">
              <w:tab/>
              <w:t>Provide support to a</w:t>
            </w:r>
            <w:r w:rsidRPr="00154C34">
              <w:t>ssist in ensuring compliance requirements are met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C34" w:rsidP="00154C34">
            <w:pPr>
              <w:pStyle w:val="List2"/>
            </w:pPr>
            <w:r w:rsidRPr="00154C34">
              <w:t>3.1.</w:t>
            </w:r>
            <w:r w:rsidRPr="00154C34">
              <w:tab/>
              <w:t>Documentation is reviewed to ensure that compliance requirements are met</w:t>
            </w:r>
          </w:p>
          <w:p w:rsidR="00000000" w:rsidRPr="00154C34" w:rsidP="00154C34">
            <w:pPr>
              <w:pStyle w:val="List2"/>
            </w:pPr>
            <w:r w:rsidRPr="00154C34">
              <w:t>3.2.</w:t>
            </w:r>
            <w:r w:rsidRPr="00154C34">
              <w:tab/>
              <w:t>Member communications are reviewed to ensure that compliance requirements are met</w:t>
            </w:r>
          </w:p>
          <w:p w:rsidR="00000000" w:rsidRPr="00154C34" w:rsidP="00154C34">
            <w:pPr>
              <w:pStyle w:val="List2"/>
            </w:pPr>
            <w:r w:rsidRPr="00154C34">
              <w:t>3.3.</w:t>
            </w:r>
            <w:r w:rsidRPr="00154C34">
              <w:tab/>
            </w:r>
            <w:r w:rsidRPr="00154C34">
              <w:rPr>
                <w:rStyle w:val="BoldandItalics"/>
              </w:rPr>
              <w:t>Organisation procedures</w:t>
            </w:r>
            <w:r w:rsidRPr="00154C34">
              <w:t xml:space="preserve"> and guidelines are reviewed ensuring compliance requirements are followed</w:t>
            </w:r>
          </w:p>
          <w:p w:rsidR="00000000" w:rsidRPr="00154C34" w:rsidP="00154C34">
            <w:pPr>
              <w:pStyle w:val="List2"/>
            </w:pPr>
            <w:r w:rsidRPr="00154C34">
              <w:t>3.4.</w:t>
            </w:r>
            <w:r w:rsidRPr="00154C34">
              <w:tab/>
              <w:t>Irregularities are reported promptly to appropriate personnel</w:t>
            </w:r>
          </w:p>
          <w:p w:rsidR="00000000" w:rsidRPr="00154C34" w:rsidP="00154C34">
            <w:pPr>
              <w:pStyle w:val="List2"/>
            </w:pPr>
            <w:r w:rsidRPr="00154C34">
              <w:t>3.5.</w:t>
            </w:r>
            <w:r w:rsidRPr="00154C34">
              <w:tab/>
              <w:t>Work is conducted in accordance with legislative requirements</w:t>
            </w:r>
          </w:p>
          <w:p w:rsidR="00000000" w:rsidP="00154C34">
            <w:pPr>
              <w:pStyle w:val="List2"/>
              <w:rPr>
                <w:lang w:val="en-NZ"/>
              </w:rPr>
            </w:pPr>
            <w:r w:rsidRPr="00154C34">
              <w:t>3.6.</w:t>
            </w:r>
            <w:r w:rsidRPr="00154C34">
              <w:tab/>
              <w:t>New compliance requirements are integrated</w:t>
            </w:r>
            <w:r w:rsidRPr="00154C34">
              <w:t xml:space="preserve"> into work practices as required</w:t>
            </w:r>
          </w:p>
        </w:tc>
      </w:tr>
      <w:tr w:rsidTr="00551650">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C34">
            <w:pPr>
              <w:pStyle w:val="List"/>
              <w:rPr>
                <w:lang w:val="en-NZ"/>
              </w:rPr>
            </w:pPr>
            <w:r w:rsidRPr="00154C34">
              <w:t>4.</w:t>
            </w:r>
            <w:r w:rsidRPr="00154C34">
              <w:tab/>
              <w:t>Prepare information for statutory reports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C34" w:rsidP="00154C34">
            <w:pPr>
              <w:pStyle w:val="List2"/>
            </w:pPr>
            <w:r w:rsidRPr="00154C34">
              <w:t>4.1.</w:t>
            </w:r>
            <w:r w:rsidRPr="00154C34">
              <w:tab/>
              <w:t>Organisation guidelines for preparing information for statutory reports are identified</w:t>
            </w:r>
          </w:p>
          <w:p w:rsidR="00000000" w:rsidRPr="00154C34" w:rsidP="00154C34">
            <w:pPr>
              <w:pStyle w:val="List2"/>
            </w:pPr>
            <w:r w:rsidRPr="00154C34">
              <w:t>4.2.</w:t>
            </w:r>
            <w:r w:rsidRPr="00154C34">
              <w:tab/>
            </w:r>
            <w:r w:rsidRPr="00154C34">
              <w:rPr>
                <w:rStyle w:val="BoldandItalics"/>
              </w:rPr>
              <w:t>Requirements for taxation returns</w:t>
            </w:r>
            <w:r w:rsidRPr="00154C34">
              <w:t xml:space="preserve"> and statutory reports are identified</w:t>
            </w:r>
          </w:p>
          <w:p w:rsidR="00000000" w:rsidRPr="00154C34" w:rsidP="00154C34">
            <w:pPr>
              <w:pStyle w:val="List2"/>
            </w:pPr>
            <w:r w:rsidRPr="00154C34">
              <w:t>4.3.</w:t>
            </w:r>
            <w:r w:rsidRPr="00154C34">
              <w:tab/>
              <w:t>Comp</w:t>
            </w:r>
            <w:r w:rsidRPr="00154C34">
              <w:t>liance requirements for ATO, APRA and ASIC are identified</w:t>
            </w:r>
          </w:p>
          <w:p w:rsidR="00000000" w:rsidRPr="00154C34" w:rsidP="00154C34">
            <w:pPr>
              <w:pStyle w:val="List2"/>
            </w:pPr>
            <w:r w:rsidRPr="00154C34">
              <w:t>4.4.</w:t>
            </w:r>
            <w:r w:rsidRPr="00154C34">
              <w:tab/>
              <w:t>Information is prepared in accordance with regulatory and organisation guidelines</w:t>
            </w:r>
          </w:p>
          <w:p w:rsidR="00000000" w:rsidP="00154C34">
            <w:pPr>
              <w:pStyle w:val="List2"/>
              <w:rPr>
                <w:lang w:val="en-NZ"/>
              </w:rPr>
            </w:pPr>
            <w:r w:rsidRPr="00154C34">
              <w:t>4.5.</w:t>
            </w:r>
            <w:r w:rsidRPr="00154C34">
              <w:tab/>
              <w:t xml:space="preserve">Information is forwarded to relevant internal and/or </w:t>
            </w:r>
            <w:r w:rsidRPr="00154C34">
              <w:t>external parties</w:t>
            </w:r>
          </w:p>
        </w:tc>
      </w:tr>
      <w:tr w:rsidTr="00551650">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C34">
            <w:pPr>
              <w:pStyle w:val="List"/>
              <w:rPr>
                <w:lang w:val="en-NZ"/>
              </w:rPr>
            </w:pPr>
            <w:r w:rsidRPr="00154C34">
              <w:t>5.</w:t>
            </w:r>
            <w:r w:rsidRPr="00154C34">
              <w:tab/>
              <w:t>Implement quality assurance prac</w:t>
            </w:r>
            <w:r w:rsidRPr="00154C34">
              <w:t>tices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C34" w:rsidP="00154C34">
            <w:pPr>
              <w:pStyle w:val="List2"/>
            </w:pPr>
            <w:r w:rsidRPr="00154C34">
              <w:t>5.1.</w:t>
            </w:r>
            <w:r w:rsidRPr="00154C34">
              <w:tab/>
              <w:t>Organisation quality assurance practices are identified and recommendations for improvement are made</w:t>
            </w:r>
          </w:p>
          <w:p w:rsidR="00000000" w:rsidRPr="00154C34" w:rsidP="00154C34">
            <w:pPr>
              <w:pStyle w:val="List2"/>
            </w:pPr>
            <w:r w:rsidRPr="00154C34">
              <w:t>5.2.</w:t>
            </w:r>
            <w:r w:rsidRPr="00154C34">
              <w:tab/>
              <w:t>Member documentation is maintained in accordance with organisation requirements</w:t>
            </w:r>
          </w:p>
          <w:p w:rsidR="00000000" w:rsidRPr="00154C34" w:rsidP="00154C34">
            <w:pPr>
              <w:pStyle w:val="List2"/>
            </w:pPr>
            <w:r w:rsidRPr="00154C34">
              <w:t>5.3.</w:t>
            </w:r>
            <w:r w:rsidRPr="00154C34">
              <w:tab/>
              <w:t>System and process checks are implemented and any irre</w:t>
            </w:r>
            <w:r w:rsidRPr="00154C34">
              <w:t>gularities identified</w:t>
            </w:r>
          </w:p>
          <w:p w:rsidR="00000000" w:rsidRPr="00154C34" w:rsidP="00154C34">
            <w:pPr>
              <w:pStyle w:val="List2"/>
            </w:pPr>
            <w:r w:rsidRPr="00154C34">
              <w:t>5.4.</w:t>
            </w:r>
            <w:r w:rsidRPr="00154C34">
              <w:tab/>
              <w:t>Work is conducted in accordance with relevant legislation and regulations</w:t>
            </w:r>
          </w:p>
          <w:p w:rsidR="00000000" w:rsidRPr="00154C34" w:rsidP="00154C34">
            <w:pPr>
              <w:pStyle w:val="List2"/>
            </w:pPr>
            <w:r w:rsidRPr="00154C34">
              <w:t>5.5.</w:t>
            </w:r>
            <w:r w:rsidRPr="00154C34">
              <w:tab/>
              <w:t>Best practice standards are identified and incorporated into work practice</w:t>
            </w:r>
          </w:p>
          <w:p w:rsidR="00000000" w:rsidRPr="00154C34" w:rsidP="00154C34">
            <w:pPr>
              <w:pStyle w:val="List2"/>
            </w:pPr>
            <w:r w:rsidRPr="00154C34">
              <w:t>5.6.</w:t>
            </w:r>
            <w:r w:rsidRPr="00154C34">
              <w:tab/>
            </w:r>
            <w:r w:rsidRPr="00154C34">
              <w:t>Training and professional development are undertaken to maintain currency and develop skills</w:t>
            </w:r>
          </w:p>
        </w:tc>
      </w:tr>
    </w:tbl>
    <w:p w:rsidR="00000000" w:rsidRPr="00154C34" w:rsidP="00154C34">
      <w:pPr>
        <w:pStyle w:val="BodyText"/>
      </w:pPr>
    </w:p>
    <w:p w:rsidR="00000000" w:rsidRPr="00154C34" w:rsidP="00154C34">
      <w:pPr>
        <w:pStyle w:val="AllowPageBreak"/>
      </w:pPr>
    </w:p>
    <w:p w:rsidR="00000000" w:rsidRPr="00154C34" w:rsidP="00154C34">
      <w:pPr>
        <w:pStyle w:val="Heading1"/>
      </w:pPr>
      <w:bookmarkStart w:id="9" w:name="O_80867"/>
      <w:bookmarkEnd w:id="9"/>
      <w:r w:rsidRPr="00154C34">
        <w:t>Required Skills and Knowledge</w:t>
      </w:r>
    </w:p>
    <w:tbl>
      <w:tblPr>
        <w:tblW w:w="0" w:type="auto"/>
        <w:tblLayout w:type="fixed"/>
        <w:tblCellMar>
          <w:left w:w="62" w:type="dxa"/>
          <w:right w:w="62" w:type="dxa"/>
        </w:tblCellMar>
        <w:tblLook w:val="0000"/>
      </w:tblPr>
      <w:tblGrid>
        <w:gridCol w:w="8522"/>
      </w:tblGrid>
      <w:tr w:rsidTr="0055165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54C34">
            <w:pPr>
              <w:pStyle w:val="BodyText"/>
              <w:rPr>
                <w:lang w:val="en-NZ"/>
              </w:rPr>
            </w:pPr>
            <w:r w:rsidRPr="00154C34">
              <w:rPr>
                <w:rStyle w:val="SpecialBold"/>
              </w:rPr>
              <w:t>REQUIRED SKILLS AND KNOWLEDGE</w:t>
            </w:r>
          </w:p>
        </w:tc>
      </w:tr>
      <w:tr w:rsidTr="0055165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54C34">
            <w:pPr>
              <w:pStyle w:val="BodyText"/>
              <w:rPr>
                <w:lang w:val="en-NZ"/>
              </w:rPr>
            </w:pPr>
            <w:r w:rsidRPr="00154C34">
              <w:t>This section describes the skills and knowledge required for this unit.</w:t>
            </w:r>
          </w:p>
        </w:tc>
      </w:tr>
      <w:tr w:rsidTr="005516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C34">
            <w:pPr>
              <w:pStyle w:val="BodyText"/>
              <w:rPr>
                <w:lang w:val="en-NZ"/>
              </w:rPr>
            </w:pPr>
            <w:r w:rsidRPr="00154C34">
              <w:rPr>
                <w:rStyle w:val="SpecialBold"/>
              </w:rPr>
              <w:t>Required skills</w:t>
            </w:r>
          </w:p>
        </w:tc>
      </w:tr>
      <w:tr w:rsidTr="005516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C34" w:rsidP="00154C34">
            <w:pPr>
              <w:pStyle w:val="ListBullet"/>
            </w:pPr>
            <w:r w:rsidRPr="00154C34">
              <w:t>communication skills to:</w:t>
            </w:r>
          </w:p>
          <w:p w:rsidR="00000000" w:rsidRPr="00154C34" w:rsidP="00154C34">
            <w:pPr>
              <w:pStyle w:val="ListBullet2"/>
            </w:pPr>
            <w:r w:rsidRPr="00154C34">
              <w:t>liaise with others, share information, confirm work requirements, using questioning and active listening as required</w:t>
            </w:r>
          </w:p>
          <w:p w:rsidR="00000000" w:rsidRPr="00154C34" w:rsidP="00154C34">
            <w:pPr>
              <w:pStyle w:val="ListBullet2"/>
            </w:pPr>
            <w:r w:rsidRPr="00154C34">
              <w:t>use language and concepts appropriate to cultural differences</w:t>
            </w:r>
          </w:p>
          <w:p w:rsidR="00000000" w:rsidRPr="00154C34" w:rsidP="00154C34">
            <w:pPr>
              <w:pStyle w:val="ListBullet"/>
            </w:pPr>
            <w:r w:rsidRPr="00154C34">
              <w:t>high level analytical and interpretative skills</w:t>
            </w:r>
          </w:p>
          <w:p w:rsidR="00000000" w:rsidRPr="00154C34" w:rsidP="00154C34">
            <w:pPr>
              <w:pStyle w:val="ListBullet"/>
            </w:pPr>
            <w:r w:rsidRPr="00154C34">
              <w:t>research and analysis for accessing, interpreting and managing complex information</w:t>
            </w:r>
          </w:p>
          <w:p w:rsidR="00000000" w:rsidRPr="00154C34" w:rsidP="00154C34">
            <w:pPr>
              <w:pStyle w:val="ListBullet2"/>
            </w:pPr>
            <w:r w:rsidRPr="00154C34">
              <w:t>interpreting documentation</w:t>
            </w:r>
          </w:p>
          <w:p w:rsidR="00000000" w:rsidRPr="00154C34" w:rsidP="00154C34">
            <w:pPr>
              <w:pStyle w:val="ListBullet2"/>
            </w:pPr>
            <w:r w:rsidRPr="00154C34">
              <w:t>coordinating tasks</w:t>
            </w:r>
          </w:p>
          <w:p w:rsidR="00000000" w:rsidRPr="00154C34" w:rsidP="00154C34">
            <w:pPr>
              <w:pStyle w:val="ListBullet"/>
            </w:pPr>
            <w:r w:rsidRPr="00154C34">
              <w:t>literacy skills to read and interpret documentation from a variety of sources</w:t>
            </w:r>
            <w:r w:rsidRPr="00154C34">
              <w:t xml:space="preserve"> and recording, gathering and consolidating financial information</w:t>
            </w:r>
          </w:p>
          <w:p w:rsidR="00000000" w:rsidRPr="00154C34" w:rsidP="00154C34">
            <w:pPr>
              <w:pStyle w:val="ListBullet"/>
            </w:pPr>
            <w:r w:rsidRPr="00154C34">
              <w:t>numeracy and IT skills for:</w:t>
            </w:r>
          </w:p>
          <w:p w:rsidR="00000000" w:rsidRPr="00154C34" w:rsidP="00154C34">
            <w:pPr>
              <w:pStyle w:val="ListBullet2"/>
            </w:pPr>
            <w:r w:rsidRPr="00154C34">
              <w:t>making financial calculations</w:t>
            </w:r>
          </w:p>
          <w:p w:rsidR="00000000" w:rsidRPr="00154C34" w:rsidP="00154C34">
            <w:pPr>
              <w:pStyle w:val="ListBullet2"/>
            </w:pPr>
            <w:r w:rsidRPr="00154C34">
              <w:t>accessing and using appropriate software such as word processors, spreadsheets and databases</w:t>
            </w:r>
          </w:p>
          <w:p w:rsidR="00000000" w:rsidRPr="00154C34" w:rsidP="00154C34">
            <w:pPr>
              <w:pStyle w:val="ListBullet2"/>
            </w:pPr>
            <w:r w:rsidRPr="00154C34">
              <w:t>using internet information</w:t>
            </w:r>
          </w:p>
          <w:p w:rsidR="00000000" w:rsidRPr="00154C34" w:rsidP="00154C34">
            <w:pPr>
              <w:pStyle w:val="ListBullet"/>
            </w:pPr>
            <w:r w:rsidRPr="00154C34">
              <w:t>problem so</w:t>
            </w:r>
            <w:r w:rsidRPr="00154C34">
              <w:t>lving skills to address compliance and other issues</w:t>
            </w:r>
          </w:p>
          <w:p w:rsidR="00000000" w:rsidRPr="00154C34" w:rsidP="00154C34">
            <w:pPr>
              <w:pStyle w:val="ListBullet"/>
            </w:pPr>
            <w:r w:rsidRPr="00154C34">
              <w:t>interpersonal skills to relate effectively within a team environment</w:t>
            </w:r>
          </w:p>
          <w:p w:rsidR="00000000" w:rsidRPr="00154C34" w:rsidP="00154C34">
            <w:pPr>
              <w:pStyle w:val="ListBullet"/>
            </w:pPr>
            <w:r w:rsidRPr="00154C34">
              <w:t>organisation skills, including the ability to plan and sequence work</w:t>
            </w:r>
          </w:p>
          <w:p w:rsidR="00000000" w:rsidP="00154C34">
            <w:pPr>
              <w:pStyle w:val="ListBullet"/>
              <w:rPr>
                <w:lang w:val="en-NZ"/>
              </w:rPr>
            </w:pPr>
            <w:r w:rsidRPr="00154C34">
              <w:t>change management skills to integrate new information and procedures</w:t>
            </w:r>
          </w:p>
        </w:tc>
      </w:tr>
      <w:tr w:rsidTr="005516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C34">
            <w:pPr>
              <w:pStyle w:val="BodyText"/>
              <w:rPr>
                <w:lang w:val="en-NZ"/>
              </w:rPr>
            </w:pPr>
            <w:r w:rsidRPr="00154C34">
              <w:rPr>
                <w:rStyle w:val="SpecialBold"/>
              </w:rPr>
              <w:t>Required knowledge</w:t>
            </w:r>
          </w:p>
        </w:tc>
      </w:tr>
      <w:tr w:rsidTr="005516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C34" w:rsidP="00154C34">
            <w:pPr>
              <w:pStyle w:val="ListBullet"/>
            </w:pPr>
            <w:r w:rsidRPr="00154C34">
              <w:t>features, compliance and reporting requirements of the superannuation Industry (Supervision) (SIS) Act, Taxation Act and other relevant legislation</w:t>
            </w:r>
          </w:p>
          <w:p w:rsidR="00000000" w:rsidRPr="00154C34" w:rsidP="00154C34">
            <w:pPr>
              <w:pStyle w:val="ListBullet"/>
            </w:pPr>
            <w:r w:rsidRPr="00154C34">
              <w:t>timeframe require</w:t>
            </w:r>
            <w:r w:rsidRPr="00154C34">
              <w:t>ments for compliance reports</w:t>
            </w:r>
          </w:p>
          <w:p w:rsidR="00000000" w:rsidRPr="00154C34" w:rsidP="00154C34">
            <w:pPr>
              <w:pStyle w:val="ListBullet"/>
            </w:pPr>
            <w:r w:rsidRPr="00154C34">
              <w:t>compliance responsibilities for fund administrators</w:t>
            </w:r>
          </w:p>
          <w:p w:rsidR="00000000" w:rsidRPr="00154C34" w:rsidP="00154C34">
            <w:pPr>
              <w:pStyle w:val="ListBullet"/>
            </w:pPr>
            <w:r w:rsidRPr="00154C34">
              <w:t>industry information sources on compliance changes</w:t>
            </w:r>
          </w:p>
          <w:p w:rsidR="00000000" w:rsidRPr="00154C34" w:rsidP="00154C34">
            <w:pPr>
              <w:pStyle w:val="ListBullet"/>
            </w:pPr>
            <w:r w:rsidRPr="00154C34">
              <w:t>professional conduct standards such as those covering disclosure, insider trading, false and misleading conduct</w:t>
            </w:r>
          </w:p>
          <w:p w:rsidR="00000000" w:rsidRPr="00154C34" w:rsidP="00154C34">
            <w:pPr>
              <w:pStyle w:val="ListBullet"/>
            </w:pPr>
            <w:r w:rsidRPr="00154C34">
              <w:t>hierarchy of</w:t>
            </w:r>
            <w:r w:rsidRPr="00154C34">
              <w:t xml:space="preserve"> Commonwealth and State courts</w:t>
            </w:r>
          </w:p>
          <w:p w:rsidR="00000000" w:rsidRPr="00154C34" w:rsidP="00154C34">
            <w:pPr>
              <w:pStyle w:val="ListBullet"/>
            </w:pPr>
            <w:r w:rsidRPr="00154C34">
              <w:t>features and obligations of trusts</w:t>
            </w:r>
          </w:p>
          <w:p w:rsidR="00000000" w:rsidRPr="00154C34" w:rsidP="00154C34">
            <w:pPr>
              <w:pStyle w:val="ListBullet"/>
            </w:pPr>
            <w:r w:rsidRPr="00154C34">
              <w:t>legal implications of trust deeds and contracts</w:t>
            </w:r>
          </w:p>
          <w:p w:rsidR="00000000" w:rsidRPr="00154C34" w:rsidP="00154C34">
            <w:pPr>
              <w:pStyle w:val="ListBullet"/>
            </w:pPr>
            <w:r w:rsidRPr="00154C34">
              <w:t>relationship between duties, rights, powers, liabilities and remedies</w:t>
            </w:r>
          </w:p>
          <w:p w:rsidR="00000000" w:rsidRPr="00154C34" w:rsidP="00154C34">
            <w:pPr>
              <w:pStyle w:val="ListBullet"/>
            </w:pPr>
            <w:r w:rsidRPr="00154C34">
              <w:t>role, rights and responsibilities of trustees in compliance</w:t>
            </w:r>
          </w:p>
          <w:p w:rsidR="00000000" w:rsidRPr="00154C34" w:rsidP="00154C34">
            <w:pPr>
              <w:pStyle w:val="ListBullet"/>
            </w:pPr>
            <w:r w:rsidRPr="00154C34">
              <w:t>circumstance</w:t>
            </w:r>
            <w:r w:rsidRPr="00154C34">
              <w:t>s in which advice should be sought</w:t>
            </w:r>
          </w:p>
          <w:p w:rsidR="00000000" w:rsidRPr="00154C34" w:rsidP="00154C34">
            <w:pPr>
              <w:pStyle w:val="ListBullet"/>
            </w:pPr>
            <w:r w:rsidRPr="00154C34">
              <w:t>relationship between actuary/auditor and trustee under SIS</w:t>
            </w:r>
          </w:p>
          <w:p w:rsidR="00000000" w:rsidRPr="00154C34" w:rsidP="00154C34">
            <w:pPr>
              <w:pStyle w:val="ListBullet"/>
            </w:pPr>
            <w:r w:rsidRPr="00154C34">
              <w:t>requirements and procedure for preparing statutory reports and taxation returns</w:t>
            </w:r>
          </w:p>
          <w:p w:rsidR="00000000" w:rsidRPr="00154C34" w:rsidP="00154C34">
            <w:pPr>
              <w:pStyle w:val="ListBullet"/>
            </w:pPr>
            <w:r w:rsidRPr="00154C34">
              <w:t>procedure for obtaining inform</w:t>
            </w:r>
            <w:r w:rsidRPr="00154C34">
              <w:t>ation on financial transactions, lost member records, surcharge, contributions and benefits</w:t>
            </w:r>
          </w:p>
          <w:p w:rsidR="00000000" w:rsidRPr="00154C34" w:rsidP="00154C34">
            <w:pPr>
              <w:pStyle w:val="ListBullet"/>
            </w:pPr>
            <w:r w:rsidRPr="00154C34">
              <w:t>timing requirements for the lodgement of statutory reports</w:t>
            </w:r>
          </w:p>
          <w:p w:rsidR="00000000" w:rsidRPr="00154C34" w:rsidP="00154C34">
            <w:pPr>
              <w:pStyle w:val="ListBullet"/>
            </w:pPr>
            <w:r w:rsidRPr="00154C34">
              <w:t>Privacy Act obligations</w:t>
            </w:r>
          </w:p>
          <w:p w:rsidR="00000000" w:rsidRPr="00154C34" w:rsidP="00154C34">
            <w:pPr>
              <w:pStyle w:val="ListBullet"/>
            </w:pPr>
            <w:r w:rsidRPr="00154C34">
              <w:t>fraud deterrence practices</w:t>
            </w:r>
          </w:p>
        </w:tc>
      </w:tr>
    </w:tbl>
    <w:p w:rsidR="00000000" w:rsidRPr="00154C34" w:rsidP="00154C34">
      <w:pPr>
        <w:pStyle w:val="BodyText"/>
      </w:pPr>
    </w:p>
    <w:p w:rsidR="00000000" w:rsidRPr="00154C34" w:rsidP="00154C34">
      <w:pPr>
        <w:pStyle w:val="AllowPageBreak"/>
      </w:pPr>
    </w:p>
    <w:p w:rsidR="00000000" w:rsidRPr="00154C34" w:rsidP="00154C34">
      <w:pPr>
        <w:pStyle w:val="Heading1"/>
      </w:pPr>
      <w:bookmarkStart w:id="10" w:name="O_80868"/>
      <w:bookmarkEnd w:id="10"/>
      <w:r w:rsidRPr="00154C34">
        <w:t>Evidence Guide</w:t>
      </w:r>
    </w:p>
    <w:tbl>
      <w:tblPr>
        <w:tblW w:w="9570" w:type="dxa"/>
        <w:tblLayout w:type="fixed"/>
        <w:tblCellMar>
          <w:left w:w="62" w:type="dxa"/>
          <w:right w:w="62" w:type="dxa"/>
        </w:tblCellMar>
        <w:tblLook w:val="0000"/>
      </w:tblPr>
      <w:tblGrid>
        <w:gridCol w:w="2808"/>
        <w:gridCol w:w="6762"/>
      </w:tblGrid>
      <w:tr w:rsidTr="0055165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C34">
            <w:pPr>
              <w:pStyle w:val="BodyText"/>
              <w:rPr>
                <w:lang w:val="en-NZ"/>
              </w:rPr>
            </w:pPr>
            <w:r w:rsidRPr="00154C34">
              <w:rPr>
                <w:rStyle w:val="SpecialBold"/>
              </w:rPr>
              <w:t>EVIDENCE GUIDE</w:t>
            </w:r>
          </w:p>
        </w:tc>
      </w:tr>
      <w:tr w:rsidTr="0055165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C34">
            <w:pPr>
              <w:pStyle w:val="BodyText"/>
              <w:rPr>
                <w:lang w:val="en-NZ"/>
              </w:rPr>
            </w:pPr>
            <w:r w:rsidRPr="00154C34">
              <w:t>The Evidence Guide provides advice on assessment and must be read in conjunction with the performance criteria, required skills and knowledge, range statement and the Assessment Guidelines for the Training Package.</w:t>
            </w:r>
          </w:p>
        </w:tc>
      </w:tr>
      <w:tr w:rsidTr="0055165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C34">
            <w:pPr>
              <w:pStyle w:val="BodyText"/>
              <w:rPr>
                <w:lang w:val="en-NZ"/>
              </w:rPr>
            </w:pPr>
            <w:r w:rsidRPr="00154C34">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C34">
            <w:pPr>
              <w:pStyle w:val="BodyText"/>
              <w:rPr>
                <w:lang w:val="en-NZ"/>
              </w:rPr>
            </w:pPr>
          </w:p>
        </w:tc>
      </w:tr>
      <w:tr w:rsidTr="0055165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C34">
            <w:pPr>
              <w:pStyle w:val="BodyText"/>
              <w:rPr>
                <w:lang w:val="en-NZ"/>
              </w:rPr>
            </w:pPr>
            <w:r w:rsidRPr="00154C34">
              <w:rPr>
                <w:rStyle w:val="SpecialBold"/>
              </w:rPr>
              <w:t>Critical aspec</w:t>
            </w:r>
            <w:r w:rsidRPr="00154C34">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C34" w:rsidP="00154C34">
            <w:pPr>
              <w:pStyle w:val="BodyText"/>
            </w:pPr>
            <w:r w:rsidRPr="00154C34">
              <w:t>Evidence of the ability to:</w:t>
            </w:r>
          </w:p>
          <w:p w:rsidR="00000000" w:rsidRPr="00154C34" w:rsidP="00154C34">
            <w:pPr>
              <w:pStyle w:val="ListBullet"/>
            </w:pPr>
            <w:r w:rsidRPr="00154C34">
              <w:t xml:space="preserve">identify and understand the roles of compliance bodies and provide support to ensure compliance requirements </w:t>
            </w:r>
          </w:p>
          <w:p w:rsidR="00000000" w:rsidRPr="00154C34" w:rsidP="00154C34">
            <w:pPr>
              <w:pStyle w:val="ListBullet"/>
            </w:pPr>
            <w:r w:rsidRPr="00154C34">
              <w:t>demonstrate knowledge requirements for ATO, APRA and ASIC and the consequences of non-compliance</w:t>
            </w:r>
          </w:p>
          <w:p w:rsidR="00000000" w:rsidRPr="00154C34" w:rsidP="00154C34">
            <w:pPr>
              <w:pStyle w:val="ListBullet"/>
            </w:pPr>
            <w:r w:rsidRPr="00154C34">
              <w:t>prepare documentation according to compliance requirements</w:t>
            </w:r>
          </w:p>
          <w:p w:rsidR="00000000" w:rsidRPr="00154C34" w:rsidP="00154C34">
            <w:pPr>
              <w:pStyle w:val="ListBullet"/>
            </w:pPr>
            <w:r w:rsidRPr="00154C34">
              <w:t>prepare member communications according to compliance requirements and information for statutory ret</w:t>
            </w:r>
            <w:r w:rsidRPr="00154C34">
              <w:t>urns</w:t>
            </w:r>
          </w:p>
          <w:p w:rsidR="00000000" w:rsidRPr="00154C34" w:rsidP="00154C34">
            <w:pPr>
              <w:pStyle w:val="ListBullet"/>
            </w:pPr>
            <w:r w:rsidRPr="00154C34">
              <w:t>identify new compliance requirements and integrate them into work practices</w:t>
            </w:r>
          </w:p>
          <w:p w:rsidR="00000000" w:rsidP="00154C34">
            <w:pPr>
              <w:pStyle w:val="ListBullet"/>
              <w:rPr>
                <w:lang w:val="en-NZ"/>
              </w:rPr>
            </w:pPr>
            <w:r w:rsidRPr="00154C34">
              <w:t>identify consequences of incorrect processing of contributions or benefits and other member information.</w:t>
            </w:r>
          </w:p>
        </w:tc>
      </w:tr>
      <w:tr w:rsidTr="0055165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C34">
            <w:pPr>
              <w:pStyle w:val="BodyText"/>
              <w:rPr>
                <w:lang w:val="en-NZ"/>
              </w:rPr>
            </w:pPr>
            <w:r w:rsidRPr="00154C34">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C34" w:rsidP="00154C34">
            <w:pPr>
              <w:pStyle w:val="BodyText"/>
            </w:pPr>
            <w:r w:rsidRPr="00154C34">
              <w:t>Assessment must ensu</w:t>
            </w:r>
            <w:r w:rsidRPr="00154C34">
              <w:t>re:</w:t>
            </w:r>
          </w:p>
          <w:p w:rsidR="00000000" w:rsidRPr="00154C34" w:rsidP="00154C34">
            <w:pPr>
              <w:pStyle w:val="ListBullet"/>
            </w:pPr>
            <w:r w:rsidRPr="00154C34">
              <w:t>competency is demonstrated in the context of the work environment and conditions specified in the range statement either in a relevant workplace or a closely simulated work environment</w:t>
            </w:r>
          </w:p>
          <w:p w:rsidR="00000000" w:rsidRPr="00154C34" w:rsidP="00154C34">
            <w:pPr>
              <w:pStyle w:val="ListBullet"/>
            </w:pPr>
            <w:r w:rsidRPr="00154C34">
              <w:t>access to and the use of a range of common office equipment, techn</w:t>
            </w:r>
            <w:r w:rsidRPr="00154C34">
              <w:t>ology, software and consumables</w:t>
            </w:r>
          </w:p>
          <w:p w:rsidR="00000000" w:rsidRPr="00154C34" w:rsidP="00154C34">
            <w:pPr>
              <w:pStyle w:val="ListBullet"/>
            </w:pPr>
            <w:r w:rsidRPr="00154C34">
              <w:t>access to organisation financial records</w:t>
            </w:r>
          </w:p>
          <w:p w:rsidR="00000000" w:rsidP="00154C34">
            <w:pPr>
              <w:pStyle w:val="ListBullet"/>
              <w:rPr>
                <w:lang w:val="en-NZ"/>
              </w:rPr>
            </w:pPr>
            <w:r w:rsidRPr="00154C34">
              <w:t>access to organisation policies and procedures.</w:t>
            </w:r>
          </w:p>
        </w:tc>
      </w:tr>
      <w:tr w:rsidTr="0055165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C34">
            <w:pPr>
              <w:pStyle w:val="BodyText"/>
              <w:rPr>
                <w:lang w:val="en-NZ"/>
              </w:rPr>
            </w:pPr>
            <w:r w:rsidRPr="00154C34">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C34" w:rsidP="00154C34">
            <w:pPr>
              <w:pStyle w:val="BodyText"/>
            </w:pPr>
            <w:r w:rsidRPr="00154C34">
              <w:t>A range of assessment methods should be used to assess practical skills and knowledge. The following examples, in</w:t>
            </w:r>
            <w:r w:rsidRPr="00154C34">
              <w:t xml:space="preserve"> combination, are appropriate for this unit:</w:t>
            </w:r>
          </w:p>
          <w:p w:rsidR="00000000" w:rsidRPr="00154C34" w:rsidP="00154C34">
            <w:pPr>
              <w:pStyle w:val="ListBullet"/>
            </w:pPr>
            <w:r w:rsidRPr="00154C34">
              <w:t>evaluating an integrated activity, which combines the elements of competency for the unit, or a cluster of related units of competency</w:t>
            </w:r>
          </w:p>
          <w:p w:rsidR="00000000" w:rsidRPr="00154C34" w:rsidP="00154C34">
            <w:pPr>
              <w:pStyle w:val="ListBullet"/>
            </w:pPr>
            <w:r w:rsidRPr="00154C34">
              <w:t>observing processes and procedures in workplaces</w:t>
            </w:r>
          </w:p>
          <w:p w:rsidR="00000000" w:rsidRPr="00154C34" w:rsidP="00154C34">
            <w:pPr>
              <w:pStyle w:val="ListBullet"/>
            </w:pPr>
            <w:r w:rsidRPr="00154C34">
              <w:t>verbal or written questioning on underpinning knowledge and skills</w:t>
            </w:r>
          </w:p>
          <w:p w:rsidR="00000000" w:rsidRPr="00154C34" w:rsidP="00154C34">
            <w:pPr>
              <w:pStyle w:val="ListBullet"/>
            </w:pPr>
            <w:r w:rsidRPr="00154C34">
              <w:t>evaluating samples of work</w:t>
            </w:r>
          </w:p>
          <w:p w:rsidR="00000000" w:rsidRPr="00154C34" w:rsidP="00154C34">
            <w:pPr>
              <w:pStyle w:val="ListBullet"/>
            </w:pPr>
            <w:r w:rsidRPr="00154C34">
              <w:t>accessing and validating third party reports</w:t>
            </w:r>
          </w:p>
          <w:p w:rsidR="00000000" w:rsidP="00154C34">
            <w:pPr>
              <w:pStyle w:val="ListBullet"/>
              <w:rPr>
                <w:lang w:val="en-NZ"/>
              </w:rPr>
            </w:pPr>
            <w:r w:rsidRPr="00154C34">
              <w:t>setting and reviewing workplace business simulations or scenarios.</w:t>
            </w:r>
          </w:p>
        </w:tc>
      </w:tr>
      <w:tr w:rsidTr="0055165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C34">
            <w:pPr>
              <w:pStyle w:val="BodyText"/>
              <w:rPr>
                <w:lang w:val="en-NZ"/>
              </w:rPr>
            </w:pPr>
            <w:r w:rsidRPr="00154C34">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C34" w:rsidP="00154C34">
            <w:pPr>
              <w:pStyle w:val="BodyText"/>
            </w:pPr>
          </w:p>
        </w:tc>
      </w:tr>
    </w:tbl>
    <w:p w:rsidR="00000000" w:rsidRPr="00154C34" w:rsidP="00154C34">
      <w:pPr>
        <w:pStyle w:val="BodyText"/>
      </w:pPr>
    </w:p>
    <w:p w:rsidR="00000000" w:rsidRPr="00154C34" w:rsidP="00154C34">
      <w:pPr>
        <w:pStyle w:val="AllowPageBreak"/>
      </w:pPr>
    </w:p>
    <w:p w:rsidR="00000000" w:rsidRPr="00154C34" w:rsidP="00154C34">
      <w:pPr>
        <w:pStyle w:val="Heading1"/>
      </w:pPr>
      <w:bookmarkStart w:id="11" w:name="O_80869"/>
      <w:bookmarkEnd w:id="11"/>
      <w:r w:rsidRPr="00154C34">
        <w:t>Range Statement</w:t>
      </w:r>
    </w:p>
    <w:tbl>
      <w:tblPr>
        <w:tblW w:w="0" w:type="auto"/>
        <w:tblLayout w:type="fixed"/>
        <w:tblCellMar>
          <w:left w:w="62" w:type="dxa"/>
          <w:right w:w="62" w:type="dxa"/>
        </w:tblCellMar>
        <w:tblLook w:val="0000"/>
      </w:tblPr>
      <w:tblGrid>
        <w:gridCol w:w="2518"/>
        <w:gridCol w:w="6004"/>
      </w:tblGrid>
      <w:tr w:rsidTr="0055165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C34">
            <w:pPr>
              <w:pStyle w:val="BodyText"/>
              <w:rPr>
                <w:lang w:val="en-NZ"/>
              </w:rPr>
            </w:pPr>
            <w:r w:rsidRPr="00154C34">
              <w:rPr>
                <w:rStyle w:val="SpecialBold"/>
              </w:rPr>
              <w:t>RANGE STATEMENT</w:t>
            </w:r>
          </w:p>
        </w:tc>
      </w:tr>
      <w:tr w:rsidTr="0055165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C34">
            <w:pPr>
              <w:pStyle w:val="BodyText"/>
              <w:rPr>
                <w:lang w:val="en-NZ"/>
              </w:rPr>
            </w:pPr>
            <w:r w:rsidRPr="00154C34">
              <w:t xml:space="preserve">The range statement relates to the unit of competency as a whole. It allows for different work environments and situations that may affect </w:t>
            </w:r>
            <w:r w:rsidRPr="00154C34">
              <w:t>performance. Bold italicised wording, if used in the performance criteria, is detailed below. Essential operating conditions that may be present with training and assessment (depending on the work situation, needs of the candidate, accessibility of the ite</w:t>
            </w:r>
            <w:r w:rsidRPr="00154C34">
              <w:t>m, and local industry and regional contexts) may also be included.</w:t>
            </w:r>
          </w:p>
        </w:tc>
      </w:tr>
      <w:tr w:rsidTr="00551650">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C34">
            <w:pPr>
              <w:pStyle w:val="BodyText"/>
              <w:rPr>
                <w:lang w:val="en-NZ"/>
              </w:rPr>
            </w:pPr>
            <w:r w:rsidRPr="00154C34">
              <w:rPr>
                <w:rStyle w:val="BoldandItalics"/>
              </w:rPr>
              <w:t>Regulatory bodies</w:t>
            </w:r>
            <w:r w:rsidRPr="00154C34">
              <w:t xml:space="preserve"> may include:</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C34" w:rsidP="00154C34">
            <w:pPr>
              <w:pStyle w:val="ListBullet"/>
            </w:pPr>
            <w:r w:rsidRPr="00154C34">
              <w:t>APRA</w:t>
            </w:r>
          </w:p>
          <w:p w:rsidR="00000000" w:rsidRPr="00154C34" w:rsidP="00154C34">
            <w:pPr>
              <w:pStyle w:val="ListBullet"/>
            </w:pPr>
            <w:r w:rsidRPr="00154C34">
              <w:t>ASIC</w:t>
            </w:r>
          </w:p>
          <w:p w:rsidR="00000000" w:rsidRPr="00154C34" w:rsidP="00154C34">
            <w:pPr>
              <w:pStyle w:val="ListBullet"/>
            </w:pPr>
            <w:r w:rsidRPr="00154C34">
              <w:t>ATO</w:t>
            </w:r>
          </w:p>
          <w:p w:rsidR="00000000" w:rsidP="00154C34">
            <w:pPr>
              <w:pStyle w:val="ListBullet"/>
              <w:rPr>
                <w:lang w:val="en-NZ"/>
              </w:rPr>
            </w:pPr>
            <w:r w:rsidRPr="00154C34">
              <w:t>Superannuation Complaints Tribunal (SCT).</w:t>
            </w:r>
          </w:p>
        </w:tc>
      </w:tr>
      <w:tr w:rsidTr="00551650">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C34">
            <w:pPr>
              <w:pStyle w:val="BodyText"/>
              <w:rPr>
                <w:lang w:val="en-NZ"/>
              </w:rPr>
            </w:pPr>
            <w:r w:rsidRPr="00154C34">
              <w:rPr>
                <w:rStyle w:val="BoldandItalics"/>
              </w:rPr>
              <w:t>Legislation and regulations determining compliance</w:t>
            </w:r>
            <w:r w:rsidRPr="00154C34">
              <w:t xml:space="preserve"> may include:</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C34" w:rsidP="00154C34">
            <w:pPr>
              <w:pStyle w:val="ListBullet"/>
            </w:pPr>
            <w:r w:rsidRPr="00154C34">
              <w:t>S</w:t>
            </w:r>
            <w:r w:rsidRPr="00154C34">
              <w:t>uperannuation Industry (Supervision) (SIS) Act</w:t>
            </w:r>
          </w:p>
          <w:p w:rsidR="00000000" w:rsidRPr="00154C34" w:rsidP="00154C34">
            <w:pPr>
              <w:pStyle w:val="ListBullet"/>
            </w:pPr>
            <w:r w:rsidRPr="00154C34">
              <w:t xml:space="preserve">Superannuation Industry (Supervision) Regulations </w:t>
            </w:r>
          </w:p>
          <w:p w:rsidR="00000000" w:rsidRPr="00154C34" w:rsidP="00154C34">
            <w:pPr>
              <w:pStyle w:val="ListBullet"/>
            </w:pPr>
            <w:r w:rsidRPr="00154C34">
              <w:t>Financial Services Reform Act (FSRA)</w:t>
            </w:r>
          </w:p>
          <w:p w:rsidR="00000000" w:rsidRPr="00154C34" w:rsidP="00154C34">
            <w:pPr>
              <w:pStyle w:val="ListBullet"/>
            </w:pPr>
            <w:r w:rsidRPr="00154C34">
              <w:t xml:space="preserve">Corporations Act </w:t>
            </w:r>
          </w:p>
          <w:p w:rsidR="00000000" w:rsidRPr="00154C34" w:rsidP="00154C34">
            <w:pPr>
              <w:pStyle w:val="ListBullet"/>
            </w:pPr>
            <w:r w:rsidRPr="00154C34">
              <w:t xml:space="preserve">Income Tax Assessment Act </w:t>
            </w:r>
          </w:p>
          <w:p w:rsidR="00000000" w:rsidRPr="00154C34" w:rsidP="00154C34">
            <w:pPr>
              <w:pStyle w:val="ListBullet"/>
            </w:pPr>
            <w:r w:rsidRPr="00154C34">
              <w:t xml:space="preserve">Superannuation Guarantee (Administration) Act (SGAA) </w:t>
            </w:r>
          </w:p>
          <w:p w:rsidR="00000000" w:rsidRPr="00154C34" w:rsidP="00154C34">
            <w:pPr>
              <w:pStyle w:val="ListBullet"/>
            </w:pPr>
            <w:r w:rsidRPr="00154C34">
              <w:t>Superannuation Contrib</w:t>
            </w:r>
            <w:r w:rsidRPr="00154C34">
              <w:t>utions Tax (Assessment and Collection) Act (surcharge)</w:t>
            </w:r>
          </w:p>
          <w:p w:rsidR="00000000" w:rsidRPr="00154C34" w:rsidP="00154C34">
            <w:pPr>
              <w:pStyle w:val="ListBullet"/>
            </w:pPr>
            <w:r w:rsidRPr="00154C34">
              <w:t xml:space="preserve">Retirement Savings Account Act </w:t>
            </w:r>
          </w:p>
          <w:p w:rsidR="00000000" w:rsidRPr="00154C34" w:rsidP="00154C34">
            <w:pPr>
              <w:pStyle w:val="ListBullet"/>
            </w:pPr>
            <w:r w:rsidRPr="00154C34">
              <w:t xml:space="preserve">Superannuation (Resolution of Complaints) Act </w:t>
            </w:r>
          </w:p>
          <w:p w:rsidR="00000000" w:rsidRPr="00154C34" w:rsidP="00154C34">
            <w:pPr>
              <w:pStyle w:val="ListBullet"/>
            </w:pPr>
            <w:r w:rsidRPr="00154C34">
              <w:t xml:space="preserve">Superannuation (Unclaimed Moneys and Lost Members) Act Family Law Legislation Amendment Superannuation Act </w:t>
            </w:r>
          </w:p>
          <w:p w:rsidR="00000000" w:rsidRPr="00154C34" w:rsidP="00154C34">
            <w:pPr>
              <w:pStyle w:val="ListBullet"/>
            </w:pPr>
            <w:r w:rsidRPr="00154C34">
              <w:t>Insurance Act</w:t>
            </w:r>
          </w:p>
          <w:p w:rsidR="00000000" w:rsidRPr="00154C34" w:rsidP="00154C34">
            <w:pPr>
              <w:pStyle w:val="ListBullet"/>
            </w:pPr>
            <w:r w:rsidRPr="00154C34">
              <w:t>Privacy Act</w:t>
            </w:r>
          </w:p>
          <w:p w:rsidR="00000000" w:rsidRPr="00154C34" w:rsidP="00154C34">
            <w:pPr>
              <w:pStyle w:val="ListBullet"/>
            </w:pPr>
            <w:r w:rsidRPr="00154C34">
              <w:t>Anti-discrimination legislation (Commonwealth and State)</w:t>
            </w:r>
          </w:p>
          <w:p w:rsidR="00000000" w:rsidRPr="00154C34" w:rsidP="00154C34">
            <w:pPr>
              <w:pStyle w:val="ListBullet"/>
            </w:pPr>
            <w:r w:rsidRPr="00154C34">
              <w:t>Trustee Acts or Trust Acts in each State and Territory</w:t>
            </w:r>
          </w:p>
          <w:p w:rsidR="00000000" w:rsidRPr="00154C34" w:rsidP="00154C34">
            <w:pPr>
              <w:pStyle w:val="ListBullet"/>
            </w:pPr>
            <w:r w:rsidRPr="00154C34">
              <w:t>industrial legislation</w:t>
            </w:r>
          </w:p>
          <w:p w:rsidR="00000000" w:rsidRPr="00154C34" w:rsidP="00154C34">
            <w:pPr>
              <w:pStyle w:val="ListBullet"/>
            </w:pPr>
            <w:r w:rsidRPr="00154C34">
              <w:t>stamp duty legislation</w:t>
            </w:r>
          </w:p>
          <w:p w:rsidR="00000000" w:rsidRPr="00154C34" w:rsidP="00154C34">
            <w:pPr>
              <w:pStyle w:val="ListBullet"/>
            </w:pPr>
            <w:r w:rsidRPr="00154C34">
              <w:t>trade practices legislation</w:t>
            </w:r>
          </w:p>
          <w:p w:rsidR="00000000" w:rsidP="00154C34">
            <w:pPr>
              <w:pStyle w:val="ListBullet"/>
              <w:rPr>
                <w:lang w:val="en-NZ"/>
              </w:rPr>
            </w:pPr>
            <w:r w:rsidRPr="00154C34">
              <w:t>other relevant State and Commonwealth legislation.</w:t>
            </w:r>
          </w:p>
        </w:tc>
      </w:tr>
      <w:tr w:rsidTr="00551650">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C34">
            <w:pPr>
              <w:pStyle w:val="BodyText"/>
              <w:rPr>
                <w:lang w:val="en-NZ"/>
              </w:rPr>
            </w:pPr>
            <w:r w:rsidRPr="00154C34">
              <w:rPr>
                <w:rStyle w:val="BoldandItalics"/>
              </w:rPr>
              <w:t>Statut</w:t>
            </w:r>
            <w:r w:rsidRPr="00154C34">
              <w:rPr>
                <w:rStyle w:val="BoldandItalics"/>
              </w:rPr>
              <w:t>ory reports</w:t>
            </w:r>
            <w:r w:rsidRPr="00154C34">
              <w:t xml:space="preserve"> may include:</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C34" w:rsidP="00154C34">
            <w:pPr>
              <w:pStyle w:val="ListBullet"/>
            </w:pPr>
            <w:r w:rsidRPr="00154C34">
              <w:t>APRA quarterly statements</w:t>
            </w:r>
          </w:p>
          <w:p w:rsidR="00000000" w:rsidRPr="00154C34" w:rsidP="00154C34">
            <w:pPr>
              <w:pStyle w:val="ListBullet"/>
            </w:pPr>
            <w:r w:rsidRPr="00154C34">
              <w:t>contributions and benefits tax</w:t>
            </w:r>
          </w:p>
          <w:p w:rsidR="00000000" w:rsidRPr="00154C34" w:rsidP="00154C34">
            <w:pPr>
              <w:pStyle w:val="ListBullet"/>
            </w:pPr>
            <w:r w:rsidRPr="00154C34">
              <w:t>end of year tax returns</w:t>
            </w:r>
          </w:p>
          <w:p w:rsidR="00000000" w:rsidRPr="00154C34" w:rsidP="00154C34">
            <w:pPr>
              <w:pStyle w:val="ListBullet"/>
            </w:pPr>
            <w:r w:rsidRPr="00154C34">
              <w:t>lost member reports</w:t>
            </w:r>
          </w:p>
          <w:p w:rsidR="00000000" w:rsidRPr="00154C34" w:rsidP="00154C34">
            <w:pPr>
              <w:pStyle w:val="ListBullet"/>
            </w:pPr>
            <w:r w:rsidRPr="00154C34">
              <w:t>monthly Pay As You Go (PAYG) reports</w:t>
            </w:r>
          </w:p>
          <w:p w:rsidR="00000000" w:rsidRPr="00154C34" w:rsidP="00154C34">
            <w:pPr>
              <w:pStyle w:val="ListBullet"/>
            </w:pPr>
            <w:r w:rsidRPr="00154C34">
              <w:t>monthly Reasonable Benefits Limit (RBL) reports</w:t>
            </w:r>
          </w:p>
          <w:p w:rsidR="00000000" w:rsidRPr="00154C34" w:rsidP="00154C34">
            <w:pPr>
              <w:pStyle w:val="ListBullet"/>
            </w:pPr>
            <w:r w:rsidRPr="00154C34">
              <w:t>surcharge details</w:t>
            </w:r>
          </w:p>
          <w:p w:rsidR="00000000" w:rsidP="00154C34">
            <w:pPr>
              <w:pStyle w:val="ListBullet"/>
              <w:rPr>
                <w:lang w:val="en-NZ"/>
              </w:rPr>
            </w:pPr>
            <w:r w:rsidRPr="00154C34">
              <w:t>unclaimed monies.</w:t>
            </w:r>
          </w:p>
        </w:tc>
      </w:tr>
      <w:tr w:rsidTr="00551650">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C34">
            <w:pPr>
              <w:pStyle w:val="BodyText"/>
              <w:rPr>
                <w:lang w:val="en-NZ"/>
              </w:rPr>
            </w:pPr>
            <w:r w:rsidRPr="00154C34">
              <w:rPr>
                <w:rStyle w:val="BoldandItalics"/>
              </w:rPr>
              <w:t>Organisation procedures</w:t>
            </w:r>
            <w:r w:rsidRPr="00154C34">
              <w:t xml:space="preserve"> may include:</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C34" w:rsidP="00154C34">
            <w:pPr>
              <w:pStyle w:val="ListBullet"/>
            </w:pPr>
            <w:r w:rsidRPr="00154C34">
              <w:t>best practice standards</w:t>
            </w:r>
          </w:p>
          <w:p w:rsidR="00000000" w:rsidRPr="00154C34" w:rsidP="00154C34">
            <w:pPr>
              <w:pStyle w:val="ListBullet"/>
            </w:pPr>
            <w:r w:rsidRPr="00154C34">
              <w:t>codes of practice</w:t>
            </w:r>
          </w:p>
          <w:p w:rsidR="00000000" w:rsidRPr="00154C34" w:rsidP="00154C34">
            <w:pPr>
              <w:pStyle w:val="ListBullet"/>
            </w:pPr>
            <w:r w:rsidRPr="00154C34">
              <w:t>documentation and filing procedures</w:t>
            </w:r>
          </w:p>
          <w:p w:rsidR="00000000" w:rsidRPr="00154C34" w:rsidP="00154C34">
            <w:pPr>
              <w:pStyle w:val="ListBullet"/>
            </w:pPr>
            <w:r w:rsidRPr="00154C34">
              <w:t>internal communications</w:t>
            </w:r>
          </w:p>
          <w:p w:rsidR="00000000" w:rsidRPr="00154C34" w:rsidP="00154C34">
            <w:pPr>
              <w:pStyle w:val="ListBullet"/>
            </w:pPr>
            <w:r w:rsidRPr="00154C34">
              <w:t>legislative requirements</w:t>
            </w:r>
          </w:p>
          <w:p w:rsidR="00000000" w:rsidRPr="00154C34" w:rsidP="00154C34">
            <w:pPr>
              <w:pStyle w:val="ListBullet"/>
            </w:pPr>
            <w:r w:rsidRPr="00154C34">
              <w:t>regulatory requirements</w:t>
            </w:r>
          </w:p>
          <w:p w:rsidR="00000000" w:rsidP="00154C34">
            <w:pPr>
              <w:pStyle w:val="ListBullet"/>
              <w:rPr>
                <w:lang w:val="en-NZ"/>
              </w:rPr>
            </w:pPr>
            <w:r w:rsidRPr="00154C34">
              <w:t>system/computer procedures.</w:t>
            </w:r>
          </w:p>
        </w:tc>
      </w:tr>
      <w:tr w:rsidTr="00551650">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C34">
            <w:pPr>
              <w:pStyle w:val="BodyText"/>
              <w:rPr>
                <w:lang w:val="en-NZ"/>
              </w:rPr>
            </w:pPr>
            <w:r w:rsidRPr="00154C34">
              <w:rPr>
                <w:rStyle w:val="BoldandItalics"/>
              </w:rPr>
              <w:t xml:space="preserve">Requirements for taxation returns and </w:t>
            </w:r>
            <w:r w:rsidRPr="00154C34">
              <w:rPr>
                <w:rStyle w:val="BoldandItalics"/>
              </w:rPr>
              <w:t>statutory reports</w:t>
            </w:r>
            <w:r w:rsidRPr="00154C34">
              <w:t xml:space="preserve"> may include:</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C34" w:rsidP="00154C34">
            <w:pPr>
              <w:pStyle w:val="ListBullet"/>
            </w:pPr>
            <w:r w:rsidRPr="00154C34">
              <w:t>financial statements</w:t>
            </w:r>
          </w:p>
          <w:p w:rsidR="00000000" w:rsidRPr="00154C34" w:rsidP="00154C34">
            <w:pPr>
              <w:pStyle w:val="ListBullet"/>
            </w:pPr>
            <w:r w:rsidRPr="00154C34">
              <w:t>return dates</w:t>
            </w:r>
          </w:p>
          <w:p w:rsidR="00000000" w:rsidRPr="00154C34" w:rsidP="00154C34">
            <w:pPr>
              <w:pStyle w:val="ListBullet"/>
            </w:pPr>
            <w:r w:rsidRPr="00154C34">
              <w:t>signatures</w:t>
            </w:r>
          </w:p>
          <w:p w:rsidR="00000000" w:rsidRPr="00154C34" w:rsidP="00154C34">
            <w:pPr>
              <w:pStyle w:val="ListBullet"/>
            </w:pPr>
            <w:r w:rsidRPr="00154C34">
              <w:t>specific details</w:t>
            </w:r>
          </w:p>
          <w:p w:rsidR="00000000" w:rsidRPr="00154C34" w:rsidP="00154C34">
            <w:pPr>
              <w:pStyle w:val="ListBullet"/>
            </w:pPr>
            <w:r w:rsidRPr="00154C34">
              <w:t>supplementary reports</w:t>
            </w:r>
          </w:p>
          <w:p w:rsidR="00000000" w:rsidRPr="00154C34" w:rsidP="00154C34">
            <w:pPr>
              <w:pStyle w:val="ListBullet"/>
            </w:pPr>
            <w:r w:rsidRPr="00154C34">
              <w:t>supporting evidence.</w:t>
            </w:r>
          </w:p>
        </w:tc>
      </w:tr>
    </w:tbl>
    <w:p w:rsidR="00551650" w:rsidP="00154C34">
      <w:pPr>
        <w:pStyle w:val="BodyText"/>
      </w:pPr>
    </w:p>
    <w:p w:rsidR="00551650" w:rsidP="00154C34">
      <w:pPr>
        <w:pStyle w:val="BodyText"/>
      </w:pPr>
    </w:p>
    <w:p w:rsidR="00000000" w:rsidRPr="00154C34" w:rsidP="00154C34">
      <w:pPr>
        <w:pStyle w:val="Heading1"/>
      </w:pPr>
      <w:bookmarkStart w:id="12" w:name="O_80870"/>
      <w:bookmarkEnd w:id="12"/>
      <w:r w:rsidRPr="00154C34">
        <w:t>Unit Sector(s)</w:t>
      </w:r>
    </w:p>
    <w:tbl>
      <w:tblPr>
        <w:tblW w:w="0" w:type="auto"/>
        <w:tblLayout w:type="fixed"/>
        <w:tblCellMar>
          <w:left w:w="62" w:type="dxa"/>
          <w:right w:w="62" w:type="dxa"/>
        </w:tblCellMar>
        <w:tblLook w:val="0000"/>
      </w:tblPr>
      <w:tblGrid>
        <w:gridCol w:w="2551"/>
        <w:gridCol w:w="5971"/>
      </w:tblGrid>
      <w:tr w:rsidTr="00551650">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C34">
            <w:pPr>
              <w:pStyle w:val="BodyText"/>
              <w:rPr>
                <w:lang w:val="en-NZ"/>
              </w:rPr>
            </w:pPr>
            <w:r w:rsidRPr="00154C34">
              <w:t>Unit sector</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C34" w:rsidP="00154C34">
            <w:pPr>
              <w:pStyle w:val="BodyText"/>
            </w:pPr>
            <w:r w:rsidRPr="00154C34">
              <w:t>Superannuation</w:t>
            </w:r>
          </w:p>
        </w:tc>
      </w:tr>
    </w:tbl>
    <w:p w:rsidR="00000000" w:rsidRPr="00154C34" w:rsidP="00154C34">
      <w:pPr>
        <w:pStyle w:val="BodyText"/>
      </w:pPr>
    </w:p>
    <w:p w:rsidR="00000000" w:rsidRPr="00154C34" w:rsidP="00154C34">
      <w:pPr>
        <w:pStyle w:val="AllowPageBreak"/>
      </w:pPr>
    </w:p>
    <w:p w:rsidR="00000000" w:rsidRPr="00154C34" w:rsidP="00154C34">
      <w:pPr>
        <w:pStyle w:val="Heading1"/>
      </w:pPr>
      <w:bookmarkStart w:id="13" w:name="O_156711"/>
      <w:bookmarkEnd w:id="13"/>
      <w:r w:rsidRPr="00154C34">
        <w:t>Competency field</w:t>
      </w:r>
    </w:p>
    <w:tbl>
      <w:tblPr>
        <w:tblW w:w="0" w:type="auto"/>
        <w:tblLayout w:type="fixed"/>
        <w:tblCellMar>
          <w:left w:w="62" w:type="dxa"/>
          <w:right w:w="62" w:type="dxa"/>
        </w:tblCellMar>
        <w:tblLook w:val="0000"/>
      </w:tblPr>
      <w:tblGrid>
        <w:gridCol w:w="2737"/>
        <w:gridCol w:w="5785"/>
      </w:tblGrid>
      <w:tr w:rsidTr="00551650">
        <w:tblPrEx>
          <w:tblW w:w="0" w:type="auto"/>
          <w:tblLayout w:type="fixed"/>
          <w:tblCellMar>
            <w:left w:w="62" w:type="dxa"/>
            <w:right w:w="62" w:type="dxa"/>
          </w:tblCellMar>
          <w:tblLook w:val="0000"/>
        </w:tblPrEx>
        <w:trPr>
          <w:tblHeader/>
        </w:trPr>
        <w:tc>
          <w:tcPr>
            <w:tcW w:w="2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C34">
            <w:pPr>
              <w:pStyle w:val="BodyText"/>
              <w:rPr>
                <w:lang w:val="en-NZ"/>
              </w:rPr>
            </w:pPr>
            <w:r w:rsidRPr="00154C34">
              <w:t>Competency field</w:t>
            </w:r>
          </w:p>
        </w:tc>
        <w:tc>
          <w:tcPr>
            <w:tcW w:w="5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C34" w:rsidP="00154C34">
            <w:pPr>
              <w:pStyle w:val="BodyText"/>
            </w:pPr>
          </w:p>
        </w:tc>
      </w:tr>
    </w:tbl>
    <w:p w:rsidR="00000000" w:rsidRPr="00154C34" w:rsidP="00154C34">
      <w:pPr>
        <w:pStyle w:val="BodyText"/>
      </w:pPr>
    </w:p>
    <w:p w:rsidR="00000000" w:rsidRPr="00154C34" w:rsidP="00154C34">
      <w:pPr>
        <w:pStyle w:val="AllowPageBreak"/>
      </w:pPr>
    </w:p>
    <w:p w:rsidR="00000000" w:rsidRPr="00154C34" w:rsidP="00154C34">
      <w:pPr>
        <w:pStyle w:val="Heading1"/>
      </w:pPr>
      <w:bookmarkStart w:id="14" w:name="O_156710"/>
      <w:bookmarkEnd w:id="14"/>
      <w:r w:rsidRPr="00154C34">
        <w:t>Co-requisite units</w:t>
      </w:r>
    </w:p>
    <w:tbl>
      <w:tblPr>
        <w:tblW w:w="0" w:type="auto"/>
        <w:tblLayout w:type="fixed"/>
        <w:tblCellMar>
          <w:left w:w="62" w:type="dxa"/>
          <w:right w:w="62" w:type="dxa"/>
        </w:tblCellMar>
        <w:tblLook w:val="0000"/>
      </w:tblPr>
      <w:tblGrid>
        <w:gridCol w:w="2614"/>
        <w:gridCol w:w="1327"/>
        <w:gridCol w:w="4581"/>
      </w:tblGrid>
      <w:tr w:rsidTr="00551650">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C34">
            <w:pPr>
              <w:pStyle w:val="BodyText"/>
              <w:rPr>
                <w:lang w:val="en-NZ"/>
              </w:rPr>
            </w:pPr>
            <w:r w:rsidRPr="00154C34">
              <w:t>Co-requisite units</w:t>
            </w:r>
          </w:p>
        </w:tc>
        <w:tc>
          <w:tcPr>
            <w:tcW w:w="1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C34">
            <w:pPr>
              <w:pStyle w:val="BodyText"/>
              <w:rPr>
                <w:lang w:val="en-NZ"/>
              </w:rPr>
            </w:pPr>
          </w:p>
        </w:tc>
      </w:tr>
      <w:tr w:rsidTr="00551650">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C34" w:rsidP="00154C34">
            <w:pPr>
              <w:pStyle w:val="BodyText"/>
            </w:pPr>
          </w:p>
        </w:tc>
      </w:tr>
    </w:tbl>
    <w:p w:rsidR="00000000" w:rsidRPr="00154C34" w:rsidP="00154C34">
      <w:pPr>
        <w:pStyle w:val="BodyText"/>
      </w:pPr>
    </w:p>
    <w:p w:rsidR="00000000" w:rsidRPr="00154C34" w:rsidP="00154C34"/>
    <w:sectPr w:rsidSect="00154C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C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1650" w:rsidP="005516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C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650" w:rsidP="00154C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51650" w:rsidP="00154C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51650" w:rsidP="00154C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C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1650" w:rsidP="0055165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C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650" w:rsidP="00154C34">
    <w:pPr>
      <w:pStyle w:val="Header"/>
      <w:framePr w:wrap="around"/>
    </w:pPr>
    <w:r>
      <w:fldChar w:fldCharType="begin"/>
    </w:r>
    <w:r>
      <w:instrText xml:space="preserve"> TITLE   \* MERGEFORMAT </w:instrText>
    </w:r>
    <w:r>
      <w:fldChar w:fldCharType="separate"/>
    </w:r>
    <w:r>
      <w:t>FNSSUP402A Assist in meeting superannuation compliance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51650" w:rsidP="00154C3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905C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8E9C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742E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4C3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54C34"/>
    <w:pPr>
      <w:spacing w:before="360" w:after="60"/>
      <w:outlineLvl w:val="0"/>
    </w:pPr>
    <w:rPr>
      <w:sz w:val="32"/>
    </w:rPr>
  </w:style>
  <w:style w:type="paragraph" w:styleId="Heading2">
    <w:name w:val="heading 2"/>
    <w:basedOn w:val="HeadingBase"/>
    <w:next w:val="BodyText"/>
    <w:link w:val="Heading2Char"/>
    <w:qFormat/>
    <w:rsid w:val="00154C34"/>
    <w:pPr>
      <w:keepLines/>
      <w:spacing w:before="240" w:after="120"/>
      <w:outlineLvl w:val="1"/>
    </w:pPr>
    <w:rPr>
      <w:sz w:val="28"/>
      <w:szCs w:val="40"/>
    </w:rPr>
  </w:style>
  <w:style w:type="paragraph" w:styleId="Heading3">
    <w:name w:val="heading 3"/>
    <w:basedOn w:val="HeadingBase"/>
    <w:next w:val="BodyText"/>
    <w:link w:val="Heading3Char"/>
    <w:qFormat/>
    <w:rsid w:val="00154C34"/>
    <w:pPr>
      <w:spacing w:before="180" w:after="120"/>
      <w:outlineLvl w:val="2"/>
    </w:pPr>
    <w:rPr>
      <w:spacing w:val="-10"/>
      <w:kern w:val="32"/>
    </w:rPr>
  </w:style>
  <w:style w:type="paragraph" w:styleId="Heading4">
    <w:name w:val="heading 4"/>
    <w:basedOn w:val="HeadingBase"/>
    <w:next w:val="BodyText"/>
    <w:link w:val="Heading4Char"/>
    <w:qFormat/>
    <w:rsid w:val="00154C34"/>
    <w:pPr>
      <w:spacing w:before="160" w:after="120"/>
      <w:outlineLvl w:val="3"/>
    </w:pPr>
    <w:rPr>
      <w:sz w:val="22"/>
    </w:rPr>
  </w:style>
  <w:style w:type="paragraph" w:styleId="Heading5">
    <w:name w:val="heading 5"/>
    <w:basedOn w:val="HeadingBase"/>
    <w:next w:val="Normal"/>
    <w:link w:val="Heading5Char"/>
    <w:qFormat/>
    <w:rsid w:val="00154C34"/>
    <w:pPr>
      <w:spacing w:before="80"/>
      <w:outlineLvl w:val="4"/>
    </w:pPr>
    <w:rPr>
      <w:color w:val="918585"/>
      <w:sz w:val="20"/>
    </w:rPr>
  </w:style>
  <w:style w:type="paragraph" w:styleId="Heading6">
    <w:name w:val="heading 6"/>
    <w:basedOn w:val="HeadingBase"/>
    <w:next w:val="Normal"/>
    <w:link w:val="Heading6Char"/>
    <w:qFormat/>
    <w:rsid w:val="00154C34"/>
    <w:pPr>
      <w:spacing w:before="60"/>
      <w:outlineLvl w:val="5"/>
    </w:pPr>
    <w:rPr>
      <w:color w:val="918585"/>
      <w:sz w:val="20"/>
    </w:rPr>
  </w:style>
  <w:style w:type="paragraph" w:styleId="Heading7">
    <w:name w:val="heading 7"/>
    <w:basedOn w:val="Normal"/>
    <w:next w:val="Normal"/>
    <w:link w:val="Heading7Char"/>
    <w:qFormat/>
    <w:rsid w:val="00154C34"/>
    <w:pPr>
      <w:ind w:left="720"/>
      <w:outlineLvl w:val="6"/>
    </w:pPr>
    <w:rPr>
      <w:i/>
    </w:rPr>
  </w:style>
  <w:style w:type="paragraph" w:styleId="Heading8">
    <w:name w:val="heading 8"/>
    <w:basedOn w:val="Normal"/>
    <w:next w:val="Normal"/>
    <w:link w:val="Heading8Char"/>
    <w:qFormat/>
    <w:rsid w:val="00154C34"/>
    <w:pPr>
      <w:ind w:left="720"/>
      <w:outlineLvl w:val="7"/>
    </w:pPr>
    <w:rPr>
      <w:i/>
    </w:rPr>
  </w:style>
  <w:style w:type="paragraph" w:styleId="Heading9">
    <w:name w:val="heading 9"/>
    <w:basedOn w:val="Normal"/>
    <w:next w:val="Normal"/>
    <w:link w:val="Heading9Char"/>
    <w:qFormat/>
    <w:rsid w:val="00154C34"/>
    <w:pPr>
      <w:ind w:left="720"/>
      <w:outlineLvl w:val="8"/>
    </w:pPr>
    <w:rPr>
      <w:i/>
    </w:rPr>
  </w:style>
  <w:style w:type="character" w:default="1" w:styleId="DefaultParagraphFont">
    <w:name w:val="Default Paragraph Font"/>
    <w:uiPriority w:val="1"/>
    <w:unhideWhenUsed/>
    <w:rsid w:val="00154C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4C34"/>
  </w:style>
  <w:style w:type="character" w:customStyle="1" w:styleId="Heading1Char">
    <w:name w:val="Heading 1 Char"/>
    <w:basedOn w:val="DefaultParagraphFont"/>
    <w:link w:val="Heading1"/>
    <w:rsid w:val="00154C34"/>
    <w:rPr>
      <w:rFonts w:ascii="Times New Roman" w:eastAsia="Times New Roman" w:hAnsi="Times New Roman" w:cs="Times New Roman"/>
      <w:b/>
      <w:sz w:val="32"/>
      <w:szCs w:val="20"/>
      <w:lang w:eastAsia="en-US"/>
    </w:rPr>
  </w:style>
  <w:style w:type="paragraph" w:styleId="BodyText">
    <w:name w:val="Body Text"/>
    <w:basedOn w:val="Normal"/>
    <w:link w:val="BodyTextChar"/>
    <w:rsid w:val="00154C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4C34"/>
    <w:rPr>
      <w:rFonts w:ascii="Times New Roman" w:eastAsia="Times New Roman" w:hAnsi="Times New Roman" w:cs="Times New Roman"/>
      <w:sz w:val="24"/>
      <w:lang w:val="en-US" w:eastAsia="en-US"/>
    </w:rPr>
  </w:style>
  <w:style w:type="paragraph" w:styleId="Footer">
    <w:name w:val="footer"/>
    <w:basedOn w:val="Normal"/>
    <w:link w:val="FooterChar"/>
    <w:rsid w:val="00154C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4C34"/>
    <w:rPr>
      <w:rFonts w:ascii="Times New Roman" w:eastAsia="Times New Roman" w:hAnsi="Times New Roman" w:cs="Times New Roman"/>
      <w:sz w:val="16"/>
      <w:lang w:val="en-US" w:eastAsia="en-US"/>
    </w:rPr>
  </w:style>
  <w:style w:type="paragraph" w:styleId="List">
    <w:name w:val="List"/>
    <w:basedOn w:val="BodyText"/>
    <w:next w:val="BodyText"/>
    <w:rsid w:val="00154C34"/>
    <w:pPr>
      <w:tabs>
        <w:tab w:val="left" w:pos="340"/>
      </w:tabs>
      <w:spacing w:before="60" w:after="60"/>
      <w:ind w:left="340" w:hanging="340"/>
    </w:pPr>
  </w:style>
  <w:style w:type="paragraph" w:styleId="ListBullet">
    <w:name w:val="List Bullet"/>
    <w:basedOn w:val="List"/>
    <w:rsid w:val="00154C34"/>
    <w:pPr>
      <w:numPr>
        <w:numId w:val="13"/>
      </w:numPr>
      <w:tabs>
        <w:tab w:val="clear" w:pos="340"/>
      </w:tabs>
      <w:spacing w:before="40" w:after="40"/>
    </w:pPr>
  </w:style>
  <w:style w:type="character" w:customStyle="1" w:styleId="SpecialBold">
    <w:name w:val="Special Bold"/>
    <w:basedOn w:val="DefaultParagraphFont"/>
    <w:rsid w:val="00154C34"/>
    <w:rPr>
      <w:b/>
      <w:spacing w:val="0"/>
    </w:rPr>
  </w:style>
  <w:style w:type="paragraph" w:styleId="ListBullet2">
    <w:name w:val="List Bullet 2"/>
    <w:basedOn w:val="List2"/>
    <w:rsid w:val="00154C34"/>
    <w:pPr>
      <w:numPr>
        <w:numId w:val="14"/>
      </w:numPr>
      <w:tabs>
        <w:tab w:val="clear" w:pos="680"/>
      </w:tabs>
    </w:pPr>
  </w:style>
  <w:style w:type="paragraph" w:styleId="Header">
    <w:name w:val="header"/>
    <w:basedOn w:val="Normal"/>
    <w:link w:val="HeaderChar"/>
    <w:rsid w:val="00154C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4C3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54C34"/>
    <w:pPr>
      <w:spacing w:before="240" w:after="120"/>
      <w:outlineLvl w:val="0"/>
    </w:pPr>
    <w:rPr>
      <w:rFonts w:ascii="Times New Roman" w:hAnsi="Times New Roman"/>
      <w:b/>
      <w:sz w:val="28"/>
    </w:rPr>
  </w:style>
  <w:style w:type="paragraph" w:customStyle="1" w:styleId="AllowPageBreak">
    <w:name w:val="AllowPageBreak"/>
    <w:rsid w:val="00154C3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54C34"/>
    <w:pPr>
      <w:tabs>
        <w:tab w:val="left" w:pos="680"/>
      </w:tabs>
      <w:spacing w:before="60" w:after="60"/>
      <w:ind w:left="680" w:hanging="340"/>
    </w:pPr>
  </w:style>
  <w:style w:type="character" w:customStyle="1" w:styleId="BoldandItalics">
    <w:name w:val="Bold and Italics"/>
    <w:qFormat/>
    <w:rsid w:val="00154C34"/>
    <w:rPr>
      <w:b/>
      <w:i/>
      <w:u w:val="none"/>
    </w:rPr>
  </w:style>
  <w:style w:type="character" w:customStyle="1" w:styleId="Heading2Char">
    <w:name w:val="Heading 2 Char"/>
    <w:basedOn w:val="DefaultParagraphFont"/>
    <w:link w:val="Heading2"/>
    <w:rsid w:val="00154C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4C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4C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4C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4C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4C3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54C3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54C34"/>
    <w:rPr>
      <w:rFonts w:ascii="Courier New" w:eastAsia="Times New Roman" w:hAnsi="Courier New" w:cs="Times New Roman"/>
      <w:i/>
      <w:szCs w:val="20"/>
      <w:lang w:val="en-US" w:eastAsia="en-US"/>
    </w:rPr>
  </w:style>
  <w:style w:type="paragraph" w:customStyle="1" w:styleId="HeadingBase">
    <w:name w:val="Heading Base"/>
    <w:rsid w:val="00154C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4C34"/>
    <w:pPr>
      <w:tabs>
        <w:tab w:val="right" w:leader="dot" w:pos="9072"/>
      </w:tabs>
      <w:ind w:left="567"/>
    </w:pPr>
    <w:rPr>
      <w:szCs w:val="22"/>
    </w:rPr>
  </w:style>
  <w:style w:type="paragraph" w:customStyle="1" w:styleId="TOCBase">
    <w:name w:val="TOC Base"/>
    <w:rsid w:val="00154C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4C34"/>
    <w:pPr>
      <w:tabs>
        <w:tab w:val="right" w:leader="dot" w:pos="9072"/>
      </w:tabs>
      <w:spacing w:before="40" w:after="40"/>
      <w:ind w:left="284"/>
    </w:pPr>
    <w:rPr>
      <w:rFonts w:ascii="Times New Roman" w:hAnsi="Times New Roman"/>
    </w:rPr>
  </w:style>
  <w:style w:type="paragraph" w:styleId="TOC1">
    <w:name w:val="toc 1"/>
    <w:basedOn w:val="TOCBase"/>
    <w:next w:val="Normal"/>
    <w:rsid w:val="00154C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4C34"/>
    <w:pPr>
      <w:spacing w:before="5040"/>
      <w:jc w:val="center"/>
    </w:pPr>
    <w:rPr>
      <w:sz w:val="48"/>
      <w:szCs w:val="72"/>
      <w:lang w:val="en-US"/>
    </w:rPr>
  </w:style>
  <w:style w:type="character" w:customStyle="1" w:styleId="TitleChar">
    <w:name w:val="Title Char"/>
    <w:basedOn w:val="DefaultParagraphFont"/>
    <w:link w:val="Title"/>
    <w:rsid w:val="00154C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4C34"/>
    <w:pPr>
      <w:tabs>
        <w:tab w:val="left" w:pos="3600"/>
        <w:tab w:val="left" w:pos="3958"/>
      </w:tabs>
    </w:pPr>
  </w:style>
  <w:style w:type="paragraph" w:customStyle="1" w:styleId="Note">
    <w:name w:val="Note"/>
    <w:basedOn w:val="BodyText"/>
    <w:rsid w:val="00154C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4C34"/>
    <w:pPr>
      <w:framePr w:wrap="auto" w:hAnchor="text" w:y="6049"/>
    </w:pPr>
    <w:rPr>
      <w:color w:val="000000"/>
      <w:sz w:val="40"/>
    </w:rPr>
  </w:style>
  <w:style w:type="paragraph" w:customStyle="1" w:styleId="TOCTitle">
    <w:name w:val="TOCTitle"/>
    <w:basedOn w:val="Heading1"/>
    <w:rsid w:val="00154C34"/>
    <w:pPr>
      <w:spacing w:after="240"/>
      <w:jc w:val="center"/>
      <w:outlineLvl w:val="9"/>
    </w:pPr>
    <w:rPr>
      <w:caps/>
    </w:rPr>
  </w:style>
  <w:style w:type="paragraph" w:customStyle="1" w:styleId="Version">
    <w:name w:val="Version"/>
    <w:rsid w:val="00154C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4C34"/>
    <w:pPr>
      <w:keepNext w:val="0"/>
      <w:tabs>
        <w:tab w:val="right" w:pos="4176"/>
      </w:tabs>
      <w:ind w:left="198" w:hanging="198"/>
    </w:pPr>
    <w:rPr>
      <w:rFonts w:ascii="Garamond" w:hAnsi="Garamond"/>
    </w:rPr>
  </w:style>
  <w:style w:type="paragraph" w:styleId="IndexHeading">
    <w:name w:val="index heading"/>
    <w:basedOn w:val="Normal"/>
    <w:next w:val="Index1"/>
    <w:semiHidden/>
    <w:rsid w:val="00154C34"/>
    <w:pPr>
      <w:spacing w:before="120" w:after="120"/>
    </w:pPr>
    <w:rPr>
      <w:rFonts w:ascii="Arial" w:hAnsi="Arial"/>
      <w:b/>
      <w:color w:val="918585"/>
      <w:sz w:val="24"/>
    </w:rPr>
  </w:style>
  <w:style w:type="paragraph" w:customStyle="1" w:styleId="Chapter">
    <w:name w:val="Chapter"/>
    <w:basedOn w:val="Normal"/>
    <w:rsid w:val="00154C34"/>
    <w:pPr>
      <w:spacing w:before="240"/>
    </w:pPr>
    <w:rPr>
      <w:rFonts w:ascii="Times New Roman" w:hAnsi="Times New Roman"/>
      <w:smallCaps/>
      <w:spacing w:val="80"/>
      <w:sz w:val="28"/>
    </w:rPr>
  </w:style>
  <w:style w:type="paragraph" w:customStyle="1" w:styleId="InChapter">
    <w:name w:val="InChapter"/>
    <w:basedOn w:val="Heading3"/>
    <w:rsid w:val="00154C34"/>
    <w:pPr>
      <w:spacing w:after="240"/>
      <w:outlineLvl w:val="9"/>
    </w:pPr>
    <w:rPr>
      <w:noProof/>
    </w:rPr>
  </w:style>
  <w:style w:type="paragraph" w:styleId="Index2">
    <w:name w:val="index 2"/>
    <w:basedOn w:val="Normal"/>
    <w:next w:val="Normal"/>
    <w:semiHidden/>
    <w:rsid w:val="00154C34"/>
    <w:pPr>
      <w:tabs>
        <w:tab w:val="right" w:pos="4176"/>
      </w:tabs>
      <w:ind w:left="568" w:hanging="284"/>
    </w:pPr>
    <w:rPr>
      <w:rFonts w:ascii="Garamond" w:hAnsi="Garamond"/>
    </w:rPr>
  </w:style>
  <w:style w:type="paragraph" w:customStyle="1" w:styleId="Byline">
    <w:name w:val="Byline"/>
    <w:rsid w:val="00154C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4C34"/>
    <w:pPr>
      <w:tabs>
        <w:tab w:val="clear" w:pos="3600"/>
        <w:tab w:val="clear" w:pos="3958"/>
      </w:tabs>
      <w:jc w:val="right"/>
    </w:pPr>
  </w:style>
  <w:style w:type="character" w:styleId="Emphasis">
    <w:name w:val="Emphasis"/>
    <w:basedOn w:val="DefaultParagraphFont"/>
    <w:qFormat/>
    <w:rsid w:val="00154C34"/>
    <w:rPr>
      <w:i/>
    </w:rPr>
  </w:style>
  <w:style w:type="paragraph" w:styleId="Caption">
    <w:name w:val="caption"/>
    <w:basedOn w:val="BodyText"/>
    <w:next w:val="Normal"/>
    <w:qFormat/>
    <w:rsid w:val="00154C34"/>
    <w:pPr>
      <w:framePr w:w="2268" w:hSpace="181" w:vSpace="181" w:wrap="around" w:vAnchor="text" w:hAnchor="page" w:x="1135" w:y="285" w:anchorLock="1"/>
    </w:pPr>
    <w:rPr>
      <w:i/>
    </w:rPr>
  </w:style>
  <w:style w:type="paragraph" w:customStyle="1" w:styleId="MiniTOCTitle">
    <w:name w:val="MiniTOCTitle"/>
    <w:basedOn w:val="Heading4"/>
    <w:rsid w:val="00154C34"/>
    <w:pPr>
      <w:spacing w:before="240"/>
      <w:outlineLvl w:val="9"/>
    </w:pPr>
    <w:rPr>
      <w:noProof/>
      <w:sz w:val="24"/>
    </w:rPr>
  </w:style>
  <w:style w:type="paragraph" w:customStyle="1" w:styleId="MiniTOCItem">
    <w:name w:val="MiniTOCItem"/>
    <w:basedOn w:val="ListBullet"/>
    <w:rsid w:val="00154C34"/>
    <w:pPr>
      <w:numPr>
        <w:numId w:val="0"/>
      </w:numPr>
      <w:tabs>
        <w:tab w:val="right" w:leader="dot" w:pos="6521"/>
      </w:tabs>
      <w:spacing w:before="0" w:after="0"/>
    </w:pPr>
  </w:style>
  <w:style w:type="paragraph" w:customStyle="1" w:styleId="TOFTitle">
    <w:name w:val="TOFTitle"/>
    <w:basedOn w:val="TOCTitle"/>
    <w:rsid w:val="00154C34"/>
  </w:style>
  <w:style w:type="paragraph" w:styleId="TableofFigures">
    <w:name w:val="table of figures"/>
    <w:basedOn w:val="Normal"/>
    <w:next w:val="Normal"/>
    <w:semiHidden/>
    <w:rsid w:val="00154C34"/>
    <w:pPr>
      <w:tabs>
        <w:tab w:val="right" w:leader="dot" w:pos="9072"/>
      </w:tabs>
      <w:ind w:left="970" w:hanging="403"/>
    </w:pPr>
    <w:rPr>
      <w:rFonts w:ascii="Times New Roman" w:hAnsi="Times New Roman"/>
      <w:b/>
    </w:rPr>
  </w:style>
  <w:style w:type="paragraph" w:styleId="ListNumber">
    <w:name w:val="List Number"/>
    <w:basedOn w:val="List"/>
    <w:rsid w:val="00154C34"/>
    <w:pPr>
      <w:numPr>
        <w:numId w:val="11"/>
      </w:numPr>
    </w:pPr>
  </w:style>
  <w:style w:type="character" w:customStyle="1" w:styleId="WingdingSymbols">
    <w:name w:val="Wingding Symbols"/>
    <w:rsid w:val="00154C34"/>
    <w:rPr>
      <w:rFonts w:ascii="Wingdings" w:hAnsi="Wingdings"/>
    </w:rPr>
  </w:style>
  <w:style w:type="paragraph" w:customStyle="1" w:styleId="TableHeading">
    <w:name w:val="Table Heading"/>
    <w:basedOn w:val="HeadingBase"/>
    <w:rsid w:val="00154C34"/>
    <w:pPr>
      <w:keepLines/>
      <w:pBdr>
        <w:bottom w:val="single" w:sz="6" w:space="1" w:color="918585"/>
      </w:pBdr>
      <w:spacing w:before="240"/>
    </w:pPr>
  </w:style>
  <w:style w:type="character" w:customStyle="1" w:styleId="HotSpot">
    <w:name w:val="HotSpot"/>
    <w:rsid w:val="00154C34"/>
    <w:rPr>
      <w:color w:val="0033CC"/>
      <w:u w:val="none"/>
    </w:rPr>
  </w:style>
  <w:style w:type="paragraph" w:customStyle="1" w:styleId="BodyTextRight">
    <w:name w:val="Body Text Right"/>
    <w:basedOn w:val="BodyText"/>
    <w:rsid w:val="00154C34"/>
    <w:pPr>
      <w:spacing w:before="0" w:after="0"/>
      <w:jc w:val="right"/>
    </w:pPr>
  </w:style>
  <w:style w:type="paragraph" w:styleId="Index3">
    <w:name w:val="index 3"/>
    <w:basedOn w:val="ListNumber2"/>
    <w:next w:val="Normal"/>
    <w:semiHidden/>
    <w:rsid w:val="00154C34"/>
    <w:pPr>
      <w:numPr>
        <w:numId w:val="0"/>
      </w:numPr>
      <w:tabs>
        <w:tab w:val="right" w:leader="dot" w:pos="4176"/>
      </w:tabs>
    </w:pPr>
  </w:style>
  <w:style w:type="paragraph" w:styleId="ListNumber2">
    <w:name w:val="List Number 2"/>
    <w:basedOn w:val="List2"/>
    <w:rsid w:val="00154C34"/>
    <w:pPr>
      <w:numPr>
        <w:numId w:val="10"/>
      </w:numPr>
      <w:tabs>
        <w:tab w:val="clear" w:pos="1060"/>
      </w:tabs>
    </w:pPr>
  </w:style>
  <w:style w:type="paragraph" w:customStyle="1" w:styleId="MarginNote">
    <w:name w:val="Margin Note"/>
    <w:basedOn w:val="BodyText"/>
    <w:rsid w:val="00154C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4C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4C3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54C34"/>
    <w:rPr>
      <w:sz w:val="32"/>
    </w:rPr>
  </w:style>
  <w:style w:type="paragraph" w:customStyle="1" w:styleId="HeadingProcedure">
    <w:name w:val="Heading Procedure"/>
    <w:basedOn w:val="HeadingBase"/>
    <w:next w:val="Normal"/>
    <w:rsid w:val="00154C34"/>
    <w:pPr>
      <w:tabs>
        <w:tab w:val="left" w:pos="0"/>
      </w:tabs>
      <w:spacing w:before="120" w:after="60"/>
    </w:pPr>
    <w:rPr>
      <w:i/>
      <w:color w:val="918585"/>
      <w:sz w:val="22"/>
    </w:rPr>
  </w:style>
  <w:style w:type="paragraph" w:customStyle="1" w:styleId="TableBodyText">
    <w:name w:val="Table Body Text"/>
    <w:basedOn w:val="BodyText"/>
    <w:rsid w:val="00154C34"/>
    <w:pPr>
      <w:spacing w:before="60" w:after="60"/>
    </w:pPr>
  </w:style>
  <w:style w:type="paragraph" w:styleId="ListContinue">
    <w:name w:val="List Continue"/>
    <w:basedOn w:val="List"/>
    <w:rsid w:val="00154C34"/>
    <w:pPr>
      <w:ind w:firstLine="0"/>
    </w:pPr>
  </w:style>
  <w:style w:type="paragraph" w:customStyle="1" w:styleId="ListNote">
    <w:name w:val="List Note"/>
    <w:basedOn w:val="List"/>
    <w:rsid w:val="00154C34"/>
    <w:pPr>
      <w:pBdr>
        <w:top w:val="single" w:sz="6" w:space="2" w:color="918585"/>
        <w:bottom w:val="single" w:sz="6" w:space="2" w:color="918585"/>
      </w:pBdr>
      <w:tabs>
        <w:tab w:val="left" w:pos="1021"/>
      </w:tabs>
      <w:ind w:firstLine="0"/>
    </w:pPr>
  </w:style>
  <w:style w:type="paragraph" w:customStyle="1" w:styleId="Warning">
    <w:name w:val="Warning"/>
    <w:basedOn w:val="BodyText"/>
    <w:rsid w:val="00154C34"/>
    <w:pPr>
      <w:shd w:val="clear" w:color="auto" w:fill="D9D9D9"/>
      <w:tabs>
        <w:tab w:val="left" w:pos="992"/>
      </w:tabs>
      <w:ind w:left="119" w:right="119"/>
    </w:pPr>
    <w:rPr>
      <w:sz w:val="20"/>
    </w:rPr>
  </w:style>
  <w:style w:type="paragraph" w:customStyle="1" w:styleId="MarginIcons">
    <w:name w:val="Margin Icons"/>
    <w:basedOn w:val="BodyText"/>
    <w:rsid w:val="00154C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4C34"/>
    <w:rPr>
      <w:rFonts w:ascii="Courier New" w:hAnsi="Courier New"/>
    </w:rPr>
  </w:style>
  <w:style w:type="paragraph" w:customStyle="1" w:styleId="NoteBullet">
    <w:name w:val="Note Bullet"/>
    <w:basedOn w:val="Note"/>
    <w:rsid w:val="00154C34"/>
    <w:pPr>
      <w:tabs>
        <w:tab w:val="clear" w:pos="680"/>
      </w:tabs>
      <w:spacing w:before="60" w:after="60"/>
    </w:pPr>
  </w:style>
  <w:style w:type="paragraph" w:customStyle="1" w:styleId="SubHeading2">
    <w:name w:val="SubHeading2"/>
    <w:basedOn w:val="HeadingBase"/>
    <w:rsid w:val="00154C34"/>
    <w:pPr>
      <w:spacing w:before="240" w:after="60"/>
    </w:pPr>
    <w:rPr>
      <w:sz w:val="20"/>
    </w:rPr>
  </w:style>
  <w:style w:type="paragraph" w:customStyle="1" w:styleId="SubHeading1">
    <w:name w:val="SubHeading1"/>
    <w:basedOn w:val="HeadingBase"/>
    <w:rsid w:val="00154C34"/>
    <w:pPr>
      <w:spacing w:before="240" w:after="60"/>
    </w:pPr>
    <w:rPr>
      <w:color w:val="918585"/>
      <w:sz w:val="22"/>
    </w:rPr>
  </w:style>
  <w:style w:type="paragraph" w:customStyle="1" w:styleId="SideHeading">
    <w:name w:val="Side Heading"/>
    <w:basedOn w:val="HeadingBase"/>
    <w:rsid w:val="00154C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4C34"/>
    <w:pPr>
      <w:numPr>
        <w:numId w:val="12"/>
      </w:numPr>
    </w:pPr>
  </w:style>
  <w:style w:type="paragraph" w:styleId="PlainText">
    <w:name w:val="Plain Text"/>
    <w:basedOn w:val="Normal"/>
    <w:link w:val="PlainTextChar"/>
    <w:rsid w:val="00154C34"/>
    <w:rPr>
      <w:sz w:val="20"/>
    </w:rPr>
  </w:style>
  <w:style w:type="character" w:customStyle="1" w:styleId="PlainTextChar">
    <w:name w:val="Plain Text Char"/>
    <w:basedOn w:val="DefaultParagraphFont"/>
    <w:link w:val="PlainText"/>
    <w:rsid w:val="00154C3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54C34"/>
    <w:rPr>
      <w:b/>
      <w:smallCaps/>
    </w:rPr>
  </w:style>
  <w:style w:type="paragraph" w:customStyle="1" w:styleId="TableListNumber">
    <w:name w:val="Table List Number"/>
    <w:basedOn w:val="ListNumber"/>
    <w:rsid w:val="00154C34"/>
    <w:pPr>
      <w:numPr>
        <w:numId w:val="0"/>
      </w:numPr>
    </w:pPr>
  </w:style>
  <w:style w:type="paragraph" w:styleId="TOC4">
    <w:name w:val="toc 4"/>
    <w:basedOn w:val="TOCBase"/>
    <w:next w:val="Normal"/>
    <w:semiHidden/>
    <w:rsid w:val="00154C34"/>
    <w:pPr>
      <w:tabs>
        <w:tab w:val="right" w:leader="dot" w:pos="9071"/>
      </w:tabs>
      <w:ind w:left="1701"/>
    </w:pPr>
  </w:style>
  <w:style w:type="paragraph" w:customStyle="1" w:styleId="ListAlpha">
    <w:name w:val="List Alpha"/>
    <w:basedOn w:val="List"/>
    <w:rsid w:val="00154C34"/>
    <w:pPr>
      <w:numPr>
        <w:numId w:val="9"/>
      </w:numPr>
    </w:pPr>
  </w:style>
  <w:style w:type="paragraph" w:customStyle="1" w:styleId="ListAlpha2">
    <w:name w:val="List Alpha 2"/>
    <w:basedOn w:val="List2"/>
    <w:rsid w:val="00154C34"/>
    <w:pPr>
      <w:numPr>
        <w:numId w:val="8"/>
      </w:numPr>
    </w:pPr>
  </w:style>
  <w:style w:type="paragraph" w:styleId="List3">
    <w:name w:val="List 3"/>
    <w:basedOn w:val="BodyText"/>
    <w:rsid w:val="00154C34"/>
    <w:pPr>
      <w:tabs>
        <w:tab w:val="left" w:pos="1021"/>
      </w:tabs>
      <w:spacing w:before="60" w:after="60"/>
      <w:ind w:left="1020" w:hanging="340"/>
    </w:pPr>
  </w:style>
  <w:style w:type="paragraph" w:styleId="List4">
    <w:name w:val="List 4"/>
    <w:basedOn w:val="BodyText"/>
    <w:rsid w:val="00154C34"/>
    <w:pPr>
      <w:tabs>
        <w:tab w:val="left" w:pos="1361"/>
      </w:tabs>
      <w:spacing w:before="60" w:after="60"/>
      <w:ind w:left="1361" w:hanging="340"/>
    </w:pPr>
  </w:style>
  <w:style w:type="paragraph" w:styleId="List5">
    <w:name w:val="List 5"/>
    <w:basedOn w:val="BodyText"/>
    <w:rsid w:val="00154C34"/>
    <w:pPr>
      <w:tabs>
        <w:tab w:val="left" w:pos="1701"/>
      </w:tabs>
      <w:spacing w:before="60" w:after="60"/>
      <w:ind w:left="1701" w:hanging="340"/>
    </w:pPr>
  </w:style>
  <w:style w:type="paragraph" w:styleId="ListBullet3">
    <w:name w:val="List Bullet 3"/>
    <w:basedOn w:val="List3"/>
    <w:rsid w:val="00154C34"/>
    <w:pPr>
      <w:numPr>
        <w:numId w:val="15"/>
      </w:numPr>
      <w:tabs>
        <w:tab w:val="clear" w:pos="1021"/>
      </w:tabs>
      <w:ind w:left="1037" w:hanging="357"/>
    </w:pPr>
  </w:style>
  <w:style w:type="paragraph" w:styleId="ListBullet4">
    <w:name w:val="List Bullet 4"/>
    <w:basedOn w:val="List4"/>
    <w:rsid w:val="00154C34"/>
    <w:pPr>
      <w:numPr>
        <w:numId w:val="3"/>
      </w:numPr>
    </w:pPr>
  </w:style>
  <w:style w:type="paragraph" w:styleId="ListBullet5">
    <w:name w:val="List Bullet 5"/>
    <w:basedOn w:val="List5"/>
    <w:rsid w:val="00154C34"/>
    <w:pPr>
      <w:numPr>
        <w:numId w:val="4"/>
      </w:numPr>
    </w:pPr>
  </w:style>
  <w:style w:type="paragraph" w:styleId="ListContinue2">
    <w:name w:val="List Continue 2"/>
    <w:basedOn w:val="List2"/>
    <w:rsid w:val="00154C34"/>
    <w:pPr>
      <w:ind w:firstLine="0"/>
    </w:pPr>
  </w:style>
  <w:style w:type="paragraph" w:styleId="ListContinue3">
    <w:name w:val="List Continue 3"/>
    <w:basedOn w:val="List3"/>
    <w:rsid w:val="00154C34"/>
    <w:pPr>
      <w:ind w:left="1021" w:firstLine="0"/>
    </w:pPr>
  </w:style>
  <w:style w:type="paragraph" w:styleId="ListContinue4">
    <w:name w:val="List Continue 4"/>
    <w:basedOn w:val="List4"/>
    <w:rsid w:val="00154C34"/>
    <w:pPr>
      <w:ind w:firstLine="0"/>
    </w:pPr>
  </w:style>
  <w:style w:type="paragraph" w:styleId="ListContinue5">
    <w:name w:val="List Continue 5"/>
    <w:basedOn w:val="List5"/>
    <w:rsid w:val="00154C34"/>
    <w:pPr>
      <w:ind w:firstLine="0"/>
    </w:pPr>
  </w:style>
  <w:style w:type="paragraph" w:styleId="ListNumber3">
    <w:name w:val="List Number 3"/>
    <w:basedOn w:val="List3"/>
    <w:rsid w:val="00154C34"/>
    <w:pPr>
      <w:numPr>
        <w:numId w:val="5"/>
      </w:numPr>
    </w:pPr>
  </w:style>
  <w:style w:type="paragraph" w:styleId="ListNumber4">
    <w:name w:val="List Number 4"/>
    <w:basedOn w:val="List4"/>
    <w:rsid w:val="00154C34"/>
    <w:pPr>
      <w:numPr>
        <w:numId w:val="6"/>
      </w:numPr>
    </w:pPr>
  </w:style>
  <w:style w:type="paragraph" w:styleId="ListNumber5">
    <w:name w:val="List Number 5"/>
    <w:basedOn w:val="List5"/>
    <w:rsid w:val="00154C34"/>
    <w:pPr>
      <w:numPr>
        <w:numId w:val="7"/>
      </w:numPr>
    </w:pPr>
  </w:style>
  <w:style w:type="paragraph" w:styleId="BlockText">
    <w:name w:val="Block Text"/>
    <w:basedOn w:val="Normal"/>
    <w:rsid w:val="00154C34"/>
    <w:pPr>
      <w:spacing w:after="120"/>
      <w:ind w:left="1440" w:right="1440"/>
    </w:pPr>
  </w:style>
  <w:style w:type="character" w:customStyle="1" w:styleId="Subscript">
    <w:name w:val="Subscript"/>
    <w:basedOn w:val="DefaultParagraphFont"/>
    <w:rsid w:val="00154C34"/>
    <w:rPr>
      <w:sz w:val="16"/>
      <w:vertAlign w:val="subscript"/>
    </w:rPr>
  </w:style>
  <w:style w:type="character" w:customStyle="1" w:styleId="Superscript">
    <w:name w:val="Superscript"/>
    <w:basedOn w:val="DefaultParagraphFont"/>
    <w:rsid w:val="00154C34"/>
    <w:rPr>
      <w:sz w:val="16"/>
      <w:vertAlign w:val="superscript"/>
    </w:rPr>
  </w:style>
  <w:style w:type="character" w:customStyle="1" w:styleId="Symbols">
    <w:name w:val="Symbols"/>
    <w:basedOn w:val="DefaultParagraphFont"/>
    <w:rsid w:val="00154C34"/>
    <w:rPr>
      <w:rFonts w:ascii="Symbol" w:hAnsi="Symbol"/>
    </w:rPr>
  </w:style>
  <w:style w:type="character" w:customStyle="1" w:styleId="MenuOptions">
    <w:name w:val="Menu Options"/>
    <w:basedOn w:val="DefaultParagraphFont"/>
    <w:rsid w:val="00154C34"/>
    <w:rPr>
      <w:rFonts w:ascii="Arial Narrow" w:hAnsi="Arial Narrow"/>
      <w:smallCaps/>
    </w:rPr>
  </w:style>
  <w:style w:type="character" w:customStyle="1" w:styleId="Buttons">
    <w:name w:val="Buttons"/>
    <w:basedOn w:val="DefaultParagraphFont"/>
    <w:rsid w:val="00154C34"/>
    <w:rPr>
      <w:b/>
    </w:rPr>
  </w:style>
  <w:style w:type="character" w:customStyle="1" w:styleId="Underlined">
    <w:name w:val="Underlined"/>
    <w:basedOn w:val="DefaultParagraphFont"/>
    <w:rsid w:val="00154C34"/>
    <w:rPr>
      <w:u w:val="single"/>
    </w:rPr>
  </w:style>
  <w:style w:type="paragraph" w:customStyle="1" w:styleId="TableBodyTextRight">
    <w:name w:val="Table Body Text Right"/>
    <w:basedOn w:val="TableBodyText"/>
    <w:rsid w:val="00154C34"/>
    <w:pPr>
      <w:widowControl w:val="0"/>
      <w:autoSpaceDE w:val="0"/>
      <w:autoSpaceDN w:val="0"/>
      <w:adjustRightInd w:val="0"/>
      <w:jc w:val="right"/>
    </w:pPr>
    <w:rPr>
      <w:rFonts w:cs="Arial"/>
      <w:szCs w:val="18"/>
    </w:rPr>
  </w:style>
  <w:style w:type="paragraph" w:customStyle="1" w:styleId="CopyrightText">
    <w:name w:val="Copyright Text"/>
    <w:basedOn w:val="BodyText"/>
    <w:rsid w:val="00154C34"/>
    <w:rPr>
      <w:sz w:val="18"/>
    </w:rPr>
  </w:style>
  <w:style w:type="paragraph" w:customStyle="1" w:styleId="BodySmallRight">
    <w:name w:val="Body Small Right"/>
    <w:basedOn w:val="BodyTextRight"/>
    <w:rsid w:val="00154C34"/>
    <w:rPr>
      <w:sz w:val="18"/>
      <w:szCs w:val="18"/>
    </w:rPr>
  </w:style>
  <w:style w:type="paragraph" w:customStyle="1" w:styleId="MarginEdition">
    <w:name w:val="Margin Edition"/>
    <w:basedOn w:val="MarginNote"/>
    <w:rsid w:val="00154C34"/>
    <w:pPr>
      <w:spacing w:before="0" w:after="0"/>
    </w:pPr>
    <w:rPr>
      <w:rFonts w:ascii="Times New Roman" w:hAnsi="Times New Roman"/>
      <w:color w:val="999999"/>
    </w:rPr>
  </w:style>
  <w:style w:type="paragraph" w:customStyle="1" w:styleId="Spacer">
    <w:name w:val="Spacer"/>
    <w:basedOn w:val="Normal"/>
    <w:rsid w:val="00154C34"/>
    <w:rPr>
      <w:sz w:val="2"/>
      <w:szCs w:val="2"/>
    </w:rPr>
  </w:style>
  <w:style w:type="character" w:customStyle="1" w:styleId="Small">
    <w:name w:val="Small"/>
    <w:basedOn w:val="DefaultParagraphFont"/>
    <w:rsid w:val="00154C34"/>
    <w:rPr>
      <w:sz w:val="16"/>
    </w:rPr>
  </w:style>
  <w:style w:type="paragraph" w:customStyle="1" w:styleId="WideTable">
    <w:name w:val="Wide Table"/>
    <w:basedOn w:val="Normal"/>
    <w:rsid w:val="00154C34"/>
    <w:pPr>
      <w:ind w:left="-1418"/>
    </w:pPr>
    <w:rPr>
      <w:sz w:val="2"/>
      <w:szCs w:val="2"/>
    </w:rPr>
  </w:style>
  <w:style w:type="character" w:styleId="PageNumber">
    <w:name w:val="page number"/>
    <w:basedOn w:val="DefaultParagraphFont"/>
    <w:rsid w:val="00154C34"/>
  </w:style>
  <w:style w:type="paragraph" w:styleId="Quote">
    <w:name w:val="Quote"/>
    <w:basedOn w:val="Heading1"/>
    <w:link w:val="QuoteChar"/>
    <w:qFormat/>
    <w:rsid w:val="00154C34"/>
    <w:rPr>
      <w:b w:val="0"/>
      <w:sz w:val="72"/>
      <w:szCs w:val="72"/>
      <w:lang w:val="en-NZ"/>
    </w:rPr>
  </w:style>
  <w:style w:type="character" w:customStyle="1" w:styleId="QuoteChar">
    <w:name w:val="Quote Char"/>
    <w:basedOn w:val="DefaultParagraphFont"/>
    <w:link w:val="Quote"/>
    <w:rsid w:val="00154C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4C34"/>
    <w:pPr>
      <w:pageBreakBefore/>
    </w:pPr>
  </w:style>
  <w:style w:type="paragraph" w:customStyle="1" w:styleId="Border">
    <w:name w:val="Border"/>
    <w:basedOn w:val="Normal"/>
    <w:qFormat/>
    <w:rsid w:val="00154C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4C34"/>
    <w:rPr>
      <w:b/>
      <w:bCs/>
      <w:i/>
      <w:iCs/>
      <w:color w:val="auto"/>
    </w:rPr>
  </w:style>
  <w:style w:type="paragraph" w:styleId="IntenseQuote">
    <w:name w:val="Intense Quote"/>
    <w:basedOn w:val="Normal"/>
    <w:next w:val="Normal"/>
    <w:link w:val="IntenseQuoteChar"/>
    <w:uiPriority w:val="30"/>
    <w:qFormat/>
    <w:rsid w:val="00154C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4C3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54C34"/>
    <w:rPr>
      <w:smallCaps/>
      <w:color w:val="auto"/>
      <w:u w:val="single"/>
    </w:rPr>
  </w:style>
  <w:style w:type="character" w:styleId="IntenseReference">
    <w:name w:val="Intense Reference"/>
    <w:basedOn w:val="DefaultParagraphFont"/>
    <w:uiPriority w:val="32"/>
    <w:qFormat/>
    <w:rsid w:val="00154C34"/>
    <w:rPr>
      <w:b/>
      <w:bCs/>
      <w:smallCaps/>
      <w:color w:val="auto"/>
      <w:spacing w:val="5"/>
      <w:u w:val="single"/>
    </w:rPr>
  </w:style>
  <w:style w:type="paragraph" w:customStyle="1" w:styleId="2ColumnHeading">
    <w:name w:val="2Column Heading"/>
    <w:basedOn w:val="BodyText"/>
    <w:qFormat/>
    <w:rsid w:val="00154C34"/>
    <w:pPr>
      <w:spacing w:after="60"/>
      <w:ind w:left="-2268"/>
    </w:pPr>
    <w:rPr>
      <w:b/>
    </w:rPr>
  </w:style>
  <w:style w:type="paragraph" w:customStyle="1" w:styleId="Heading1TOC">
    <w:name w:val="Heading1 TOC"/>
    <w:basedOn w:val="Normal"/>
    <w:qFormat/>
    <w:rsid w:val="00154C34"/>
    <w:pPr>
      <w:spacing w:before="240" w:after="120"/>
    </w:pPr>
    <w:rPr>
      <w:rFonts w:ascii="Times New Roman" w:hAnsi="Times New Roman"/>
      <w:b/>
      <w:sz w:val="32"/>
    </w:rPr>
  </w:style>
  <w:style w:type="paragraph" w:customStyle="1" w:styleId="Heading2TOC">
    <w:name w:val="Heading2 TOC"/>
    <w:basedOn w:val="Normal"/>
    <w:qFormat/>
    <w:rsid w:val="00154C34"/>
    <w:pPr>
      <w:spacing w:before="240" w:after="60"/>
    </w:pPr>
    <w:rPr>
      <w:rFonts w:ascii="Times New Roman" w:hAnsi="Times New Roman"/>
      <w:b/>
      <w:sz w:val="28"/>
    </w:rPr>
  </w:style>
  <w:style w:type="character" w:customStyle="1" w:styleId="Underline">
    <w:name w:val="Underline"/>
    <w:basedOn w:val="DefaultParagraphFont"/>
    <w:qFormat/>
    <w:rsid w:val="00154C34"/>
    <w:rPr>
      <w:u w:val="single"/>
    </w:rPr>
  </w:style>
  <w:style w:type="paragraph" w:styleId="BalloonText">
    <w:name w:val="Balloon Text"/>
    <w:basedOn w:val="Normal"/>
    <w:link w:val="BalloonTextChar"/>
    <w:rsid w:val="00154C34"/>
    <w:rPr>
      <w:rFonts w:ascii="Tahoma" w:hAnsi="Tahoma" w:cs="Tahoma"/>
      <w:sz w:val="16"/>
      <w:szCs w:val="16"/>
    </w:rPr>
  </w:style>
  <w:style w:type="character" w:customStyle="1" w:styleId="BalloonTextChar">
    <w:name w:val="Balloon Text Char"/>
    <w:basedOn w:val="DefaultParagraphFont"/>
    <w:link w:val="BalloonText"/>
    <w:rsid w:val="00154C3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54C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4C3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1379</Words>
  <Characters>9355</Characters>
  <Application>Microsoft Office Word</Application>
  <DocSecurity>0</DocSecurity>
  <Lines>329</Lines>
  <Paragraphs>178</Paragraphs>
  <ScaleCrop>false</ScaleCrop>
  <Company>Author-it Software Corporation Ltd.</Company>
  <LinksUpToDate>false</LinksUpToDate>
  <CharactersWithSpaces>10655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FNSSUP402A Assist in meeting superannuation compliance requirements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2012-05-26T16:34:00Z</dcterms:created>
  <dcterms:modified xsi:type="dcterms:W3CDTF">2012-05-26T16:34:00Z</dcterms:modified>
</cp:coreProperties>
</file>