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4F9" w:rsidP="007944F9">
      <w:pPr>
        <w:pStyle w:val="Title"/>
      </w:pPr>
      <w:bookmarkStart w:id="0" w:name="_GoBack"/>
      <w:bookmarkEnd w:id="0"/>
      <w:r>
        <w:fldChar w:fldCharType="begin"/>
      </w:r>
      <w:r>
        <w:instrText xml:space="preserve"> TITLE   \* MERGEFORMAT </w:instrText>
      </w:r>
      <w:r>
        <w:fldChar w:fldCharType="separate"/>
      </w:r>
      <w:r>
        <w:t>FNSSMS504A Meet self-managed superannuation fund compliance requirements</w:t>
      </w:r>
      <w:r>
        <w:fldChar w:fldCharType="end"/>
      </w:r>
    </w:p>
    <w:p w:rsidR="007944F9" w:rsidP="007944F9">
      <w:pPr>
        <w:pStyle w:val="Version"/>
        <w:sectPr w:rsidSect="00361C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1C1E" w:rsidP="00361C1E">
      <w:pPr>
        <w:pStyle w:val="SuperHeading"/>
      </w:pPr>
      <w:r w:rsidRPr="00361C1E">
        <w:t>FNSSMS504A Meet self-managed superannuation fund compliance requirements</w:t>
      </w:r>
    </w:p>
    <w:p w:rsidR="00000000" w:rsidRPr="00361C1E" w:rsidP="00361C1E">
      <w:pPr>
        <w:pStyle w:val="SuperHeading"/>
      </w:pPr>
    </w:p>
    <w:p w:rsidR="00000000" w:rsidRPr="00361C1E" w:rsidP="00361C1E">
      <w:pPr>
        <w:pStyle w:val="Heading1"/>
      </w:pPr>
      <w:bookmarkStart w:id="1" w:name="O_80775"/>
      <w:bookmarkEnd w:id="1"/>
      <w:r w:rsidRPr="00361C1E">
        <w:t>Modification History</w:t>
      </w:r>
    </w:p>
    <w:p w:rsidR="00000000" w:rsidRPr="00361C1E" w:rsidP="00361C1E">
      <w:pPr>
        <w:pStyle w:val="BodyText"/>
      </w:pPr>
      <w:r w:rsidRPr="00361C1E">
        <w:t>Not applicable.</w:t>
      </w:r>
    </w:p>
    <w:p w:rsidR="00000000" w:rsidRPr="00361C1E" w:rsidP="00361C1E">
      <w:pPr>
        <w:pStyle w:val="AllowPageBreak"/>
      </w:pPr>
    </w:p>
    <w:p w:rsidR="00000000" w:rsidRPr="00361C1E" w:rsidP="00361C1E">
      <w:pPr>
        <w:pStyle w:val="Heading1"/>
      </w:pPr>
      <w:bookmarkStart w:id="2" w:name="O_80776"/>
      <w:bookmarkEnd w:id="2"/>
      <w:r w:rsidRPr="00361C1E">
        <w:t>Unit Descriptor</w:t>
      </w:r>
    </w:p>
    <w:tbl>
      <w:tblPr>
        <w:tblW w:w="0" w:type="auto"/>
        <w:tblLayout w:type="fixed"/>
        <w:tblCellMar>
          <w:left w:w="62" w:type="dxa"/>
          <w:right w:w="62" w:type="dxa"/>
        </w:tblCellMar>
        <w:tblLook w:val="0000"/>
      </w:tblPr>
      <w:tblGrid>
        <w:gridCol w:w="2633"/>
        <w:gridCol w:w="5889"/>
      </w:tblGrid>
      <w:tr w:rsidTr="007944F9">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Unit descr</w:t>
            </w:r>
            <w:r w:rsidRPr="00361C1E">
              <w:rPr>
                <w:rStyle w:val="SpecialBold"/>
              </w:rPr>
              <w:t>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BodyText"/>
            </w:pPr>
            <w:r w:rsidRPr="00361C1E">
              <w:t>This unit describes the functions involved in assisting self-managed superannuation funds meet compliance requirements. It encompasses the identification of compliance requirements, determining legislative and regulatory requirements, assisting in co</w:t>
            </w:r>
            <w:r w:rsidRPr="00361C1E">
              <w:t>mpliance audits, preparing statutory reports to meet compliance requirements, and identifying Australian Taxation Office (ATO) and Australian Securities and Investments Commission (ASIC) compliance requirements.</w:t>
            </w:r>
          </w:p>
          <w:p w:rsidR="00000000" w:rsidRPr="00361C1E" w:rsidP="00361C1E">
            <w:pPr>
              <w:pStyle w:val="BodyText"/>
            </w:pPr>
          </w:p>
          <w:p w:rsidR="00000000" w:rsidRPr="00361C1E" w:rsidP="00361C1E">
            <w:pPr>
              <w:pStyle w:val="BodyText"/>
            </w:pPr>
            <w:r w:rsidRPr="00361C1E">
              <w:t>This unit is applicable to individuals work</w:t>
            </w:r>
            <w:r w:rsidRPr="00361C1E">
              <w:t>ing within enterprises and job roles subject to licensing, legislative, regulatory or certification requirements including legislation administered by the Australian Securities and Investments Commission (ASIC).</w:t>
            </w:r>
          </w:p>
        </w:tc>
      </w:tr>
    </w:tbl>
    <w:p w:rsidR="00000000" w:rsidRPr="00361C1E" w:rsidP="00361C1E">
      <w:pPr>
        <w:pStyle w:val="BodyText"/>
      </w:pPr>
    </w:p>
    <w:p w:rsidR="00000000" w:rsidRPr="00361C1E" w:rsidP="00361C1E">
      <w:pPr>
        <w:pStyle w:val="AllowPageBreak"/>
      </w:pPr>
    </w:p>
    <w:p w:rsidR="00000000" w:rsidRPr="00361C1E" w:rsidP="00361C1E">
      <w:pPr>
        <w:pStyle w:val="Heading1"/>
      </w:pPr>
      <w:bookmarkStart w:id="3" w:name="O_80777"/>
      <w:bookmarkEnd w:id="3"/>
      <w:r w:rsidRPr="00361C1E">
        <w:t>Application of the Unit</w:t>
      </w:r>
    </w:p>
    <w:tbl>
      <w:tblPr>
        <w:tblW w:w="0" w:type="auto"/>
        <w:tblLayout w:type="fixed"/>
        <w:tblCellMar>
          <w:left w:w="62" w:type="dxa"/>
          <w:right w:w="62" w:type="dxa"/>
        </w:tblCellMar>
        <w:tblLook w:val="0000"/>
      </w:tblPr>
      <w:tblGrid>
        <w:gridCol w:w="2719"/>
        <w:gridCol w:w="5803"/>
      </w:tblGrid>
      <w:tr w:rsidTr="007944F9">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Application of the unit</w:t>
            </w:r>
          </w:p>
        </w:tc>
        <w:tc>
          <w:tcPr>
            <w:tcW w:w="5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BodyText"/>
            </w:pPr>
            <w:r w:rsidRPr="00361C1E">
              <w:t>This unit has application to administration, trustees and auditory job roles.</w:t>
            </w:r>
          </w:p>
        </w:tc>
      </w:tr>
    </w:tbl>
    <w:p w:rsidR="00000000" w:rsidRPr="00361C1E" w:rsidP="00361C1E">
      <w:pPr>
        <w:pStyle w:val="BodyText"/>
      </w:pPr>
    </w:p>
    <w:p w:rsidR="00000000" w:rsidRPr="00361C1E" w:rsidP="00361C1E">
      <w:pPr>
        <w:pStyle w:val="AllowPageBreak"/>
      </w:pPr>
    </w:p>
    <w:p w:rsidR="00000000" w:rsidRPr="00361C1E" w:rsidP="00361C1E">
      <w:pPr>
        <w:pStyle w:val="Heading1"/>
      </w:pPr>
      <w:bookmarkStart w:id="4" w:name="O_80778"/>
      <w:bookmarkEnd w:id="4"/>
      <w:r w:rsidRPr="00361C1E">
        <w:t>Licensing/Regulatory Information</w:t>
      </w:r>
    </w:p>
    <w:p w:rsidR="00000000" w:rsidRPr="00361C1E" w:rsidP="00361C1E">
      <w:pPr>
        <w:pStyle w:val="BodyText"/>
      </w:pPr>
      <w:r w:rsidRPr="00361C1E">
        <w:t>Not applicable.</w:t>
      </w:r>
    </w:p>
    <w:p w:rsidR="00000000" w:rsidRPr="00361C1E" w:rsidP="00361C1E">
      <w:pPr>
        <w:pStyle w:val="AllowPageBreak"/>
      </w:pPr>
    </w:p>
    <w:p w:rsidR="00000000" w:rsidRPr="00361C1E" w:rsidP="00361C1E">
      <w:pPr>
        <w:pStyle w:val="Heading1"/>
      </w:pPr>
      <w:bookmarkStart w:id="5" w:name="O_80779"/>
      <w:bookmarkEnd w:id="5"/>
      <w:r w:rsidRPr="00361C1E">
        <w:t>Pre-Requisites</w:t>
      </w:r>
    </w:p>
    <w:tbl>
      <w:tblPr>
        <w:tblW w:w="0" w:type="auto"/>
        <w:tblLayout w:type="fixed"/>
        <w:tblCellMar>
          <w:left w:w="62" w:type="dxa"/>
          <w:right w:w="62" w:type="dxa"/>
        </w:tblCellMar>
        <w:tblLook w:val="0000"/>
      </w:tblPr>
      <w:tblGrid>
        <w:gridCol w:w="2745"/>
        <w:gridCol w:w="1301"/>
        <w:gridCol w:w="4476"/>
      </w:tblGrid>
      <w:tr w:rsidTr="007944F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p>
        </w:tc>
      </w:tr>
      <w:tr w:rsidTr="007944F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p>
        </w:tc>
      </w:tr>
      <w:tr w:rsidTr="007944F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BodyText"/>
            </w:pPr>
          </w:p>
        </w:tc>
      </w:tr>
    </w:tbl>
    <w:p w:rsidR="00000000" w:rsidRPr="00361C1E" w:rsidP="00361C1E">
      <w:pPr>
        <w:pStyle w:val="BodyText"/>
      </w:pPr>
    </w:p>
    <w:p w:rsidR="00000000" w:rsidRPr="00361C1E" w:rsidP="00361C1E">
      <w:pPr>
        <w:pStyle w:val="AllowPageBreak"/>
      </w:pPr>
    </w:p>
    <w:p w:rsidR="00000000" w:rsidRPr="00361C1E" w:rsidP="00361C1E">
      <w:pPr>
        <w:pStyle w:val="Heading1"/>
      </w:pPr>
      <w:bookmarkStart w:id="6" w:name="O_80780"/>
      <w:bookmarkEnd w:id="6"/>
      <w:r w:rsidRPr="00361C1E">
        <w:t>Employability Skills Information</w:t>
      </w:r>
    </w:p>
    <w:tbl>
      <w:tblPr>
        <w:tblW w:w="0" w:type="auto"/>
        <w:tblLayout w:type="fixed"/>
        <w:tblCellMar>
          <w:left w:w="62" w:type="dxa"/>
          <w:right w:w="62" w:type="dxa"/>
        </w:tblCellMar>
        <w:tblLook w:val="0000"/>
      </w:tblPr>
      <w:tblGrid>
        <w:gridCol w:w="2762"/>
        <w:gridCol w:w="5760"/>
      </w:tblGrid>
      <w:tr w:rsidTr="007944F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BodyText"/>
            </w:pPr>
            <w:r w:rsidRPr="00361C1E">
              <w:t>This unit contains employability skills.</w:t>
            </w:r>
          </w:p>
        </w:tc>
      </w:tr>
    </w:tbl>
    <w:p w:rsidR="00000000" w:rsidRPr="00361C1E" w:rsidP="00361C1E">
      <w:pPr>
        <w:pStyle w:val="BodyText"/>
      </w:pPr>
    </w:p>
    <w:p w:rsidR="00000000" w:rsidRPr="00361C1E" w:rsidP="00361C1E">
      <w:pPr>
        <w:pStyle w:val="AllowPageBreak"/>
      </w:pPr>
    </w:p>
    <w:p w:rsidR="00000000" w:rsidRPr="00361C1E" w:rsidP="00361C1E">
      <w:pPr>
        <w:pStyle w:val="Heading1"/>
      </w:pPr>
      <w:bookmarkStart w:id="7" w:name="O_80781"/>
      <w:bookmarkEnd w:id="7"/>
      <w:r w:rsidRPr="00361C1E">
        <w:t>Elements and Performance Criteria Pre-Content</w:t>
      </w:r>
    </w:p>
    <w:tbl>
      <w:tblPr>
        <w:tblW w:w="0" w:type="auto"/>
        <w:tblLayout w:type="fixed"/>
        <w:tblCellMar>
          <w:left w:w="62" w:type="dxa"/>
          <w:right w:w="62" w:type="dxa"/>
        </w:tblCellMar>
        <w:tblLook w:val="0000"/>
      </w:tblPr>
      <w:tblGrid>
        <w:gridCol w:w="2545"/>
        <w:gridCol w:w="5977"/>
      </w:tblGrid>
      <w:tr w:rsidTr="007944F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BodyText"/>
            </w:pPr>
            <w:r w:rsidRPr="00361C1E">
              <w:t>Performance criteria describe the performance needed to demonstrate achievement of the element. Where bold italicised text is used, further information is detailed in the required skills and knowledge section and the range statement. Assessment of performa</w:t>
            </w:r>
            <w:r w:rsidRPr="00361C1E">
              <w:t>nce is to be consistent with the evidence guide.</w:t>
            </w:r>
          </w:p>
        </w:tc>
      </w:tr>
    </w:tbl>
    <w:p w:rsidR="00000000" w:rsidRPr="00361C1E" w:rsidP="00361C1E">
      <w:pPr>
        <w:pStyle w:val="BodyText"/>
      </w:pPr>
    </w:p>
    <w:p w:rsidR="00000000" w:rsidRPr="00361C1E" w:rsidP="00361C1E">
      <w:pPr>
        <w:pStyle w:val="AllowPageBreak"/>
      </w:pPr>
    </w:p>
    <w:p w:rsidR="00000000" w:rsidRPr="00361C1E" w:rsidP="00361C1E">
      <w:pPr>
        <w:pStyle w:val="Heading1"/>
      </w:pPr>
      <w:bookmarkStart w:id="8" w:name="O_80782"/>
      <w:bookmarkEnd w:id="8"/>
      <w:r w:rsidRPr="00361C1E">
        <w:t>Elements and Performance Criteria</w:t>
      </w:r>
    </w:p>
    <w:tbl>
      <w:tblPr>
        <w:tblW w:w="0" w:type="auto"/>
        <w:tblLayout w:type="fixed"/>
        <w:tblCellMar>
          <w:left w:w="62" w:type="dxa"/>
          <w:right w:w="62" w:type="dxa"/>
        </w:tblCellMar>
        <w:tblLook w:val="0000"/>
      </w:tblPr>
      <w:tblGrid>
        <w:gridCol w:w="2545"/>
        <w:gridCol w:w="5977"/>
      </w:tblGrid>
      <w:tr w:rsidTr="007944F9">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BodyText"/>
            </w:pPr>
            <w:r w:rsidRPr="00361C1E">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PERFORMANCE CRITERIA</w:t>
            </w:r>
          </w:p>
        </w:tc>
      </w:tr>
      <w:tr w:rsidTr="007944F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List"/>
              <w:rPr>
                <w:lang w:val="en-NZ"/>
              </w:rPr>
            </w:pPr>
            <w:r w:rsidRPr="00361C1E">
              <w:t>1.</w:t>
            </w:r>
            <w:r w:rsidRPr="00361C1E">
              <w:tab/>
              <w:t>Identify compliance requirements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List2"/>
            </w:pPr>
            <w:r w:rsidRPr="00361C1E">
              <w:t>1.1.</w:t>
            </w:r>
            <w:r w:rsidRPr="00361C1E">
              <w:tab/>
              <w:t>Roles of compliance regulatory bodies are identified</w:t>
            </w:r>
          </w:p>
          <w:p w:rsidR="00000000" w:rsidRPr="00361C1E" w:rsidP="00361C1E">
            <w:pPr>
              <w:pStyle w:val="List2"/>
            </w:pPr>
            <w:r w:rsidRPr="00361C1E">
              <w:t>1.2.</w:t>
            </w:r>
            <w:r w:rsidRPr="00361C1E">
              <w:tab/>
            </w:r>
            <w:r w:rsidRPr="00361C1E">
              <w:rPr>
                <w:rStyle w:val="BoldandItalics"/>
              </w:rPr>
              <w:t>Legislation and regulations determining compliance</w:t>
            </w:r>
            <w:r w:rsidRPr="00361C1E">
              <w:t xml:space="preserve"> are identified</w:t>
            </w:r>
          </w:p>
          <w:p w:rsidR="00000000" w:rsidP="00361C1E">
            <w:pPr>
              <w:pStyle w:val="List2"/>
              <w:rPr>
                <w:lang w:val="en-NZ"/>
              </w:rPr>
            </w:pPr>
            <w:r w:rsidRPr="00361C1E">
              <w:t>1.3.</w:t>
            </w:r>
            <w:r w:rsidRPr="00361C1E">
              <w:tab/>
              <w:t>Reporting requirements of relevant legislation are identified</w:t>
            </w:r>
          </w:p>
        </w:tc>
      </w:tr>
      <w:tr w:rsidTr="007944F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List"/>
              <w:rPr>
                <w:lang w:val="en-NZ"/>
              </w:rPr>
            </w:pPr>
            <w:r w:rsidRPr="00361C1E">
              <w:t>2.</w:t>
            </w:r>
            <w:r w:rsidRPr="00361C1E">
              <w:tab/>
              <w:t>Assist in compliance audits as required</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List2"/>
            </w:pPr>
            <w:r w:rsidRPr="00361C1E">
              <w:t>2.1.</w:t>
            </w:r>
            <w:r w:rsidRPr="00361C1E">
              <w:tab/>
              <w:t>Information for annual review and compliance reports is provided in a time</w:t>
            </w:r>
            <w:r w:rsidRPr="00361C1E">
              <w:t>ly manner</w:t>
            </w:r>
          </w:p>
          <w:p w:rsidR="00000000" w:rsidRPr="00361C1E" w:rsidP="00361C1E">
            <w:pPr>
              <w:pStyle w:val="List2"/>
            </w:pPr>
            <w:r w:rsidRPr="00361C1E">
              <w:t>2.2.</w:t>
            </w:r>
            <w:r w:rsidRPr="00361C1E">
              <w:tab/>
              <w:t>External auditors are provided with required information</w:t>
            </w:r>
          </w:p>
          <w:p w:rsidR="00000000" w:rsidRPr="00361C1E" w:rsidP="00361C1E">
            <w:pPr>
              <w:pStyle w:val="List2"/>
            </w:pPr>
            <w:r w:rsidRPr="00361C1E">
              <w:t>2.3.</w:t>
            </w:r>
            <w:r w:rsidRPr="00361C1E">
              <w:tab/>
              <w:t xml:space="preserve">Collation of information is provided to enable </w:t>
            </w:r>
            <w:r w:rsidRPr="00361C1E">
              <w:rPr>
                <w:rStyle w:val="BoldandItalics"/>
              </w:rPr>
              <w:t>statutory returns</w:t>
            </w:r>
            <w:r w:rsidRPr="00361C1E">
              <w:t xml:space="preserve"> to be prepared for submission to ATO and ASIC as required</w:t>
            </w:r>
          </w:p>
          <w:p w:rsidR="00000000" w:rsidP="00361C1E">
            <w:pPr>
              <w:pStyle w:val="List2"/>
              <w:rPr>
                <w:lang w:val="en-NZ"/>
              </w:rPr>
            </w:pPr>
            <w:r w:rsidRPr="00361C1E">
              <w:t>2.4.</w:t>
            </w:r>
            <w:r w:rsidRPr="00361C1E">
              <w:tab/>
              <w:t>Documents and records are stored according to regul</w:t>
            </w:r>
            <w:r w:rsidRPr="00361C1E">
              <w:t>atory requirements</w:t>
            </w:r>
          </w:p>
        </w:tc>
      </w:tr>
      <w:tr w:rsidTr="007944F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List"/>
              <w:rPr>
                <w:lang w:val="en-NZ"/>
              </w:rPr>
            </w:pPr>
            <w:r w:rsidRPr="00361C1E">
              <w:t>3.</w:t>
            </w:r>
            <w:r w:rsidRPr="00361C1E">
              <w:tab/>
              <w:t>Provide support to assist in ensuring compliance requirements are met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List2"/>
            </w:pPr>
            <w:r w:rsidRPr="00361C1E">
              <w:t>3.1.</w:t>
            </w:r>
            <w:r w:rsidRPr="00361C1E">
              <w:tab/>
              <w:t>Documentation is reviewed to ensure that compliance requirements are met</w:t>
            </w:r>
          </w:p>
          <w:p w:rsidR="00000000" w:rsidRPr="00361C1E" w:rsidP="00361C1E">
            <w:pPr>
              <w:pStyle w:val="List2"/>
            </w:pPr>
            <w:r w:rsidRPr="00361C1E">
              <w:t>3.2.</w:t>
            </w:r>
            <w:r w:rsidRPr="00361C1E">
              <w:tab/>
              <w:t>Member communications are reviewed to ensure that compliance requirements are me</w:t>
            </w:r>
            <w:r w:rsidRPr="00361C1E">
              <w:t>t</w:t>
            </w:r>
          </w:p>
          <w:p w:rsidR="00000000" w:rsidRPr="00361C1E" w:rsidP="00361C1E">
            <w:pPr>
              <w:pStyle w:val="List2"/>
            </w:pPr>
            <w:r w:rsidRPr="00361C1E">
              <w:t>3.3.</w:t>
            </w:r>
            <w:r w:rsidRPr="00361C1E">
              <w:tab/>
              <w:t>Irregularities are reported promptly to members</w:t>
            </w:r>
          </w:p>
          <w:p w:rsidR="00000000" w:rsidP="00361C1E">
            <w:pPr>
              <w:pStyle w:val="List2"/>
              <w:rPr>
                <w:lang w:val="en-NZ"/>
              </w:rPr>
            </w:pPr>
            <w:r w:rsidRPr="00361C1E">
              <w:t>3.4.</w:t>
            </w:r>
            <w:r w:rsidRPr="00361C1E">
              <w:tab/>
              <w:t>New compliance requirements are integrated into work practices of the fund as required</w:t>
            </w:r>
          </w:p>
        </w:tc>
      </w:tr>
      <w:tr w:rsidTr="007944F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List"/>
              <w:rPr>
                <w:lang w:val="en-NZ"/>
              </w:rPr>
            </w:pPr>
            <w:r w:rsidRPr="00361C1E">
              <w:t>4.</w:t>
            </w:r>
            <w:r w:rsidRPr="00361C1E">
              <w:tab/>
              <w:t>Prepare information for statutory reports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List2"/>
            </w:pPr>
            <w:r w:rsidRPr="00361C1E">
              <w:t>4.1.</w:t>
            </w:r>
            <w:r w:rsidRPr="00361C1E">
              <w:tab/>
            </w:r>
            <w:r w:rsidRPr="00361C1E">
              <w:rPr>
                <w:rStyle w:val="BoldandItalics"/>
              </w:rPr>
              <w:t>Requirements for taxation returns and statutory reports</w:t>
            </w:r>
            <w:r w:rsidRPr="00361C1E">
              <w:t xml:space="preserve"> are identified</w:t>
            </w:r>
          </w:p>
          <w:p w:rsidR="00000000" w:rsidRPr="00361C1E" w:rsidP="00361C1E">
            <w:pPr>
              <w:pStyle w:val="List2"/>
            </w:pPr>
            <w:r w:rsidRPr="00361C1E">
              <w:t>4.2.</w:t>
            </w:r>
            <w:r w:rsidRPr="00361C1E">
              <w:tab/>
              <w:t>Compliance requirements for ATO and ASIC are identified</w:t>
            </w:r>
          </w:p>
          <w:p w:rsidR="00000000" w:rsidRPr="00361C1E" w:rsidP="00361C1E">
            <w:pPr>
              <w:pStyle w:val="List2"/>
            </w:pPr>
            <w:r w:rsidRPr="00361C1E">
              <w:t>4.3.</w:t>
            </w:r>
            <w:r w:rsidRPr="00361C1E">
              <w:tab/>
              <w:t>Information is prepared in accordance with regulatory guidelines</w:t>
            </w:r>
          </w:p>
          <w:p w:rsidR="00000000" w:rsidRPr="00361C1E" w:rsidP="00361C1E">
            <w:pPr>
              <w:pStyle w:val="List2"/>
            </w:pPr>
            <w:r w:rsidRPr="00361C1E">
              <w:t>4.4.</w:t>
            </w:r>
            <w:r w:rsidRPr="00361C1E">
              <w:tab/>
              <w:t>Information is forwarded to members and relevant external parties</w:t>
            </w:r>
          </w:p>
        </w:tc>
      </w:tr>
    </w:tbl>
    <w:p w:rsidR="00000000" w:rsidRPr="00361C1E" w:rsidP="00361C1E">
      <w:pPr>
        <w:pStyle w:val="BodyText"/>
      </w:pPr>
    </w:p>
    <w:p w:rsidR="00000000" w:rsidRPr="00361C1E" w:rsidP="00361C1E">
      <w:pPr>
        <w:pStyle w:val="AllowPageBreak"/>
      </w:pPr>
    </w:p>
    <w:p w:rsidR="00000000" w:rsidRPr="00361C1E" w:rsidP="00361C1E">
      <w:pPr>
        <w:pStyle w:val="Heading1"/>
      </w:pPr>
      <w:bookmarkStart w:id="9" w:name="O_80783"/>
      <w:bookmarkEnd w:id="9"/>
      <w:r w:rsidRPr="00361C1E">
        <w:t>Required Skills and K</w:t>
      </w:r>
      <w:r w:rsidRPr="00361C1E">
        <w:t>nowledge</w:t>
      </w:r>
    </w:p>
    <w:tbl>
      <w:tblPr>
        <w:tblW w:w="0" w:type="auto"/>
        <w:tblLayout w:type="fixed"/>
        <w:tblCellMar>
          <w:left w:w="62" w:type="dxa"/>
          <w:right w:w="62" w:type="dxa"/>
        </w:tblCellMar>
        <w:tblLook w:val="0000"/>
      </w:tblPr>
      <w:tblGrid>
        <w:gridCol w:w="8522"/>
      </w:tblGrid>
      <w:tr w:rsidTr="007944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REQUIRED SKILLS AND KNOWLEDGE</w:t>
            </w:r>
          </w:p>
        </w:tc>
      </w:tr>
      <w:tr w:rsidTr="007944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t>This section describes the skills and knowledge required for this unit.</w:t>
            </w:r>
          </w:p>
        </w:tc>
      </w:tr>
      <w:tr w:rsidTr="007944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Required skills</w:t>
            </w:r>
          </w:p>
        </w:tc>
      </w:tr>
      <w:tr w:rsidTr="007944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ListBullet"/>
            </w:pPr>
            <w:r w:rsidRPr="00361C1E">
              <w:t>well-developed communication skills to:</w:t>
            </w:r>
          </w:p>
          <w:p w:rsidR="00000000" w:rsidRPr="00361C1E" w:rsidP="00361C1E">
            <w:pPr>
              <w:pStyle w:val="ListBullet2"/>
            </w:pPr>
            <w:r w:rsidRPr="00361C1E">
              <w:t>liaise with others, share information, using questioning and active listening as required</w:t>
            </w:r>
          </w:p>
          <w:p w:rsidR="00000000" w:rsidRPr="00361C1E" w:rsidP="00361C1E">
            <w:pPr>
              <w:pStyle w:val="ListBullet2"/>
            </w:pPr>
            <w:r w:rsidRPr="00361C1E">
              <w:t>use language and concepts appropriate to cultural differences</w:t>
            </w:r>
          </w:p>
          <w:p w:rsidR="00000000" w:rsidRPr="00361C1E" w:rsidP="00361C1E">
            <w:pPr>
              <w:pStyle w:val="ListBullet"/>
            </w:pPr>
            <w:r w:rsidRPr="00361C1E">
              <w:t>numeracy and IT skills to:</w:t>
            </w:r>
          </w:p>
          <w:p w:rsidR="00000000" w:rsidRPr="00361C1E" w:rsidP="00361C1E">
            <w:pPr>
              <w:pStyle w:val="ListBullet2"/>
            </w:pPr>
            <w:r w:rsidRPr="00361C1E">
              <w:t>perform calculations related to superannuation fund data</w:t>
            </w:r>
          </w:p>
          <w:p w:rsidR="00000000" w:rsidRPr="00361C1E" w:rsidP="00361C1E">
            <w:pPr>
              <w:pStyle w:val="ListBullet2"/>
            </w:pPr>
            <w:r w:rsidRPr="00361C1E">
              <w:t>access and update account records electronically</w:t>
            </w:r>
          </w:p>
          <w:p w:rsidR="00000000" w:rsidRPr="00361C1E" w:rsidP="00361C1E">
            <w:pPr>
              <w:pStyle w:val="ListBullet2"/>
            </w:pPr>
            <w:r w:rsidRPr="00361C1E">
              <w:t>use appropriate software such as word processors, spreadsheets and databases, superannuation specific software, accounting systems</w:t>
            </w:r>
          </w:p>
          <w:p w:rsidR="00000000" w:rsidRPr="00361C1E" w:rsidP="00361C1E">
            <w:pPr>
              <w:pStyle w:val="ListBullet2"/>
            </w:pPr>
            <w:r w:rsidRPr="00361C1E">
              <w:t>use internet information</w:t>
            </w:r>
          </w:p>
          <w:p w:rsidR="00000000" w:rsidRPr="00361C1E" w:rsidP="00361C1E">
            <w:pPr>
              <w:pStyle w:val="ListBullet"/>
            </w:pPr>
            <w:r w:rsidRPr="00361C1E">
              <w:t>well-developed literacy skills to:</w:t>
            </w:r>
          </w:p>
          <w:p w:rsidR="00000000" w:rsidRPr="00361C1E" w:rsidP="00361C1E">
            <w:pPr>
              <w:pStyle w:val="ListBullet2"/>
            </w:pPr>
            <w:r w:rsidRPr="00361C1E">
              <w:t>prepare busines</w:t>
            </w:r>
            <w:r w:rsidRPr="00361C1E">
              <w:t>s reports</w:t>
            </w:r>
          </w:p>
          <w:p w:rsidR="00000000" w:rsidRPr="00361C1E" w:rsidP="00361C1E">
            <w:pPr>
              <w:pStyle w:val="ListBullet2"/>
            </w:pPr>
            <w:r w:rsidRPr="00361C1E">
              <w:t>read and interpret documentation from a variety of sources and record and consolidate related information</w:t>
            </w:r>
          </w:p>
          <w:p w:rsidR="00000000" w:rsidRPr="00361C1E" w:rsidP="00361C1E">
            <w:pPr>
              <w:pStyle w:val="ListBullet"/>
            </w:pPr>
            <w:r w:rsidRPr="00361C1E">
              <w:t>interpersonal skills to relate effectively within a team environment</w:t>
            </w:r>
          </w:p>
          <w:p w:rsidR="00000000" w:rsidRPr="00361C1E" w:rsidP="00361C1E">
            <w:pPr>
              <w:pStyle w:val="ListBullet"/>
            </w:pPr>
            <w:r w:rsidRPr="00361C1E">
              <w:t>organisational skills, including the ability to plan and sequence work</w:t>
            </w:r>
          </w:p>
          <w:p w:rsidR="00000000" w:rsidRPr="00361C1E" w:rsidP="00361C1E">
            <w:pPr>
              <w:pStyle w:val="ListBullet"/>
            </w:pPr>
            <w:r w:rsidRPr="00361C1E">
              <w:t>high level analytical and interpretative skills</w:t>
            </w:r>
          </w:p>
          <w:p w:rsidR="00000000" w:rsidRPr="00361C1E" w:rsidP="00361C1E">
            <w:pPr>
              <w:pStyle w:val="ListBullet"/>
            </w:pPr>
            <w:r w:rsidRPr="00361C1E">
              <w:t>decision making and problem solving skills</w:t>
            </w:r>
          </w:p>
          <w:p w:rsidR="00000000" w:rsidP="00361C1E">
            <w:pPr>
              <w:pStyle w:val="ListBullet"/>
              <w:rPr>
                <w:lang w:val="en-NZ"/>
              </w:rPr>
            </w:pPr>
            <w:r w:rsidRPr="00361C1E">
              <w:t>change management skills to integrate new information and procedure</w:t>
            </w:r>
          </w:p>
        </w:tc>
      </w:tr>
      <w:tr w:rsidTr="007944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Required knowledge</w:t>
            </w:r>
          </w:p>
        </w:tc>
      </w:tr>
      <w:tr w:rsidTr="007944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ListBullet"/>
            </w:pPr>
            <w:r w:rsidRPr="00361C1E">
              <w:t>circumstances in which advice should be sought</w:t>
            </w:r>
          </w:p>
          <w:p w:rsidR="00000000" w:rsidRPr="00361C1E" w:rsidP="00361C1E">
            <w:pPr>
              <w:pStyle w:val="ListBullet"/>
            </w:pPr>
            <w:r w:rsidRPr="00361C1E">
              <w:t>compliance responsibilities for fund administrators</w:t>
            </w:r>
          </w:p>
          <w:p w:rsidR="00000000" w:rsidRPr="00361C1E" w:rsidP="00361C1E">
            <w:pPr>
              <w:pStyle w:val="ListBullet"/>
            </w:pPr>
            <w:r w:rsidRPr="00361C1E">
              <w:t>features and obligations of trusts</w:t>
            </w:r>
          </w:p>
          <w:p w:rsidR="00000000" w:rsidRPr="00361C1E" w:rsidP="00361C1E">
            <w:pPr>
              <w:pStyle w:val="ListBullet"/>
            </w:pPr>
            <w:r w:rsidRPr="00361C1E">
              <w:t>features, compliance and reporting requirements of the Superannuation Industry (Supervision) (SIS) Act, Tax Act and other relevant legislation</w:t>
            </w:r>
          </w:p>
          <w:p w:rsidR="00000000" w:rsidRPr="00361C1E" w:rsidP="00361C1E">
            <w:pPr>
              <w:pStyle w:val="ListBullet"/>
            </w:pPr>
            <w:r w:rsidRPr="00361C1E">
              <w:t>fraud deterrence practices</w:t>
            </w:r>
          </w:p>
          <w:p w:rsidR="00000000" w:rsidRPr="00361C1E" w:rsidP="00361C1E">
            <w:pPr>
              <w:pStyle w:val="ListBullet"/>
            </w:pPr>
            <w:r w:rsidRPr="00361C1E">
              <w:t>industry information sources on compliance changes</w:t>
            </w:r>
          </w:p>
          <w:p w:rsidR="00000000" w:rsidRPr="00361C1E" w:rsidP="00361C1E">
            <w:pPr>
              <w:pStyle w:val="ListBullet"/>
            </w:pPr>
            <w:r w:rsidRPr="00361C1E">
              <w:t>organisation procedures and guidelines</w:t>
            </w:r>
          </w:p>
          <w:p w:rsidR="00000000" w:rsidRPr="00361C1E" w:rsidP="00361C1E">
            <w:pPr>
              <w:pStyle w:val="ListBullet"/>
            </w:pPr>
            <w:r w:rsidRPr="00361C1E">
              <w:t>organisation quality assurance practices</w:t>
            </w:r>
          </w:p>
          <w:p w:rsidR="00000000" w:rsidRPr="00361C1E" w:rsidP="00361C1E">
            <w:pPr>
              <w:pStyle w:val="ListBullet"/>
            </w:pPr>
            <w:r w:rsidRPr="00361C1E">
              <w:t>taxation return requirements</w:t>
            </w:r>
          </w:p>
          <w:p w:rsidR="00000000" w:rsidRPr="00361C1E" w:rsidP="00361C1E">
            <w:pPr>
              <w:pStyle w:val="ListBullet"/>
            </w:pPr>
            <w:r w:rsidRPr="00361C1E">
              <w:t>legal implications of trust deeds and contracts</w:t>
            </w:r>
          </w:p>
          <w:p w:rsidR="00000000" w:rsidRPr="00361C1E" w:rsidP="00361C1E">
            <w:pPr>
              <w:pStyle w:val="ListBullet"/>
            </w:pPr>
            <w:r w:rsidRPr="00361C1E">
              <w:t>Privacy Act obligations</w:t>
            </w:r>
          </w:p>
          <w:p w:rsidR="00000000" w:rsidRPr="00361C1E" w:rsidP="00361C1E">
            <w:pPr>
              <w:pStyle w:val="ListBullet"/>
            </w:pPr>
            <w:r w:rsidRPr="00361C1E">
              <w:t>procedure for obtaining</w:t>
            </w:r>
            <w:r w:rsidRPr="00361C1E">
              <w:t xml:space="preserve"> information on financial transactions, lost member records, surcharge, contributions and benefits</w:t>
            </w:r>
          </w:p>
          <w:p w:rsidR="00000000" w:rsidRPr="00361C1E" w:rsidP="00361C1E">
            <w:pPr>
              <w:pStyle w:val="ListBullet"/>
            </w:pPr>
            <w:r w:rsidRPr="00361C1E">
              <w:t>professional conduct standards such as those covering disclosure, insider trading, false and misleading conduct</w:t>
            </w:r>
          </w:p>
          <w:p w:rsidR="00000000" w:rsidRPr="00361C1E" w:rsidP="00361C1E">
            <w:pPr>
              <w:pStyle w:val="ListBullet"/>
            </w:pPr>
            <w:r w:rsidRPr="00361C1E">
              <w:t>relationship between actuary/auditor and trus</w:t>
            </w:r>
            <w:r w:rsidRPr="00361C1E">
              <w:t>tee under SIS</w:t>
            </w:r>
          </w:p>
          <w:p w:rsidR="00000000" w:rsidRPr="00361C1E" w:rsidP="00361C1E">
            <w:pPr>
              <w:pStyle w:val="ListBullet"/>
            </w:pPr>
            <w:r w:rsidRPr="00361C1E">
              <w:t>relationship between duties, rights, powers, liabilities and remedies</w:t>
            </w:r>
          </w:p>
          <w:p w:rsidR="00000000" w:rsidRPr="00361C1E" w:rsidP="00361C1E">
            <w:pPr>
              <w:pStyle w:val="ListBullet"/>
            </w:pPr>
            <w:r w:rsidRPr="00361C1E">
              <w:t>requirements and procedure for preparing statutory reports and taxation returns</w:t>
            </w:r>
          </w:p>
          <w:p w:rsidR="00000000" w:rsidRPr="00361C1E" w:rsidP="00361C1E">
            <w:pPr>
              <w:pStyle w:val="ListBullet"/>
            </w:pPr>
            <w:r w:rsidRPr="00361C1E">
              <w:t>role, rights and responsibilities of trustees in compliance</w:t>
            </w:r>
          </w:p>
          <w:p w:rsidR="00000000" w:rsidRPr="00361C1E" w:rsidP="00361C1E">
            <w:pPr>
              <w:pStyle w:val="ListBullet"/>
            </w:pPr>
            <w:r w:rsidRPr="00361C1E">
              <w:t>timeframe requirements for compl</w:t>
            </w:r>
            <w:r w:rsidRPr="00361C1E">
              <w:t>iance reports</w:t>
            </w:r>
          </w:p>
          <w:p w:rsidR="00000000" w:rsidRPr="00361C1E" w:rsidP="00361C1E">
            <w:pPr>
              <w:pStyle w:val="ListBullet"/>
            </w:pPr>
            <w:r w:rsidRPr="00361C1E">
              <w:t>timing requirements for the lodgement of statutory reports</w:t>
            </w:r>
          </w:p>
        </w:tc>
      </w:tr>
    </w:tbl>
    <w:p w:rsidR="00000000" w:rsidRPr="00361C1E" w:rsidP="00361C1E">
      <w:pPr>
        <w:pStyle w:val="BodyText"/>
      </w:pPr>
    </w:p>
    <w:p w:rsidR="00000000" w:rsidRPr="00361C1E" w:rsidP="00361C1E">
      <w:pPr>
        <w:pStyle w:val="AllowPageBreak"/>
      </w:pPr>
    </w:p>
    <w:p w:rsidR="00000000" w:rsidRPr="00361C1E" w:rsidP="00361C1E">
      <w:pPr>
        <w:pStyle w:val="Heading1"/>
      </w:pPr>
      <w:bookmarkStart w:id="10" w:name="O_80784"/>
      <w:bookmarkEnd w:id="10"/>
      <w:r w:rsidRPr="00361C1E">
        <w:t>Evidence Guide</w:t>
      </w:r>
    </w:p>
    <w:tbl>
      <w:tblPr>
        <w:tblW w:w="9570" w:type="dxa"/>
        <w:tblLayout w:type="fixed"/>
        <w:tblCellMar>
          <w:left w:w="62" w:type="dxa"/>
          <w:right w:w="62" w:type="dxa"/>
        </w:tblCellMar>
        <w:tblLook w:val="0000"/>
      </w:tblPr>
      <w:tblGrid>
        <w:gridCol w:w="2808"/>
        <w:gridCol w:w="6762"/>
      </w:tblGrid>
      <w:tr w:rsidTr="007944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EVIDENCE GUIDE</w:t>
            </w:r>
          </w:p>
        </w:tc>
      </w:tr>
      <w:tr w:rsidTr="007944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t>The Evidence Guide provides advice on assessment and must be read in conjunction with the performance criteria, required skills and knowledge, range statement and the Assessment Guidelines for the Training Package.</w:t>
            </w:r>
          </w:p>
        </w:tc>
      </w:tr>
      <w:tr w:rsidTr="007944F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p>
        </w:tc>
      </w:tr>
      <w:tr w:rsidTr="007944F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BodyText"/>
            </w:pPr>
            <w:r w:rsidRPr="00361C1E">
              <w:t>Evidence of the ability to:</w:t>
            </w:r>
          </w:p>
          <w:p w:rsidR="00000000" w:rsidRPr="00361C1E" w:rsidP="00361C1E">
            <w:pPr>
              <w:pStyle w:val="ListBullet"/>
            </w:pPr>
            <w:r w:rsidRPr="00361C1E">
              <w:t>understand the roles of compliance bodies and provide compliance reports in a timely manner</w:t>
            </w:r>
          </w:p>
          <w:p w:rsidR="00000000" w:rsidRPr="00361C1E" w:rsidP="00361C1E">
            <w:pPr>
              <w:pStyle w:val="ListBullet"/>
            </w:pPr>
            <w:r w:rsidRPr="00361C1E">
              <w:t>provide support to ensure compliance requir</w:t>
            </w:r>
            <w:r w:rsidRPr="00361C1E">
              <w:t>ements and understand the consequences of non-compliance</w:t>
            </w:r>
          </w:p>
          <w:p w:rsidR="00000000" w:rsidRPr="00361C1E" w:rsidP="00361C1E">
            <w:pPr>
              <w:pStyle w:val="ListBullet"/>
            </w:pPr>
            <w:r w:rsidRPr="00361C1E">
              <w:t>prepare documentation according to compliance requirements</w:t>
            </w:r>
          </w:p>
          <w:p w:rsidR="00000000" w:rsidRPr="00361C1E" w:rsidP="00361C1E">
            <w:pPr>
              <w:pStyle w:val="ListBullet"/>
            </w:pPr>
            <w:r w:rsidRPr="00361C1E">
              <w:t>prepare member communications according to compliance requirements</w:t>
            </w:r>
          </w:p>
          <w:p w:rsidR="00000000" w:rsidRPr="00361C1E" w:rsidP="00361C1E">
            <w:pPr>
              <w:pStyle w:val="ListBullet"/>
            </w:pPr>
            <w:r w:rsidRPr="00361C1E">
              <w:t>prepare information for statutory returns</w:t>
            </w:r>
          </w:p>
          <w:p w:rsidR="00000000" w:rsidP="00361C1E">
            <w:pPr>
              <w:pStyle w:val="ListBullet"/>
              <w:rPr>
                <w:lang w:val="en-NZ"/>
              </w:rPr>
            </w:pPr>
            <w:r w:rsidRPr="00361C1E">
              <w:t>identify new compliance require</w:t>
            </w:r>
            <w:r w:rsidRPr="00361C1E">
              <w:t>ments and integrate them into work practices.</w:t>
            </w:r>
          </w:p>
        </w:tc>
      </w:tr>
      <w:tr w:rsidTr="007944F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BodyText"/>
            </w:pPr>
            <w:r w:rsidRPr="00361C1E">
              <w:t>Assessment must ensure:</w:t>
            </w:r>
          </w:p>
          <w:p w:rsidR="00000000" w:rsidRPr="00361C1E" w:rsidP="00361C1E">
            <w:pPr>
              <w:pStyle w:val="ListBullet"/>
            </w:pPr>
            <w:r w:rsidRPr="00361C1E">
              <w:t xml:space="preserve">competency is demonstrated in the context of the work environment and conditions specified in the range statement either in </w:t>
            </w:r>
            <w:r w:rsidRPr="00361C1E">
              <w:t>a relevant workplace or a closely simulated work environment</w:t>
            </w:r>
          </w:p>
          <w:p w:rsidR="00000000" w:rsidRPr="00361C1E" w:rsidP="00361C1E">
            <w:pPr>
              <w:pStyle w:val="ListBullet"/>
            </w:pPr>
            <w:r w:rsidRPr="00361C1E">
              <w:t>access to and the use of a range of common office equipment, technology, software and consumables</w:t>
            </w:r>
          </w:p>
          <w:p w:rsidR="00000000" w:rsidRPr="00361C1E" w:rsidP="00361C1E">
            <w:pPr>
              <w:pStyle w:val="ListBullet"/>
            </w:pPr>
            <w:r w:rsidRPr="00361C1E">
              <w:t>access to organisation financial records</w:t>
            </w:r>
          </w:p>
          <w:p w:rsidR="00000000" w:rsidP="00361C1E">
            <w:pPr>
              <w:pStyle w:val="ListBullet"/>
              <w:rPr>
                <w:lang w:val="en-NZ"/>
              </w:rPr>
            </w:pPr>
            <w:r w:rsidRPr="00361C1E">
              <w:t>access to organisational policies and procedures.</w:t>
            </w:r>
          </w:p>
        </w:tc>
      </w:tr>
      <w:tr w:rsidTr="007944F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Metho</w:t>
            </w:r>
            <w:r w:rsidRPr="00361C1E">
              <w:rPr>
                <w:rStyle w:val="SpecialBold"/>
              </w:rPr>
              <w:t>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BodyText"/>
            </w:pPr>
            <w:r w:rsidRPr="00361C1E">
              <w:t>A range of assessment methods should be used to assess practical skills and knowledge. The following examples, in combination, are appropriate for this unit:</w:t>
            </w:r>
          </w:p>
          <w:p w:rsidR="00000000" w:rsidRPr="00361C1E" w:rsidP="00361C1E">
            <w:pPr>
              <w:pStyle w:val="ListBullet"/>
            </w:pPr>
            <w:r w:rsidRPr="00361C1E">
              <w:t>evaluating an integrated activity, which combines the elements of competency for t</w:t>
            </w:r>
            <w:r w:rsidRPr="00361C1E">
              <w:t>he unit, or a cluster of related units of competency</w:t>
            </w:r>
          </w:p>
          <w:p w:rsidR="00000000" w:rsidRPr="00361C1E" w:rsidP="00361C1E">
            <w:pPr>
              <w:pStyle w:val="ListBullet"/>
            </w:pPr>
            <w:r w:rsidRPr="00361C1E">
              <w:t>observing processes and procedures in workplaces</w:t>
            </w:r>
          </w:p>
          <w:p w:rsidR="00000000" w:rsidRPr="00361C1E" w:rsidP="00361C1E">
            <w:pPr>
              <w:pStyle w:val="ListBullet"/>
            </w:pPr>
            <w:r w:rsidRPr="00361C1E">
              <w:t>verbal or written questioning on underpinning knowledge and skills</w:t>
            </w:r>
          </w:p>
          <w:p w:rsidR="00000000" w:rsidRPr="00361C1E" w:rsidP="00361C1E">
            <w:pPr>
              <w:pStyle w:val="ListBullet"/>
            </w:pPr>
            <w:r w:rsidRPr="00361C1E">
              <w:t>evaluating samples of work</w:t>
            </w:r>
          </w:p>
          <w:p w:rsidR="00000000" w:rsidRPr="00361C1E" w:rsidP="00361C1E">
            <w:pPr>
              <w:pStyle w:val="ListBullet"/>
            </w:pPr>
            <w:r w:rsidRPr="00361C1E">
              <w:t>accessing and validating third party reports</w:t>
            </w:r>
          </w:p>
          <w:p w:rsidR="00000000" w:rsidP="00361C1E">
            <w:pPr>
              <w:pStyle w:val="ListBullet"/>
              <w:rPr>
                <w:lang w:val="en-NZ"/>
              </w:rPr>
            </w:pPr>
            <w:r w:rsidRPr="00361C1E">
              <w:t>setting and rev</w:t>
            </w:r>
            <w:r w:rsidRPr="00361C1E">
              <w:t>iewing workplace business simulations or scenarios.</w:t>
            </w:r>
          </w:p>
        </w:tc>
      </w:tr>
      <w:tr w:rsidTr="007944F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BodyText"/>
            </w:pPr>
          </w:p>
        </w:tc>
      </w:tr>
    </w:tbl>
    <w:p w:rsidR="00000000" w:rsidRPr="00361C1E" w:rsidP="00361C1E">
      <w:pPr>
        <w:pStyle w:val="BodyText"/>
      </w:pPr>
    </w:p>
    <w:p w:rsidR="00000000" w:rsidRPr="00361C1E" w:rsidP="00361C1E">
      <w:pPr>
        <w:pStyle w:val="AllowPageBreak"/>
      </w:pPr>
    </w:p>
    <w:p w:rsidR="00000000" w:rsidRPr="00361C1E" w:rsidP="00361C1E">
      <w:pPr>
        <w:pStyle w:val="Heading1"/>
      </w:pPr>
      <w:bookmarkStart w:id="11" w:name="O_80785"/>
      <w:bookmarkEnd w:id="11"/>
      <w:r w:rsidRPr="00361C1E">
        <w:t>Range Statement</w:t>
      </w:r>
    </w:p>
    <w:tbl>
      <w:tblPr>
        <w:tblW w:w="0" w:type="auto"/>
        <w:tblLayout w:type="fixed"/>
        <w:tblCellMar>
          <w:left w:w="62" w:type="dxa"/>
          <w:right w:w="62" w:type="dxa"/>
        </w:tblCellMar>
        <w:tblLook w:val="0000"/>
      </w:tblPr>
      <w:tblGrid>
        <w:gridCol w:w="2522"/>
        <w:gridCol w:w="6000"/>
      </w:tblGrid>
      <w:tr w:rsidTr="007944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RANGE STATEMENT</w:t>
            </w:r>
          </w:p>
        </w:tc>
      </w:tr>
      <w:tr w:rsidTr="007944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t>The range statement r</w:t>
            </w:r>
            <w:r w:rsidRPr="00361C1E">
              <w:t>elates to the unit of competency as a whole. It allows for different work environments and situations that may affect performance. Bold italicised wording, if used in the performance criteria, is detailed below. Essential operating conditions that may be p</w:t>
            </w:r>
            <w:r w:rsidRPr="00361C1E">
              <w:t>resent with training and assessment (depending on the work situation, needs of the candidate, accessibility of the item, and local industry and regional contexts) may also be included.</w:t>
            </w:r>
          </w:p>
        </w:tc>
      </w:tr>
      <w:tr w:rsidTr="007944F9">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BoldandItalics"/>
              </w:rPr>
              <w:t>Legislation and regulations determining compliance</w:t>
            </w:r>
            <w:r w:rsidRPr="00361C1E">
              <w:t xml:space="preserve"> may include, as am</w:t>
            </w:r>
            <w:r w:rsidRPr="00361C1E">
              <w:t>ended:</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ListBullet"/>
            </w:pPr>
            <w:r w:rsidRPr="00361C1E">
              <w:t>anti-discrimination legislation</w:t>
            </w:r>
          </w:p>
          <w:p w:rsidR="00000000" w:rsidRPr="00361C1E" w:rsidP="00361C1E">
            <w:pPr>
              <w:pStyle w:val="ListBullet"/>
            </w:pPr>
            <w:r w:rsidRPr="00361C1E">
              <w:t>Corporations Act</w:t>
            </w:r>
          </w:p>
          <w:p w:rsidR="00000000" w:rsidRPr="00361C1E" w:rsidP="00361C1E">
            <w:pPr>
              <w:pStyle w:val="ListBullet"/>
            </w:pPr>
            <w:r w:rsidRPr="00361C1E">
              <w:t xml:space="preserve">Family Law Legislation Amendment Superannuation Act </w:t>
            </w:r>
          </w:p>
          <w:p w:rsidR="00000000" w:rsidRPr="00361C1E" w:rsidP="00361C1E">
            <w:pPr>
              <w:pStyle w:val="ListBullet"/>
            </w:pPr>
            <w:r w:rsidRPr="00361C1E">
              <w:t>Financial Services Reform Act (FSRA)</w:t>
            </w:r>
          </w:p>
          <w:p w:rsidR="00000000" w:rsidRPr="00361C1E" w:rsidP="00361C1E">
            <w:pPr>
              <w:pStyle w:val="ListBullet"/>
            </w:pPr>
            <w:r w:rsidRPr="00361C1E">
              <w:t>Income Tax Assessment Act</w:t>
            </w:r>
          </w:p>
          <w:p w:rsidR="00000000" w:rsidRPr="00361C1E" w:rsidP="00361C1E">
            <w:pPr>
              <w:pStyle w:val="ListBullet"/>
            </w:pPr>
            <w:r w:rsidRPr="00361C1E">
              <w:t>industrial legislation</w:t>
            </w:r>
          </w:p>
          <w:p w:rsidR="00000000" w:rsidRPr="00361C1E" w:rsidP="00361C1E">
            <w:pPr>
              <w:pStyle w:val="ListBullet"/>
            </w:pPr>
            <w:r w:rsidRPr="00361C1E">
              <w:t>Insurance Act</w:t>
            </w:r>
          </w:p>
          <w:p w:rsidR="00000000" w:rsidRPr="00361C1E" w:rsidP="00361C1E">
            <w:pPr>
              <w:pStyle w:val="ListBullet"/>
            </w:pPr>
            <w:r w:rsidRPr="00361C1E">
              <w:t>Privacy Amendment Act (Private Sector) (the Privacy Act)</w:t>
            </w:r>
          </w:p>
          <w:p w:rsidR="00000000" w:rsidRPr="00361C1E" w:rsidP="00361C1E">
            <w:pPr>
              <w:pStyle w:val="ListBullet"/>
            </w:pPr>
            <w:r w:rsidRPr="00361C1E">
              <w:t>Retirement Savings Account Act</w:t>
            </w:r>
          </w:p>
          <w:p w:rsidR="00000000" w:rsidRPr="00361C1E" w:rsidP="00361C1E">
            <w:pPr>
              <w:pStyle w:val="ListBullet"/>
            </w:pPr>
            <w:r w:rsidRPr="00361C1E">
              <w:t>stamp duty legislation</w:t>
            </w:r>
          </w:p>
          <w:p w:rsidR="00000000" w:rsidRPr="00361C1E" w:rsidP="00361C1E">
            <w:pPr>
              <w:pStyle w:val="ListBullet"/>
            </w:pPr>
            <w:r w:rsidRPr="00361C1E">
              <w:t>Superannuation Contributions Tax (Assessment and Collection) Act (surcharge)</w:t>
            </w:r>
          </w:p>
          <w:p w:rsidR="00000000" w:rsidRPr="00361C1E" w:rsidP="00361C1E">
            <w:pPr>
              <w:pStyle w:val="ListBullet"/>
            </w:pPr>
            <w:r w:rsidRPr="00361C1E">
              <w:t>Superannuation Guarantee (Administration) Act (SGAA)</w:t>
            </w:r>
          </w:p>
          <w:p w:rsidR="00000000" w:rsidRPr="00361C1E" w:rsidP="00361C1E">
            <w:pPr>
              <w:pStyle w:val="ListBullet"/>
            </w:pPr>
            <w:r w:rsidRPr="00361C1E">
              <w:t xml:space="preserve">Superannuation </w:t>
            </w:r>
            <w:r w:rsidRPr="00361C1E">
              <w:t>Industry (Supervision) Act (SIS)</w:t>
            </w:r>
          </w:p>
          <w:p w:rsidR="00000000" w:rsidRPr="00361C1E" w:rsidP="00361C1E">
            <w:pPr>
              <w:pStyle w:val="ListBullet"/>
            </w:pPr>
            <w:r w:rsidRPr="00361C1E">
              <w:t>Superannuation Industry (Supervision) Regulations</w:t>
            </w:r>
          </w:p>
          <w:p w:rsidR="00000000" w:rsidRPr="00361C1E" w:rsidP="00361C1E">
            <w:pPr>
              <w:pStyle w:val="ListBullet"/>
            </w:pPr>
            <w:r w:rsidRPr="00361C1E">
              <w:t>trade practices legislation</w:t>
            </w:r>
          </w:p>
          <w:p w:rsidR="00000000" w:rsidRPr="00361C1E" w:rsidP="00361C1E">
            <w:pPr>
              <w:pStyle w:val="ListBullet"/>
            </w:pPr>
            <w:r w:rsidRPr="00361C1E">
              <w:t>Trustee Acts or Trust Acts in each State and Territory</w:t>
            </w:r>
          </w:p>
          <w:p w:rsidR="00000000" w:rsidP="00361C1E">
            <w:pPr>
              <w:pStyle w:val="ListBullet"/>
              <w:rPr>
                <w:lang w:val="en-NZ"/>
              </w:rPr>
            </w:pPr>
            <w:r w:rsidRPr="00361C1E">
              <w:t>other relevant State and Commonwealth legislation.</w:t>
            </w:r>
          </w:p>
        </w:tc>
      </w:tr>
      <w:tr w:rsidTr="007944F9">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BoldandItalics"/>
              </w:rPr>
              <w:t>Statutory returns</w:t>
            </w:r>
            <w:r w:rsidRPr="00361C1E">
              <w:t xml:space="preserve"> may include:</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ListBullet"/>
            </w:pPr>
            <w:r w:rsidRPr="00361C1E">
              <w:t>contrib</w:t>
            </w:r>
            <w:r w:rsidRPr="00361C1E">
              <w:t>utions and benefits tax</w:t>
            </w:r>
          </w:p>
          <w:p w:rsidR="00000000" w:rsidRPr="00361C1E" w:rsidP="00361C1E">
            <w:pPr>
              <w:pStyle w:val="ListBullet"/>
            </w:pPr>
            <w:r w:rsidRPr="00361C1E">
              <w:t>end of year tax returns</w:t>
            </w:r>
          </w:p>
          <w:p w:rsidR="00000000" w:rsidRPr="00361C1E" w:rsidP="00361C1E">
            <w:pPr>
              <w:pStyle w:val="ListBullet"/>
            </w:pPr>
            <w:r w:rsidRPr="00361C1E">
              <w:t>lost member reports</w:t>
            </w:r>
          </w:p>
          <w:p w:rsidR="00000000" w:rsidRPr="00361C1E" w:rsidP="00361C1E">
            <w:pPr>
              <w:pStyle w:val="ListBullet"/>
            </w:pPr>
            <w:r w:rsidRPr="00361C1E">
              <w:t>monthly Pay As You Go (PAYG) reports</w:t>
            </w:r>
          </w:p>
          <w:p w:rsidR="00000000" w:rsidRPr="00361C1E" w:rsidP="00361C1E">
            <w:pPr>
              <w:pStyle w:val="ListBullet"/>
            </w:pPr>
            <w:r w:rsidRPr="00361C1E">
              <w:t>monthly Reasonable Benefits Limit (RBL) reports</w:t>
            </w:r>
          </w:p>
          <w:p w:rsidR="00000000" w:rsidRPr="00361C1E" w:rsidP="00361C1E">
            <w:pPr>
              <w:pStyle w:val="ListBullet"/>
            </w:pPr>
            <w:r w:rsidRPr="00361C1E">
              <w:t>surcharge details</w:t>
            </w:r>
          </w:p>
          <w:p w:rsidR="00000000" w:rsidP="00361C1E">
            <w:pPr>
              <w:pStyle w:val="ListBullet"/>
              <w:rPr>
                <w:lang w:val="en-NZ"/>
              </w:rPr>
            </w:pPr>
            <w:r w:rsidRPr="00361C1E">
              <w:t>unclaimed monies.</w:t>
            </w:r>
          </w:p>
        </w:tc>
      </w:tr>
      <w:tr w:rsidTr="007944F9">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BoldandItalics"/>
              </w:rPr>
              <w:t>Requirements for taxation returns and statutory reports</w:t>
            </w:r>
            <w:r w:rsidRPr="00361C1E">
              <w:t xml:space="preserve"> may include:</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ListBullet"/>
            </w:pPr>
            <w:r w:rsidRPr="00361C1E">
              <w:t>financial statements</w:t>
            </w:r>
          </w:p>
          <w:p w:rsidR="00000000" w:rsidRPr="00361C1E" w:rsidP="00361C1E">
            <w:pPr>
              <w:pStyle w:val="ListBullet"/>
            </w:pPr>
            <w:r w:rsidRPr="00361C1E">
              <w:t>return dates</w:t>
            </w:r>
          </w:p>
          <w:p w:rsidR="00000000" w:rsidRPr="00361C1E" w:rsidP="00361C1E">
            <w:pPr>
              <w:pStyle w:val="ListBullet"/>
            </w:pPr>
            <w:r w:rsidRPr="00361C1E">
              <w:t>signatures</w:t>
            </w:r>
          </w:p>
          <w:p w:rsidR="00000000" w:rsidRPr="00361C1E" w:rsidP="00361C1E">
            <w:pPr>
              <w:pStyle w:val="ListBullet"/>
            </w:pPr>
            <w:r w:rsidRPr="00361C1E">
              <w:t>specific details</w:t>
            </w:r>
          </w:p>
          <w:p w:rsidR="00000000" w:rsidRPr="00361C1E" w:rsidP="00361C1E">
            <w:pPr>
              <w:pStyle w:val="ListBullet"/>
            </w:pPr>
            <w:r w:rsidRPr="00361C1E">
              <w:t>supplementary reports</w:t>
            </w:r>
          </w:p>
          <w:p w:rsidR="00000000" w:rsidRPr="00361C1E" w:rsidP="00361C1E">
            <w:pPr>
              <w:pStyle w:val="ListBullet"/>
            </w:pPr>
            <w:r w:rsidRPr="00361C1E">
              <w:t>supporting evidence.</w:t>
            </w:r>
          </w:p>
        </w:tc>
      </w:tr>
    </w:tbl>
    <w:p w:rsidR="007944F9" w:rsidP="00361C1E">
      <w:pPr>
        <w:pStyle w:val="BodyText"/>
      </w:pPr>
    </w:p>
    <w:p w:rsidR="007944F9" w:rsidP="00361C1E">
      <w:pPr>
        <w:pStyle w:val="BodyText"/>
      </w:pPr>
    </w:p>
    <w:p w:rsidR="00000000" w:rsidRPr="00361C1E" w:rsidP="00361C1E">
      <w:pPr>
        <w:pStyle w:val="Heading1"/>
      </w:pPr>
      <w:bookmarkStart w:id="12" w:name="O_80786"/>
      <w:bookmarkEnd w:id="12"/>
      <w:r w:rsidRPr="00361C1E">
        <w:t>Unit Sector(s)</w:t>
      </w:r>
    </w:p>
    <w:tbl>
      <w:tblPr>
        <w:tblW w:w="0" w:type="auto"/>
        <w:tblLayout w:type="fixed"/>
        <w:tblCellMar>
          <w:left w:w="62" w:type="dxa"/>
          <w:right w:w="62" w:type="dxa"/>
        </w:tblCellMar>
        <w:tblLook w:val="0000"/>
      </w:tblPr>
      <w:tblGrid>
        <w:gridCol w:w="2600"/>
        <w:gridCol w:w="5922"/>
      </w:tblGrid>
      <w:tr w:rsidTr="007944F9">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BodyText"/>
            </w:pPr>
            <w:r w:rsidRPr="00361C1E">
              <w:t>Self-managed superannuation</w:t>
            </w:r>
          </w:p>
        </w:tc>
      </w:tr>
    </w:tbl>
    <w:p w:rsidR="00000000" w:rsidRPr="00361C1E" w:rsidP="00361C1E">
      <w:pPr>
        <w:pStyle w:val="BodyText"/>
      </w:pPr>
    </w:p>
    <w:p w:rsidR="00000000" w:rsidRPr="00361C1E" w:rsidP="00361C1E">
      <w:pPr>
        <w:pStyle w:val="AllowPageBreak"/>
      </w:pPr>
    </w:p>
    <w:p w:rsidR="00000000" w:rsidRPr="00361C1E" w:rsidP="00361C1E">
      <w:pPr>
        <w:pStyle w:val="Heading1"/>
      </w:pPr>
      <w:bookmarkStart w:id="13" w:name="O_156697"/>
      <w:bookmarkEnd w:id="13"/>
      <w:r w:rsidRPr="00361C1E">
        <w:t>Competency field</w:t>
      </w:r>
    </w:p>
    <w:tbl>
      <w:tblPr>
        <w:tblW w:w="0" w:type="auto"/>
        <w:tblLayout w:type="fixed"/>
        <w:tblCellMar>
          <w:left w:w="62" w:type="dxa"/>
          <w:right w:w="62" w:type="dxa"/>
        </w:tblCellMar>
        <w:tblLook w:val="0000"/>
      </w:tblPr>
      <w:tblGrid>
        <w:gridCol w:w="2754"/>
        <w:gridCol w:w="5768"/>
      </w:tblGrid>
      <w:tr w:rsidTr="007944F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BodyText"/>
            </w:pPr>
          </w:p>
        </w:tc>
      </w:tr>
    </w:tbl>
    <w:p w:rsidR="00000000" w:rsidRPr="00361C1E" w:rsidP="00361C1E">
      <w:pPr>
        <w:pStyle w:val="BodyText"/>
      </w:pPr>
    </w:p>
    <w:p w:rsidR="00000000" w:rsidRPr="00361C1E" w:rsidP="00361C1E">
      <w:pPr>
        <w:pStyle w:val="AllowPageBreak"/>
      </w:pPr>
    </w:p>
    <w:p w:rsidR="00000000" w:rsidRPr="00361C1E" w:rsidP="00361C1E">
      <w:pPr>
        <w:pStyle w:val="Heading1"/>
      </w:pPr>
      <w:bookmarkStart w:id="14" w:name="O_156696"/>
      <w:bookmarkEnd w:id="14"/>
      <w:r w:rsidRPr="00361C1E">
        <w:t>Co-requisite units</w:t>
      </w:r>
    </w:p>
    <w:tbl>
      <w:tblPr>
        <w:tblW w:w="0" w:type="auto"/>
        <w:tblLayout w:type="fixed"/>
        <w:tblCellMar>
          <w:left w:w="62" w:type="dxa"/>
          <w:right w:w="62" w:type="dxa"/>
        </w:tblCellMar>
        <w:tblLook w:val="0000"/>
      </w:tblPr>
      <w:tblGrid>
        <w:gridCol w:w="2629"/>
        <w:gridCol w:w="1324"/>
        <w:gridCol w:w="4569"/>
      </w:tblGrid>
      <w:tr w:rsidTr="007944F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r w:rsidRPr="00361C1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1E">
            <w:pPr>
              <w:pStyle w:val="BodyText"/>
              <w:rPr>
                <w:lang w:val="en-NZ"/>
              </w:rPr>
            </w:pPr>
          </w:p>
        </w:tc>
      </w:tr>
      <w:tr w:rsidTr="007944F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1E" w:rsidP="00361C1E">
            <w:pPr>
              <w:pStyle w:val="BodyText"/>
            </w:pPr>
          </w:p>
        </w:tc>
      </w:tr>
    </w:tbl>
    <w:p w:rsidR="00000000" w:rsidRPr="00361C1E" w:rsidP="00361C1E">
      <w:pPr>
        <w:pStyle w:val="BodyText"/>
      </w:pPr>
    </w:p>
    <w:p w:rsidR="00000000" w:rsidRPr="00361C1E" w:rsidP="00361C1E"/>
    <w:sectPr w:rsidSect="00361C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4F9" w:rsidP="007944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F9" w:rsidP="00361C1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944F9" w:rsidP="00361C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44F9" w:rsidP="00361C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1E" w:rsidRPr="007944F9" w:rsidP="007944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F9" w:rsidRPr="002D2AF8" w:rsidP="00361C1E">
    <w:pPr>
      <w:pStyle w:val="Header"/>
      <w:framePr w:wrap="around"/>
    </w:pPr>
    <w:r>
      <w:fldChar w:fldCharType="begin"/>
    </w:r>
    <w:r>
      <w:instrText xml:space="preserve"> TITLE   \* MERGEFORMAT </w:instrText>
    </w:r>
    <w:r>
      <w:fldChar w:fldCharType="separate"/>
    </w:r>
    <w:r>
      <w:t>FNSSMS504A Meet self-managed superannuation fund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944F9" w:rsidP="00361C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104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2C09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9CA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C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C1E"/>
    <w:pPr>
      <w:spacing w:before="360" w:after="60"/>
      <w:outlineLvl w:val="0"/>
    </w:pPr>
    <w:rPr>
      <w:sz w:val="32"/>
    </w:rPr>
  </w:style>
  <w:style w:type="paragraph" w:styleId="Heading2">
    <w:name w:val="heading 2"/>
    <w:basedOn w:val="HeadingBase"/>
    <w:next w:val="BodyText"/>
    <w:link w:val="Heading2Char"/>
    <w:qFormat/>
    <w:rsid w:val="00361C1E"/>
    <w:pPr>
      <w:keepLines/>
      <w:spacing w:before="240" w:after="120"/>
      <w:outlineLvl w:val="1"/>
    </w:pPr>
    <w:rPr>
      <w:sz w:val="28"/>
      <w:szCs w:val="40"/>
    </w:rPr>
  </w:style>
  <w:style w:type="paragraph" w:styleId="Heading3">
    <w:name w:val="heading 3"/>
    <w:basedOn w:val="HeadingBase"/>
    <w:next w:val="BodyText"/>
    <w:link w:val="Heading3Char"/>
    <w:qFormat/>
    <w:rsid w:val="00361C1E"/>
    <w:pPr>
      <w:spacing w:before="180" w:after="120"/>
      <w:outlineLvl w:val="2"/>
    </w:pPr>
    <w:rPr>
      <w:spacing w:val="-10"/>
      <w:kern w:val="32"/>
    </w:rPr>
  </w:style>
  <w:style w:type="paragraph" w:styleId="Heading4">
    <w:name w:val="heading 4"/>
    <w:basedOn w:val="HeadingBase"/>
    <w:next w:val="BodyText"/>
    <w:link w:val="Heading4Char"/>
    <w:qFormat/>
    <w:rsid w:val="00361C1E"/>
    <w:pPr>
      <w:spacing w:before="160" w:after="120"/>
      <w:outlineLvl w:val="3"/>
    </w:pPr>
    <w:rPr>
      <w:sz w:val="22"/>
    </w:rPr>
  </w:style>
  <w:style w:type="paragraph" w:styleId="Heading5">
    <w:name w:val="heading 5"/>
    <w:basedOn w:val="HeadingBase"/>
    <w:next w:val="Normal"/>
    <w:link w:val="Heading5Char"/>
    <w:qFormat/>
    <w:rsid w:val="00361C1E"/>
    <w:pPr>
      <w:spacing w:before="80"/>
      <w:outlineLvl w:val="4"/>
    </w:pPr>
    <w:rPr>
      <w:color w:val="918585"/>
      <w:sz w:val="20"/>
    </w:rPr>
  </w:style>
  <w:style w:type="paragraph" w:styleId="Heading6">
    <w:name w:val="heading 6"/>
    <w:basedOn w:val="HeadingBase"/>
    <w:next w:val="Normal"/>
    <w:link w:val="Heading6Char"/>
    <w:qFormat/>
    <w:rsid w:val="00361C1E"/>
    <w:pPr>
      <w:spacing w:before="60"/>
      <w:outlineLvl w:val="5"/>
    </w:pPr>
    <w:rPr>
      <w:color w:val="918585"/>
      <w:sz w:val="20"/>
    </w:rPr>
  </w:style>
  <w:style w:type="paragraph" w:styleId="Heading7">
    <w:name w:val="heading 7"/>
    <w:basedOn w:val="Normal"/>
    <w:next w:val="Normal"/>
    <w:link w:val="Heading7Char"/>
    <w:qFormat/>
    <w:rsid w:val="00361C1E"/>
    <w:pPr>
      <w:ind w:left="720"/>
      <w:outlineLvl w:val="6"/>
    </w:pPr>
    <w:rPr>
      <w:i/>
    </w:rPr>
  </w:style>
  <w:style w:type="paragraph" w:styleId="Heading8">
    <w:name w:val="heading 8"/>
    <w:basedOn w:val="Normal"/>
    <w:next w:val="Normal"/>
    <w:link w:val="Heading8Char"/>
    <w:qFormat/>
    <w:rsid w:val="00361C1E"/>
    <w:pPr>
      <w:ind w:left="720"/>
      <w:outlineLvl w:val="7"/>
    </w:pPr>
    <w:rPr>
      <w:i/>
    </w:rPr>
  </w:style>
  <w:style w:type="paragraph" w:styleId="Heading9">
    <w:name w:val="heading 9"/>
    <w:basedOn w:val="Normal"/>
    <w:next w:val="Normal"/>
    <w:link w:val="Heading9Char"/>
    <w:qFormat/>
    <w:rsid w:val="00361C1E"/>
    <w:pPr>
      <w:ind w:left="720"/>
      <w:outlineLvl w:val="8"/>
    </w:pPr>
    <w:rPr>
      <w:i/>
    </w:rPr>
  </w:style>
  <w:style w:type="character" w:default="1" w:styleId="DefaultParagraphFont">
    <w:name w:val="Default Paragraph Font"/>
    <w:uiPriority w:val="1"/>
    <w:unhideWhenUsed/>
    <w:rsid w:val="00361C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C1E"/>
  </w:style>
  <w:style w:type="character" w:customStyle="1" w:styleId="Heading1Char">
    <w:name w:val="Heading 1 Char"/>
    <w:basedOn w:val="DefaultParagraphFont"/>
    <w:link w:val="Heading1"/>
    <w:rsid w:val="00361C1E"/>
    <w:rPr>
      <w:rFonts w:ascii="Times New Roman" w:eastAsia="Times New Roman" w:hAnsi="Times New Roman" w:cs="Times New Roman"/>
      <w:b/>
      <w:sz w:val="32"/>
      <w:szCs w:val="20"/>
      <w:lang w:eastAsia="en-US"/>
    </w:rPr>
  </w:style>
  <w:style w:type="paragraph" w:styleId="BodyText">
    <w:name w:val="Body Text"/>
    <w:basedOn w:val="Normal"/>
    <w:link w:val="BodyTextChar"/>
    <w:rsid w:val="00361C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1C1E"/>
    <w:rPr>
      <w:rFonts w:ascii="Times New Roman" w:eastAsia="Times New Roman" w:hAnsi="Times New Roman" w:cs="Times New Roman"/>
      <w:sz w:val="24"/>
      <w:lang w:eastAsia="en-US"/>
    </w:rPr>
  </w:style>
  <w:style w:type="paragraph" w:styleId="Footer">
    <w:name w:val="footer"/>
    <w:basedOn w:val="Normal"/>
    <w:link w:val="FooterChar"/>
    <w:rsid w:val="00361C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C1E"/>
    <w:rPr>
      <w:rFonts w:ascii="Times New Roman" w:eastAsia="Times New Roman" w:hAnsi="Times New Roman" w:cs="Times New Roman"/>
      <w:sz w:val="16"/>
      <w:lang w:eastAsia="en-US"/>
    </w:rPr>
  </w:style>
  <w:style w:type="paragraph" w:styleId="List">
    <w:name w:val="List"/>
    <w:basedOn w:val="BodyText"/>
    <w:next w:val="BodyText"/>
    <w:rsid w:val="00361C1E"/>
    <w:pPr>
      <w:tabs>
        <w:tab w:val="left" w:pos="340"/>
      </w:tabs>
      <w:spacing w:before="60" w:after="60"/>
      <w:ind w:left="340" w:hanging="340"/>
    </w:pPr>
  </w:style>
  <w:style w:type="paragraph" w:styleId="ListBullet">
    <w:name w:val="List Bullet"/>
    <w:basedOn w:val="List"/>
    <w:rsid w:val="00361C1E"/>
    <w:pPr>
      <w:numPr>
        <w:numId w:val="13"/>
      </w:numPr>
      <w:tabs>
        <w:tab w:val="clear" w:pos="340"/>
      </w:tabs>
      <w:spacing w:before="40" w:after="40"/>
    </w:pPr>
  </w:style>
  <w:style w:type="character" w:customStyle="1" w:styleId="SpecialBold">
    <w:name w:val="Special Bold"/>
    <w:basedOn w:val="DefaultParagraphFont"/>
    <w:rsid w:val="00361C1E"/>
    <w:rPr>
      <w:b/>
      <w:spacing w:val="0"/>
    </w:rPr>
  </w:style>
  <w:style w:type="paragraph" w:styleId="ListBullet2">
    <w:name w:val="List Bullet 2"/>
    <w:basedOn w:val="List2"/>
    <w:rsid w:val="00361C1E"/>
    <w:pPr>
      <w:numPr>
        <w:numId w:val="14"/>
      </w:numPr>
      <w:tabs>
        <w:tab w:val="clear" w:pos="680"/>
      </w:tabs>
    </w:pPr>
  </w:style>
  <w:style w:type="paragraph" w:customStyle="1" w:styleId="SuperHeading">
    <w:name w:val="SuperHeading"/>
    <w:basedOn w:val="Normal"/>
    <w:rsid w:val="00361C1E"/>
    <w:pPr>
      <w:spacing w:before="240" w:after="120"/>
      <w:outlineLvl w:val="0"/>
    </w:pPr>
    <w:rPr>
      <w:rFonts w:ascii="Times New Roman" w:hAnsi="Times New Roman"/>
      <w:b/>
      <w:sz w:val="28"/>
    </w:rPr>
  </w:style>
  <w:style w:type="paragraph" w:customStyle="1" w:styleId="AllowPageBreak">
    <w:name w:val="AllowPageBreak"/>
    <w:rsid w:val="00361C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1C1E"/>
    <w:pPr>
      <w:tabs>
        <w:tab w:val="left" w:pos="680"/>
      </w:tabs>
      <w:spacing w:before="60" w:after="60"/>
      <w:ind w:left="680" w:hanging="340"/>
    </w:pPr>
  </w:style>
  <w:style w:type="character" w:customStyle="1" w:styleId="BoldandItalics">
    <w:name w:val="Bold and Italics"/>
    <w:qFormat/>
    <w:rsid w:val="00361C1E"/>
    <w:rPr>
      <w:b/>
      <w:i/>
      <w:u w:val="none"/>
    </w:rPr>
  </w:style>
  <w:style w:type="character" w:customStyle="1" w:styleId="Heading2Char">
    <w:name w:val="Heading 2 Char"/>
    <w:basedOn w:val="DefaultParagraphFont"/>
    <w:link w:val="Heading2"/>
    <w:rsid w:val="00361C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C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C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C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C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C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C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C1E"/>
    <w:rPr>
      <w:rFonts w:ascii="Courier New" w:eastAsia="Times New Roman" w:hAnsi="Courier New" w:cs="Times New Roman"/>
      <w:i/>
      <w:szCs w:val="20"/>
      <w:lang w:eastAsia="en-US"/>
    </w:rPr>
  </w:style>
  <w:style w:type="paragraph" w:customStyle="1" w:styleId="HeadingBase">
    <w:name w:val="Heading Base"/>
    <w:rsid w:val="00361C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C1E"/>
    <w:pPr>
      <w:tabs>
        <w:tab w:val="right" w:leader="dot" w:pos="9072"/>
      </w:tabs>
      <w:ind w:left="567"/>
    </w:pPr>
    <w:rPr>
      <w:szCs w:val="22"/>
    </w:rPr>
  </w:style>
  <w:style w:type="paragraph" w:customStyle="1" w:styleId="TOCBase">
    <w:name w:val="TOC Base"/>
    <w:rsid w:val="00361C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C1E"/>
    <w:pPr>
      <w:tabs>
        <w:tab w:val="right" w:leader="dot" w:pos="9072"/>
      </w:tabs>
      <w:spacing w:before="40" w:after="40"/>
      <w:ind w:left="284"/>
    </w:pPr>
    <w:rPr>
      <w:rFonts w:ascii="Times New Roman" w:hAnsi="Times New Roman"/>
    </w:rPr>
  </w:style>
  <w:style w:type="paragraph" w:styleId="TOC1">
    <w:name w:val="toc 1"/>
    <w:basedOn w:val="TOCBase"/>
    <w:next w:val="Normal"/>
    <w:rsid w:val="00361C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1C1E"/>
    <w:pPr>
      <w:spacing w:before="5040"/>
      <w:jc w:val="center"/>
    </w:pPr>
    <w:rPr>
      <w:sz w:val="48"/>
      <w:szCs w:val="72"/>
      <w:lang w:val="en-US"/>
    </w:rPr>
  </w:style>
  <w:style w:type="character" w:customStyle="1" w:styleId="TitleChar">
    <w:name w:val="Title Char"/>
    <w:basedOn w:val="DefaultParagraphFont"/>
    <w:link w:val="Title"/>
    <w:rsid w:val="00361C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C1E"/>
    <w:pPr>
      <w:tabs>
        <w:tab w:val="left" w:pos="3600"/>
        <w:tab w:val="left" w:pos="3958"/>
      </w:tabs>
    </w:pPr>
  </w:style>
  <w:style w:type="paragraph" w:customStyle="1" w:styleId="Note">
    <w:name w:val="Note"/>
    <w:basedOn w:val="BodyText"/>
    <w:rsid w:val="00361C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C1E"/>
    <w:pPr>
      <w:framePr w:wrap="auto" w:hAnchor="text" w:y="6049"/>
    </w:pPr>
    <w:rPr>
      <w:color w:val="000000"/>
      <w:sz w:val="40"/>
    </w:rPr>
  </w:style>
  <w:style w:type="paragraph" w:customStyle="1" w:styleId="TOCTitle">
    <w:name w:val="TOCTitle"/>
    <w:basedOn w:val="Heading1"/>
    <w:rsid w:val="00361C1E"/>
    <w:pPr>
      <w:spacing w:after="240"/>
      <w:jc w:val="center"/>
      <w:outlineLvl w:val="9"/>
    </w:pPr>
    <w:rPr>
      <w:caps/>
    </w:rPr>
  </w:style>
  <w:style w:type="paragraph" w:customStyle="1" w:styleId="Version">
    <w:name w:val="Version"/>
    <w:rsid w:val="00361C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1C1E"/>
    <w:pPr>
      <w:keepNext w:val="0"/>
      <w:tabs>
        <w:tab w:val="right" w:pos="4176"/>
      </w:tabs>
      <w:ind w:left="198" w:hanging="198"/>
    </w:pPr>
    <w:rPr>
      <w:rFonts w:ascii="Garamond" w:hAnsi="Garamond"/>
    </w:rPr>
  </w:style>
  <w:style w:type="paragraph" w:styleId="IndexHeading">
    <w:name w:val="index heading"/>
    <w:basedOn w:val="Normal"/>
    <w:next w:val="Index1"/>
    <w:semiHidden/>
    <w:rsid w:val="00361C1E"/>
    <w:pPr>
      <w:spacing w:before="120" w:after="120"/>
    </w:pPr>
    <w:rPr>
      <w:rFonts w:ascii="Arial" w:hAnsi="Arial"/>
      <w:b/>
      <w:color w:val="918585"/>
      <w:sz w:val="24"/>
    </w:rPr>
  </w:style>
  <w:style w:type="paragraph" w:styleId="Header">
    <w:name w:val="header"/>
    <w:basedOn w:val="Normal"/>
    <w:link w:val="HeaderChar"/>
    <w:rsid w:val="00361C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C1E"/>
    <w:rPr>
      <w:rFonts w:ascii="Times New Roman" w:eastAsia="Times New Roman" w:hAnsi="Times New Roman" w:cs="Times New Roman"/>
      <w:sz w:val="16"/>
      <w:szCs w:val="20"/>
      <w:lang w:val="en-GB" w:eastAsia="en-US"/>
    </w:rPr>
  </w:style>
  <w:style w:type="paragraph" w:customStyle="1" w:styleId="Chapter">
    <w:name w:val="Chapter"/>
    <w:basedOn w:val="Normal"/>
    <w:rsid w:val="00361C1E"/>
    <w:pPr>
      <w:spacing w:before="240"/>
    </w:pPr>
    <w:rPr>
      <w:rFonts w:ascii="Times New Roman" w:hAnsi="Times New Roman"/>
      <w:smallCaps/>
      <w:spacing w:val="80"/>
      <w:sz w:val="28"/>
    </w:rPr>
  </w:style>
  <w:style w:type="paragraph" w:customStyle="1" w:styleId="InChapter">
    <w:name w:val="InChapter"/>
    <w:basedOn w:val="Heading3"/>
    <w:rsid w:val="00361C1E"/>
    <w:pPr>
      <w:spacing w:after="240"/>
      <w:outlineLvl w:val="9"/>
    </w:pPr>
    <w:rPr>
      <w:noProof/>
    </w:rPr>
  </w:style>
  <w:style w:type="paragraph" w:styleId="Index2">
    <w:name w:val="index 2"/>
    <w:basedOn w:val="Normal"/>
    <w:next w:val="Normal"/>
    <w:semiHidden/>
    <w:rsid w:val="00361C1E"/>
    <w:pPr>
      <w:tabs>
        <w:tab w:val="right" w:pos="4176"/>
      </w:tabs>
      <w:ind w:left="568" w:hanging="284"/>
    </w:pPr>
    <w:rPr>
      <w:rFonts w:ascii="Garamond" w:hAnsi="Garamond"/>
    </w:rPr>
  </w:style>
  <w:style w:type="paragraph" w:customStyle="1" w:styleId="Byline">
    <w:name w:val="Byline"/>
    <w:rsid w:val="00361C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C1E"/>
    <w:pPr>
      <w:tabs>
        <w:tab w:val="clear" w:pos="3600"/>
        <w:tab w:val="clear" w:pos="3958"/>
      </w:tabs>
      <w:jc w:val="right"/>
    </w:pPr>
  </w:style>
  <w:style w:type="character" w:styleId="Emphasis">
    <w:name w:val="Emphasis"/>
    <w:basedOn w:val="DefaultParagraphFont"/>
    <w:qFormat/>
    <w:rsid w:val="00361C1E"/>
    <w:rPr>
      <w:i/>
    </w:rPr>
  </w:style>
  <w:style w:type="paragraph" w:styleId="Caption">
    <w:name w:val="caption"/>
    <w:basedOn w:val="BodyText"/>
    <w:next w:val="Normal"/>
    <w:qFormat/>
    <w:rsid w:val="00361C1E"/>
    <w:pPr>
      <w:framePr w:w="2268" w:hSpace="181" w:vSpace="181" w:wrap="around" w:vAnchor="text" w:hAnchor="page" w:x="1135" w:y="285" w:anchorLock="1"/>
    </w:pPr>
    <w:rPr>
      <w:i/>
    </w:rPr>
  </w:style>
  <w:style w:type="paragraph" w:customStyle="1" w:styleId="MiniTOCTitle">
    <w:name w:val="MiniTOCTitle"/>
    <w:basedOn w:val="Heading4"/>
    <w:rsid w:val="00361C1E"/>
    <w:pPr>
      <w:spacing w:before="240"/>
      <w:outlineLvl w:val="9"/>
    </w:pPr>
    <w:rPr>
      <w:noProof/>
      <w:sz w:val="24"/>
    </w:rPr>
  </w:style>
  <w:style w:type="paragraph" w:customStyle="1" w:styleId="MiniTOCItem">
    <w:name w:val="MiniTOCItem"/>
    <w:basedOn w:val="ListBullet"/>
    <w:rsid w:val="00361C1E"/>
    <w:pPr>
      <w:numPr>
        <w:numId w:val="0"/>
      </w:numPr>
      <w:tabs>
        <w:tab w:val="right" w:leader="dot" w:pos="6521"/>
      </w:tabs>
      <w:spacing w:before="0" w:after="0"/>
    </w:pPr>
  </w:style>
  <w:style w:type="paragraph" w:customStyle="1" w:styleId="TOFTitle">
    <w:name w:val="TOFTitle"/>
    <w:basedOn w:val="TOCTitle"/>
    <w:rsid w:val="00361C1E"/>
  </w:style>
  <w:style w:type="paragraph" w:styleId="TableofFigures">
    <w:name w:val="table of figures"/>
    <w:basedOn w:val="Normal"/>
    <w:next w:val="Normal"/>
    <w:semiHidden/>
    <w:rsid w:val="00361C1E"/>
    <w:pPr>
      <w:tabs>
        <w:tab w:val="right" w:leader="dot" w:pos="9072"/>
      </w:tabs>
      <w:ind w:left="970" w:hanging="403"/>
    </w:pPr>
    <w:rPr>
      <w:rFonts w:ascii="Times New Roman" w:hAnsi="Times New Roman"/>
      <w:b/>
    </w:rPr>
  </w:style>
  <w:style w:type="paragraph" w:styleId="ListNumber">
    <w:name w:val="List Number"/>
    <w:basedOn w:val="List"/>
    <w:rsid w:val="00361C1E"/>
    <w:pPr>
      <w:numPr>
        <w:numId w:val="11"/>
      </w:numPr>
    </w:pPr>
  </w:style>
  <w:style w:type="character" w:customStyle="1" w:styleId="WingdingSymbols">
    <w:name w:val="Wingding Symbols"/>
    <w:rsid w:val="00361C1E"/>
    <w:rPr>
      <w:rFonts w:ascii="Wingdings" w:hAnsi="Wingdings"/>
    </w:rPr>
  </w:style>
  <w:style w:type="paragraph" w:customStyle="1" w:styleId="TableHeading">
    <w:name w:val="Table Heading"/>
    <w:basedOn w:val="HeadingBase"/>
    <w:rsid w:val="00361C1E"/>
    <w:pPr>
      <w:keepLines/>
      <w:pBdr>
        <w:bottom w:val="single" w:sz="6" w:space="1" w:color="918585"/>
      </w:pBdr>
      <w:spacing w:before="240"/>
    </w:pPr>
  </w:style>
  <w:style w:type="character" w:customStyle="1" w:styleId="HotSpot">
    <w:name w:val="HotSpot"/>
    <w:rsid w:val="00361C1E"/>
    <w:rPr>
      <w:color w:val="0033CC"/>
      <w:u w:val="none"/>
    </w:rPr>
  </w:style>
  <w:style w:type="paragraph" w:customStyle="1" w:styleId="BodyTextRight">
    <w:name w:val="Body Text Right"/>
    <w:basedOn w:val="BodyText"/>
    <w:rsid w:val="00361C1E"/>
    <w:pPr>
      <w:spacing w:before="0" w:after="0"/>
      <w:jc w:val="right"/>
    </w:pPr>
  </w:style>
  <w:style w:type="paragraph" w:styleId="Index3">
    <w:name w:val="index 3"/>
    <w:basedOn w:val="ListNumber2"/>
    <w:next w:val="Normal"/>
    <w:semiHidden/>
    <w:rsid w:val="00361C1E"/>
    <w:pPr>
      <w:numPr>
        <w:numId w:val="0"/>
      </w:numPr>
      <w:tabs>
        <w:tab w:val="right" w:leader="dot" w:pos="4176"/>
      </w:tabs>
    </w:pPr>
  </w:style>
  <w:style w:type="paragraph" w:styleId="ListNumber2">
    <w:name w:val="List Number 2"/>
    <w:basedOn w:val="List2"/>
    <w:rsid w:val="00361C1E"/>
    <w:pPr>
      <w:numPr>
        <w:numId w:val="10"/>
      </w:numPr>
      <w:tabs>
        <w:tab w:val="clear" w:pos="1060"/>
      </w:tabs>
    </w:pPr>
  </w:style>
  <w:style w:type="paragraph" w:customStyle="1" w:styleId="MarginNote">
    <w:name w:val="Margin Note"/>
    <w:basedOn w:val="BodyText"/>
    <w:rsid w:val="00361C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C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C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C1E"/>
    <w:rPr>
      <w:sz w:val="32"/>
    </w:rPr>
  </w:style>
  <w:style w:type="paragraph" w:customStyle="1" w:styleId="HeadingProcedure">
    <w:name w:val="Heading Procedure"/>
    <w:basedOn w:val="HeadingBase"/>
    <w:next w:val="Normal"/>
    <w:rsid w:val="00361C1E"/>
    <w:pPr>
      <w:tabs>
        <w:tab w:val="left" w:pos="0"/>
      </w:tabs>
      <w:spacing w:before="120" w:after="60"/>
    </w:pPr>
    <w:rPr>
      <w:i/>
      <w:color w:val="918585"/>
      <w:sz w:val="22"/>
    </w:rPr>
  </w:style>
  <w:style w:type="paragraph" w:customStyle="1" w:styleId="TableBodyText">
    <w:name w:val="Table Body Text"/>
    <w:basedOn w:val="BodyText"/>
    <w:rsid w:val="00361C1E"/>
    <w:pPr>
      <w:spacing w:before="60" w:after="60"/>
    </w:pPr>
  </w:style>
  <w:style w:type="paragraph" w:styleId="ListContinue">
    <w:name w:val="List Continue"/>
    <w:basedOn w:val="List"/>
    <w:rsid w:val="00361C1E"/>
    <w:pPr>
      <w:ind w:firstLine="0"/>
    </w:pPr>
  </w:style>
  <w:style w:type="paragraph" w:customStyle="1" w:styleId="ListNote">
    <w:name w:val="List Note"/>
    <w:basedOn w:val="List"/>
    <w:rsid w:val="00361C1E"/>
    <w:pPr>
      <w:pBdr>
        <w:top w:val="single" w:sz="6" w:space="2" w:color="918585"/>
        <w:bottom w:val="single" w:sz="6" w:space="2" w:color="918585"/>
      </w:pBdr>
      <w:tabs>
        <w:tab w:val="left" w:pos="1021"/>
      </w:tabs>
      <w:ind w:firstLine="0"/>
    </w:pPr>
  </w:style>
  <w:style w:type="paragraph" w:customStyle="1" w:styleId="Warning">
    <w:name w:val="Warning"/>
    <w:basedOn w:val="BodyText"/>
    <w:rsid w:val="00361C1E"/>
    <w:pPr>
      <w:shd w:val="clear" w:color="auto" w:fill="D9D9D9"/>
      <w:tabs>
        <w:tab w:val="left" w:pos="992"/>
      </w:tabs>
      <w:ind w:left="119" w:right="119"/>
    </w:pPr>
    <w:rPr>
      <w:sz w:val="20"/>
    </w:rPr>
  </w:style>
  <w:style w:type="paragraph" w:customStyle="1" w:styleId="MarginIcons">
    <w:name w:val="Margin Icons"/>
    <w:basedOn w:val="BodyText"/>
    <w:rsid w:val="00361C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C1E"/>
    <w:rPr>
      <w:rFonts w:ascii="Courier New" w:hAnsi="Courier New"/>
    </w:rPr>
  </w:style>
  <w:style w:type="paragraph" w:customStyle="1" w:styleId="NoteBullet">
    <w:name w:val="Note Bullet"/>
    <w:basedOn w:val="Note"/>
    <w:rsid w:val="00361C1E"/>
    <w:pPr>
      <w:tabs>
        <w:tab w:val="clear" w:pos="680"/>
      </w:tabs>
      <w:spacing w:before="60" w:after="60"/>
    </w:pPr>
  </w:style>
  <w:style w:type="paragraph" w:customStyle="1" w:styleId="SubHeading2">
    <w:name w:val="SubHeading2"/>
    <w:basedOn w:val="HeadingBase"/>
    <w:rsid w:val="00361C1E"/>
    <w:pPr>
      <w:spacing w:before="240" w:after="60"/>
    </w:pPr>
    <w:rPr>
      <w:sz w:val="20"/>
    </w:rPr>
  </w:style>
  <w:style w:type="paragraph" w:customStyle="1" w:styleId="SubHeading1">
    <w:name w:val="SubHeading1"/>
    <w:basedOn w:val="HeadingBase"/>
    <w:rsid w:val="00361C1E"/>
    <w:pPr>
      <w:spacing w:before="240" w:after="60"/>
    </w:pPr>
    <w:rPr>
      <w:color w:val="918585"/>
      <w:sz w:val="22"/>
    </w:rPr>
  </w:style>
  <w:style w:type="paragraph" w:customStyle="1" w:styleId="SideHeading">
    <w:name w:val="Side Heading"/>
    <w:basedOn w:val="HeadingBase"/>
    <w:rsid w:val="00361C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C1E"/>
    <w:pPr>
      <w:numPr>
        <w:numId w:val="12"/>
      </w:numPr>
    </w:pPr>
  </w:style>
  <w:style w:type="paragraph" w:styleId="PlainText">
    <w:name w:val="Plain Text"/>
    <w:basedOn w:val="Normal"/>
    <w:link w:val="PlainTextChar"/>
    <w:rsid w:val="00361C1E"/>
    <w:rPr>
      <w:sz w:val="20"/>
    </w:rPr>
  </w:style>
  <w:style w:type="character" w:customStyle="1" w:styleId="PlainTextChar">
    <w:name w:val="Plain Text Char"/>
    <w:basedOn w:val="DefaultParagraphFont"/>
    <w:link w:val="PlainText"/>
    <w:rsid w:val="00361C1E"/>
    <w:rPr>
      <w:rFonts w:ascii="Courier New" w:eastAsia="Times New Roman" w:hAnsi="Courier New" w:cs="Times New Roman"/>
      <w:sz w:val="20"/>
      <w:szCs w:val="20"/>
      <w:lang w:eastAsia="en-US"/>
    </w:rPr>
  </w:style>
  <w:style w:type="character" w:customStyle="1" w:styleId="MenuOption">
    <w:name w:val="Menu Option"/>
    <w:basedOn w:val="DefaultParagraphFont"/>
    <w:rsid w:val="00361C1E"/>
    <w:rPr>
      <w:b/>
      <w:smallCaps/>
    </w:rPr>
  </w:style>
  <w:style w:type="paragraph" w:customStyle="1" w:styleId="TableListNumber">
    <w:name w:val="Table List Number"/>
    <w:basedOn w:val="ListNumber"/>
    <w:rsid w:val="00361C1E"/>
    <w:pPr>
      <w:numPr>
        <w:numId w:val="0"/>
      </w:numPr>
    </w:pPr>
  </w:style>
  <w:style w:type="paragraph" w:styleId="TOC4">
    <w:name w:val="toc 4"/>
    <w:basedOn w:val="TOCBase"/>
    <w:next w:val="Normal"/>
    <w:semiHidden/>
    <w:rsid w:val="00361C1E"/>
    <w:pPr>
      <w:tabs>
        <w:tab w:val="right" w:leader="dot" w:pos="9071"/>
      </w:tabs>
      <w:ind w:left="1701"/>
    </w:pPr>
  </w:style>
  <w:style w:type="paragraph" w:customStyle="1" w:styleId="ListAlpha">
    <w:name w:val="List Alpha"/>
    <w:basedOn w:val="List"/>
    <w:rsid w:val="00361C1E"/>
    <w:pPr>
      <w:numPr>
        <w:numId w:val="9"/>
      </w:numPr>
    </w:pPr>
  </w:style>
  <w:style w:type="paragraph" w:customStyle="1" w:styleId="ListAlpha2">
    <w:name w:val="List Alpha 2"/>
    <w:basedOn w:val="List2"/>
    <w:rsid w:val="00361C1E"/>
    <w:pPr>
      <w:numPr>
        <w:numId w:val="8"/>
      </w:numPr>
    </w:pPr>
  </w:style>
  <w:style w:type="paragraph" w:styleId="List3">
    <w:name w:val="List 3"/>
    <w:basedOn w:val="BodyText"/>
    <w:rsid w:val="00361C1E"/>
    <w:pPr>
      <w:tabs>
        <w:tab w:val="left" w:pos="1021"/>
      </w:tabs>
      <w:spacing w:before="60" w:after="60"/>
      <w:ind w:left="1020" w:hanging="340"/>
    </w:pPr>
  </w:style>
  <w:style w:type="paragraph" w:styleId="List4">
    <w:name w:val="List 4"/>
    <w:basedOn w:val="BodyText"/>
    <w:rsid w:val="00361C1E"/>
    <w:pPr>
      <w:tabs>
        <w:tab w:val="left" w:pos="1361"/>
      </w:tabs>
      <w:spacing w:before="60" w:after="60"/>
      <w:ind w:left="1361" w:hanging="340"/>
    </w:pPr>
  </w:style>
  <w:style w:type="paragraph" w:styleId="List5">
    <w:name w:val="List 5"/>
    <w:basedOn w:val="BodyText"/>
    <w:rsid w:val="00361C1E"/>
    <w:pPr>
      <w:tabs>
        <w:tab w:val="left" w:pos="1701"/>
      </w:tabs>
      <w:spacing w:before="60" w:after="60"/>
      <w:ind w:left="1701" w:hanging="340"/>
    </w:pPr>
  </w:style>
  <w:style w:type="paragraph" w:styleId="ListBullet3">
    <w:name w:val="List Bullet 3"/>
    <w:basedOn w:val="List3"/>
    <w:rsid w:val="00361C1E"/>
    <w:pPr>
      <w:numPr>
        <w:numId w:val="15"/>
      </w:numPr>
      <w:tabs>
        <w:tab w:val="clear" w:pos="1021"/>
      </w:tabs>
      <w:ind w:left="1037" w:hanging="357"/>
    </w:pPr>
  </w:style>
  <w:style w:type="paragraph" w:styleId="ListBullet4">
    <w:name w:val="List Bullet 4"/>
    <w:basedOn w:val="List4"/>
    <w:rsid w:val="00361C1E"/>
    <w:pPr>
      <w:numPr>
        <w:numId w:val="3"/>
      </w:numPr>
    </w:pPr>
  </w:style>
  <w:style w:type="paragraph" w:styleId="ListBullet5">
    <w:name w:val="List Bullet 5"/>
    <w:basedOn w:val="List5"/>
    <w:rsid w:val="00361C1E"/>
    <w:pPr>
      <w:numPr>
        <w:numId w:val="4"/>
      </w:numPr>
    </w:pPr>
  </w:style>
  <w:style w:type="paragraph" w:styleId="ListContinue2">
    <w:name w:val="List Continue 2"/>
    <w:basedOn w:val="List2"/>
    <w:rsid w:val="00361C1E"/>
    <w:pPr>
      <w:ind w:firstLine="0"/>
    </w:pPr>
  </w:style>
  <w:style w:type="paragraph" w:styleId="ListContinue3">
    <w:name w:val="List Continue 3"/>
    <w:basedOn w:val="List3"/>
    <w:rsid w:val="00361C1E"/>
    <w:pPr>
      <w:ind w:left="1021" w:firstLine="0"/>
    </w:pPr>
  </w:style>
  <w:style w:type="paragraph" w:styleId="ListContinue4">
    <w:name w:val="List Continue 4"/>
    <w:basedOn w:val="List4"/>
    <w:rsid w:val="00361C1E"/>
    <w:pPr>
      <w:ind w:firstLine="0"/>
    </w:pPr>
  </w:style>
  <w:style w:type="paragraph" w:styleId="ListContinue5">
    <w:name w:val="List Continue 5"/>
    <w:basedOn w:val="List5"/>
    <w:rsid w:val="00361C1E"/>
    <w:pPr>
      <w:ind w:firstLine="0"/>
    </w:pPr>
  </w:style>
  <w:style w:type="paragraph" w:styleId="ListNumber3">
    <w:name w:val="List Number 3"/>
    <w:basedOn w:val="List3"/>
    <w:rsid w:val="00361C1E"/>
    <w:pPr>
      <w:numPr>
        <w:numId w:val="5"/>
      </w:numPr>
    </w:pPr>
  </w:style>
  <w:style w:type="paragraph" w:styleId="ListNumber4">
    <w:name w:val="List Number 4"/>
    <w:basedOn w:val="List4"/>
    <w:rsid w:val="00361C1E"/>
    <w:pPr>
      <w:numPr>
        <w:numId w:val="6"/>
      </w:numPr>
    </w:pPr>
  </w:style>
  <w:style w:type="paragraph" w:styleId="ListNumber5">
    <w:name w:val="List Number 5"/>
    <w:basedOn w:val="List5"/>
    <w:rsid w:val="00361C1E"/>
    <w:pPr>
      <w:numPr>
        <w:numId w:val="7"/>
      </w:numPr>
    </w:pPr>
  </w:style>
  <w:style w:type="paragraph" w:styleId="BlockText">
    <w:name w:val="Block Text"/>
    <w:basedOn w:val="Normal"/>
    <w:rsid w:val="00361C1E"/>
    <w:pPr>
      <w:spacing w:after="120"/>
      <w:ind w:left="1440" w:right="1440"/>
    </w:pPr>
  </w:style>
  <w:style w:type="character" w:customStyle="1" w:styleId="Subscript">
    <w:name w:val="Subscript"/>
    <w:basedOn w:val="DefaultParagraphFont"/>
    <w:rsid w:val="00361C1E"/>
    <w:rPr>
      <w:sz w:val="16"/>
      <w:vertAlign w:val="subscript"/>
    </w:rPr>
  </w:style>
  <w:style w:type="character" w:customStyle="1" w:styleId="Superscript">
    <w:name w:val="Superscript"/>
    <w:basedOn w:val="DefaultParagraphFont"/>
    <w:rsid w:val="00361C1E"/>
    <w:rPr>
      <w:sz w:val="16"/>
      <w:vertAlign w:val="superscript"/>
    </w:rPr>
  </w:style>
  <w:style w:type="character" w:customStyle="1" w:styleId="Symbols">
    <w:name w:val="Symbols"/>
    <w:basedOn w:val="DefaultParagraphFont"/>
    <w:rsid w:val="00361C1E"/>
    <w:rPr>
      <w:rFonts w:ascii="Symbol" w:hAnsi="Symbol"/>
    </w:rPr>
  </w:style>
  <w:style w:type="character" w:customStyle="1" w:styleId="MenuOptions">
    <w:name w:val="Menu Options"/>
    <w:basedOn w:val="DefaultParagraphFont"/>
    <w:rsid w:val="00361C1E"/>
    <w:rPr>
      <w:rFonts w:ascii="Arial Narrow" w:hAnsi="Arial Narrow"/>
      <w:smallCaps/>
    </w:rPr>
  </w:style>
  <w:style w:type="character" w:customStyle="1" w:styleId="Buttons">
    <w:name w:val="Buttons"/>
    <w:basedOn w:val="DefaultParagraphFont"/>
    <w:rsid w:val="00361C1E"/>
    <w:rPr>
      <w:b/>
    </w:rPr>
  </w:style>
  <w:style w:type="character" w:customStyle="1" w:styleId="Underlined">
    <w:name w:val="Underlined"/>
    <w:basedOn w:val="DefaultParagraphFont"/>
    <w:rsid w:val="00361C1E"/>
    <w:rPr>
      <w:u w:val="single"/>
    </w:rPr>
  </w:style>
  <w:style w:type="paragraph" w:customStyle="1" w:styleId="TableBodyTextRight">
    <w:name w:val="Table Body Text Right"/>
    <w:basedOn w:val="TableBodyText"/>
    <w:rsid w:val="00361C1E"/>
    <w:pPr>
      <w:widowControl w:val="0"/>
      <w:autoSpaceDE w:val="0"/>
      <w:autoSpaceDN w:val="0"/>
      <w:adjustRightInd w:val="0"/>
      <w:jc w:val="right"/>
    </w:pPr>
    <w:rPr>
      <w:rFonts w:cs="Arial"/>
      <w:szCs w:val="18"/>
    </w:rPr>
  </w:style>
  <w:style w:type="paragraph" w:customStyle="1" w:styleId="CopyrightText">
    <w:name w:val="Copyright Text"/>
    <w:basedOn w:val="BodyText"/>
    <w:rsid w:val="00361C1E"/>
    <w:rPr>
      <w:sz w:val="18"/>
    </w:rPr>
  </w:style>
  <w:style w:type="paragraph" w:customStyle="1" w:styleId="BodySmallRight">
    <w:name w:val="Body Small Right"/>
    <w:basedOn w:val="BodyTextRight"/>
    <w:rsid w:val="00361C1E"/>
    <w:rPr>
      <w:sz w:val="18"/>
      <w:szCs w:val="18"/>
    </w:rPr>
  </w:style>
  <w:style w:type="paragraph" w:customStyle="1" w:styleId="MarginEdition">
    <w:name w:val="Margin Edition"/>
    <w:basedOn w:val="MarginNote"/>
    <w:rsid w:val="00361C1E"/>
    <w:pPr>
      <w:spacing w:before="0" w:after="0"/>
    </w:pPr>
    <w:rPr>
      <w:rFonts w:ascii="Times New Roman" w:hAnsi="Times New Roman"/>
      <w:color w:val="999999"/>
    </w:rPr>
  </w:style>
  <w:style w:type="paragraph" w:customStyle="1" w:styleId="Spacer">
    <w:name w:val="Spacer"/>
    <w:basedOn w:val="Normal"/>
    <w:rsid w:val="00361C1E"/>
    <w:rPr>
      <w:sz w:val="2"/>
      <w:szCs w:val="2"/>
    </w:rPr>
  </w:style>
  <w:style w:type="character" w:customStyle="1" w:styleId="Small">
    <w:name w:val="Small"/>
    <w:basedOn w:val="DefaultParagraphFont"/>
    <w:rsid w:val="00361C1E"/>
    <w:rPr>
      <w:sz w:val="16"/>
    </w:rPr>
  </w:style>
  <w:style w:type="paragraph" w:customStyle="1" w:styleId="WideTable">
    <w:name w:val="Wide Table"/>
    <w:basedOn w:val="Normal"/>
    <w:rsid w:val="00361C1E"/>
    <w:pPr>
      <w:ind w:left="-1418"/>
    </w:pPr>
    <w:rPr>
      <w:sz w:val="2"/>
      <w:szCs w:val="2"/>
    </w:rPr>
  </w:style>
  <w:style w:type="character" w:styleId="PageNumber">
    <w:name w:val="page number"/>
    <w:basedOn w:val="DefaultParagraphFont"/>
    <w:rsid w:val="00361C1E"/>
  </w:style>
  <w:style w:type="paragraph" w:styleId="Quote">
    <w:name w:val="Quote"/>
    <w:basedOn w:val="Heading1"/>
    <w:link w:val="QuoteChar"/>
    <w:qFormat/>
    <w:rsid w:val="00361C1E"/>
    <w:rPr>
      <w:b w:val="0"/>
      <w:sz w:val="72"/>
      <w:szCs w:val="72"/>
      <w:lang w:val="en-NZ"/>
    </w:rPr>
  </w:style>
  <w:style w:type="character" w:customStyle="1" w:styleId="QuoteChar">
    <w:name w:val="Quote Char"/>
    <w:basedOn w:val="DefaultParagraphFont"/>
    <w:link w:val="Quote"/>
    <w:rsid w:val="00361C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C1E"/>
    <w:pPr>
      <w:pageBreakBefore/>
    </w:pPr>
  </w:style>
  <w:style w:type="paragraph" w:customStyle="1" w:styleId="Border">
    <w:name w:val="Border"/>
    <w:basedOn w:val="Normal"/>
    <w:qFormat/>
    <w:rsid w:val="00361C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C1E"/>
    <w:rPr>
      <w:b/>
      <w:bCs/>
      <w:i/>
      <w:iCs/>
      <w:color w:val="auto"/>
    </w:rPr>
  </w:style>
  <w:style w:type="paragraph" w:styleId="IntenseQuote">
    <w:name w:val="Intense Quote"/>
    <w:basedOn w:val="Normal"/>
    <w:next w:val="Normal"/>
    <w:link w:val="IntenseQuoteChar"/>
    <w:uiPriority w:val="30"/>
    <w:qFormat/>
    <w:rsid w:val="00361C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C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C1E"/>
    <w:rPr>
      <w:smallCaps/>
      <w:color w:val="auto"/>
      <w:u w:val="single"/>
    </w:rPr>
  </w:style>
  <w:style w:type="character" w:styleId="IntenseReference">
    <w:name w:val="Intense Reference"/>
    <w:basedOn w:val="DefaultParagraphFont"/>
    <w:uiPriority w:val="32"/>
    <w:qFormat/>
    <w:rsid w:val="00361C1E"/>
    <w:rPr>
      <w:b/>
      <w:bCs/>
      <w:smallCaps/>
      <w:color w:val="auto"/>
      <w:spacing w:val="5"/>
      <w:u w:val="single"/>
    </w:rPr>
  </w:style>
  <w:style w:type="paragraph" w:customStyle="1" w:styleId="2ColumnHeading">
    <w:name w:val="2Column Heading"/>
    <w:basedOn w:val="BodyText"/>
    <w:qFormat/>
    <w:rsid w:val="00361C1E"/>
    <w:pPr>
      <w:spacing w:after="60"/>
      <w:ind w:left="-2268"/>
    </w:pPr>
    <w:rPr>
      <w:b/>
    </w:rPr>
  </w:style>
  <w:style w:type="paragraph" w:customStyle="1" w:styleId="Heading1TOC">
    <w:name w:val="Heading1 TOC"/>
    <w:basedOn w:val="Normal"/>
    <w:qFormat/>
    <w:rsid w:val="00361C1E"/>
    <w:pPr>
      <w:spacing w:before="240" w:after="120"/>
    </w:pPr>
    <w:rPr>
      <w:rFonts w:ascii="Times New Roman" w:hAnsi="Times New Roman"/>
      <w:b/>
      <w:sz w:val="32"/>
    </w:rPr>
  </w:style>
  <w:style w:type="paragraph" w:customStyle="1" w:styleId="Heading2TOC">
    <w:name w:val="Heading2 TOC"/>
    <w:basedOn w:val="Normal"/>
    <w:qFormat/>
    <w:rsid w:val="00361C1E"/>
    <w:pPr>
      <w:spacing w:before="240" w:after="60"/>
    </w:pPr>
    <w:rPr>
      <w:rFonts w:ascii="Times New Roman" w:hAnsi="Times New Roman"/>
      <w:b/>
      <w:sz w:val="28"/>
    </w:rPr>
  </w:style>
  <w:style w:type="character" w:customStyle="1" w:styleId="Underline">
    <w:name w:val="Underline"/>
    <w:basedOn w:val="DefaultParagraphFont"/>
    <w:qFormat/>
    <w:rsid w:val="00361C1E"/>
    <w:rPr>
      <w:u w:val="single"/>
    </w:rPr>
  </w:style>
  <w:style w:type="paragraph" w:styleId="BalloonText">
    <w:name w:val="Balloon Text"/>
    <w:basedOn w:val="Normal"/>
    <w:link w:val="BalloonTextChar"/>
    <w:rsid w:val="00361C1E"/>
    <w:rPr>
      <w:rFonts w:ascii="Tahoma" w:hAnsi="Tahoma" w:cs="Tahoma"/>
      <w:sz w:val="16"/>
      <w:szCs w:val="16"/>
    </w:rPr>
  </w:style>
  <w:style w:type="character" w:customStyle="1" w:styleId="BalloonTextChar">
    <w:name w:val="Balloon Text Char"/>
    <w:basedOn w:val="DefaultParagraphFont"/>
    <w:link w:val="BalloonText"/>
    <w:rsid w:val="00361C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C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1C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C1E"/>
    <w:rPr>
      <w:b/>
      <w:color w:val="660033"/>
      <w:spacing w:val="0"/>
    </w:rPr>
  </w:style>
  <w:style w:type="paragraph" w:customStyle="1" w:styleId="Nameditemlist">
    <w:name w:val="Named item list"/>
    <w:basedOn w:val="BodyText"/>
    <w:qFormat/>
    <w:rsid w:val="00361C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1170</Words>
  <Characters>7888</Characters>
  <Application>Microsoft Office Word</Application>
  <DocSecurity>0</DocSecurity>
  <Lines>282</Lines>
  <Paragraphs>154</Paragraphs>
  <ScaleCrop>false</ScaleCrop>
  <Company>Author-it Software Corporation Ltd.</Company>
  <LinksUpToDate>false</LinksUpToDate>
  <CharactersWithSpaces>8985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FNSSMS504A Meet self-managed superannuation fund compliance requirements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2012-10-05T08:09:00Z</dcterms:created>
  <dcterms:modified xsi:type="dcterms:W3CDTF">2012-10-05T08:09:00Z</dcterms:modified>
</cp:coreProperties>
</file>