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99C" w:rsidP="0033499C">
      <w:pPr>
        <w:pStyle w:val="Title"/>
      </w:pPr>
      <w:r>
        <w:fldChar w:fldCharType="begin"/>
      </w:r>
      <w:r>
        <w:instrText xml:space="preserve"> TITLE   \* MERGEFORMAT </w:instrText>
      </w:r>
      <w:r>
        <w:fldChar w:fldCharType="separate"/>
      </w:r>
      <w:r>
        <w:t>FNSRTS309A Maintain main bank account</w:t>
      </w:r>
      <w:r>
        <w:fldChar w:fldCharType="end"/>
      </w:r>
    </w:p>
    <w:p w:rsidR="0033499C" w:rsidP="0033499C">
      <w:pPr>
        <w:pStyle w:val="Version"/>
        <w:sectPr w:rsidSect="00111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1C5F" w:rsidP="00111C5F">
      <w:pPr>
        <w:pStyle w:val="SuperHeading"/>
      </w:pPr>
      <w:r w:rsidRPr="00111C5F">
        <w:t>FNSRTS309A Maintain main bank account</w:t>
      </w:r>
    </w:p>
    <w:p w:rsidR="00000000" w:rsidRPr="00111C5F" w:rsidP="00111C5F">
      <w:pPr>
        <w:pStyle w:val="SuperHeading"/>
      </w:pPr>
    </w:p>
    <w:p w:rsidR="00000000" w:rsidRPr="00111C5F" w:rsidP="00111C5F">
      <w:pPr>
        <w:pStyle w:val="Heading1"/>
      </w:pPr>
      <w:bookmarkStart w:id="1" w:name="O_80559"/>
      <w:bookmarkEnd w:id="1"/>
      <w:r w:rsidRPr="00111C5F">
        <w:t>Modification History</w:t>
      </w:r>
    </w:p>
    <w:p w:rsidR="00000000" w:rsidRPr="00111C5F" w:rsidP="00111C5F">
      <w:pPr>
        <w:pStyle w:val="BodyText"/>
      </w:pPr>
      <w:r w:rsidRPr="00111C5F">
        <w:t>Not applicable.</w:t>
      </w:r>
    </w:p>
    <w:p w:rsidR="00000000" w:rsidRPr="00111C5F" w:rsidP="00111C5F">
      <w:pPr>
        <w:pStyle w:val="AllowPageBreak"/>
      </w:pPr>
    </w:p>
    <w:p w:rsidR="00000000" w:rsidRPr="00111C5F" w:rsidP="00111C5F">
      <w:pPr>
        <w:pStyle w:val="Heading1"/>
      </w:pPr>
      <w:bookmarkStart w:id="2" w:name="O_80560"/>
      <w:bookmarkEnd w:id="2"/>
      <w:r w:rsidRPr="00111C5F">
        <w:t>Unit Descriptor</w:t>
      </w:r>
    </w:p>
    <w:tbl>
      <w:tblPr>
        <w:tblW w:w="0" w:type="auto"/>
        <w:tblLayout w:type="fixed"/>
        <w:tblCellMar>
          <w:left w:w="62" w:type="dxa"/>
          <w:right w:w="62" w:type="dxa"/>
        </w:tblCellMar>
        <w:tblLook w:val="0000"/>
      </w:tblPr>
      <w:tblGrid>
        <w:gridCol w:w="2646"/>
        <w:gridCol w:w="5876"/>
      </w:tblGrid>
      <w:tr w:rsidTr="0033499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t>This unit describes the performance outcomes, skills and knowledge required to analyse, verify and proc</w:t>
            </w:r>
            <w:r w:rsidRPr="00111C5F">
              <w:t>ess credit and debit transactions and prepare reconciliation reports.</w:t>
            </w:r>
          </w:p>
          <w:p w:rsidR="00000000" w:rsidRPr="00111C5F" w:rsidP="00111C5F">
            <w:pPr>
              <w:pStyle w:val="BodyText"/>
            </w:pPr>
          </w:p>
          <w:p w:rsidR="00000000" w:rsidRPr="00111C5F" w:rsidP="00111C5F">
            <w:pPr>
              <w:pStyle w:val="BodyText"/>
            </w:pPr>
            <w:r w:rsidRPr="00111C5F">
              <w:t>No licensing, legislative, regulatory or certification requirements apply to this unit at the time of endorsement.</w:t>
            </w: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3" w:name="O_80561"/>
      <w:bookmarkEnd w:id="3"/>
      <w:r w:rsidRPr="00111C5F">
        <w:t>Application of the Unit</w:t>
      </w:r>
    </w:p>
    <w:tbl>
      <w:tblPr>
        <w:tblW w:w="0" w:type="auto"/>
        <w:tblLayout w:type="fixed"/>
        <w:tblCellMar>
          <w:left w:w="62" w:type="dxa"/>
          <w:right w:w="62" w:type="dxa"/>
        </w:tblCellMar>
        <w:tblLook w:val="0000"/>
      </w:tblPr>
      <w:tblGrid>
        <w:gridCol w:w="2721"/>
        <w:gridCol w:w="5801"/>
      </w:tblGrid>
      <w:tr w:rsidTr="0033499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t>This unit may apply to a range of back office job roles in financial and other organisations of various sizes.</w:t>
            </w: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4" w:name="O_80562"/>
      <w:bookmarkEnd w:id="4"/>
      <w:r w:rsidRPr="00111C5F">
        <w:t>Licensing/Regulatory Information</w:t>
      </w:r>
    </w:p>
    <w:p w:rsidR="00000000" w:rsidRPr="00111C5F" w:rsidP="00111C5F">
      <w:pPr>
        <w:pStyle w:val="BodyText"/>
      </w:pPr>
      <w:r w:rsidRPr="00111C5F">
        <w:t>Not applicable.</w:t>
      </w:r>
    </w:p>
    <w:p w:rsidR="00000000" w:rsidRPr="00111C5F" w:rsidP="00111C5F">
      <w:pPr>
        <w:pStyle w:val="AllowPageBreak"/>
      </w:pPr>
    </w:p>
    <w:p w:rsidR="00000000" w:rsidRPr="00111C5F" w:rsidP="00111C5F">
      <w:pPr>
        <w:pStyle w:val="Heading1"/>
      </w:pPr>
      <w:bookmarkStart w:id="5" w:name="O_80563"/>
      <w:bookmarkEnd w:id="5"/>
      <w:r w:rsidRPr="00111C5F">
        <w:t>Pre-Requisites</w:t>
      </w:r>
    </w:p>
    <w:tbl>
      <w:tblPr>
        <w:tblW w:w="0" w:type="auto"/>
        <w:tblLayout w:type="fixed"/>
        <w:tblCellMar>
          <w:left w:w="62" w:type="dxa"/>
          <w:right w:w="62" w:type="dxa"/>
        </w:tblCellMar>
        <w:tblLook w:val="0000"/>
      </w:tblPr>
      <w:tblGrid>
        <w:gridCol w:w="2745"/>
        <w:gridCol w:w="1301"/>
        <w:gridCol w:w="4476"/>
      </w:tblGrid>
      <w:tr w:rsidTr="0033499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p>
        </w:tc>
      </w:tr>
      <w:tr w:rsidTr="0033499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p>
        </w:tc>
      </w:tr>
      <w:tr w:rsidTr="0033499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6" w:name="O_80564"/>
      <w:bookmarkEnd w:id="6"/>
      <w:r w:rsidRPr="00111C5F">
        <w:t>Employability Skills Information</w:t>
      </w:r>
    </w:p>
    <w:tbl>
      <w:tblPr>
        <w:tblW w:w="0" w:type="auto"/>
        <w:tblLayout w:type="fixed"/>
        <w:tblCellMar>
          <w:left w:w="62" w:type="dxa"/>
          <w:right w:w="62" w:type="dxa"/>
        </w:tblCellMar>
        <w:tblLook w:val="0000"/>
      </w:tblPr>
      <w:tblGrid>
        <w:gridCol w:w="2762"/>
        <w:gridCol w:w="5760"/>
      </w:tblGrid>
      <w:tr w:rsidTr="0033499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t>This unit contains employability skills.</w:t>
            </w: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7" w:name="O_80565"/>
      <w:bookmarkEnd w:id="7"/>
      <w:r w:rsidRPr="00111C5F">
        <w:t>Elements and Performance Criteria Pre-Content</w:t>
      </w:r>
    </w:p>
    <w:tbl>
      <w:tblPr>
        <w:tblW w:w="0" w:type="auto"/>
        <w:tblLayout w:type="fixed"/>
        <w:tblCellMar>
          <w:left w:w="62" w:type="dxa"/>
          <w:right w:w="62" w:type="dxa"/>
        </w:tblCellMar>
        <w:tblLook w:val="0000"/>
      </w:tblPr>
      <w:tblGrid>
        <w:gridCol w:w="2568"/>
        <w:gridCol w:w="5954"/>
      </w:tblGrid>
      <w:tr w:rsidTr="0033499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t>Performance criteria describe the performance needed to demonstrate achievement of the element. Where bold italicised text is used, further information is detailed in the required skills and knowledge section and the range statement. Assessment of performa</w:t>
            </w:r>
            <w:r w:rsidRPr="00111C5F">
              <w:t>nce is to be consistent with the evidence guide.</w:t>
            </w: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8" w:name="O_80566"/>
      <w:bookmarkEnd w:id="8"/>
      <w:r w:rsidRPr="00111C5F">
        <w:t>Elements and Performance Criteria</w:t>
      </w:r>
    </w:p>
    <w:tbl>
      <w:tblPr>
        <w:tblW w:w="0" w:type="auto"/>
        <w:tblLayout w:type="fixed"/>
        <w:tblCellMar>
          <w:left w:w="62" w:type="dxa"/>
          <w:right w:w="62" w:type="dxa"/>
        </w:tblCellMar>
        <w:tblLook w:val="0000"/>
      </w:tblPr>
      <w:tblGrid>
        <w:gridCol w:w="2568"/>
        <w:gridCol w:w="5954"/>
      </w:tblGrid>
      <w:tr w:rsidTr="0033499C">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PERFORMANCE CRITERIA</w:t>
            </w:r>
          </w:p>
        </w:tc>
      </w:tr>
      <w:tr w:rsidTr="0033499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List"/>
              <w:rPr>
                <w:lang w:val="en-NZ"/>
              </w:rPr>
            </w:pPr>
            <w:r w:rsidRPr="00111C5F">
              <w:t>1.</w:t>
            </w:r>
            <w:r w:rsidRPr="00111C5F">
              <w:tab/>
              <w:t>Perform analysis of transactions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List2"/>
            </w:pPr>
            <w:r w:rsidRPr="00111C5F">
              <w:t>1.1.</w:t>
            </w:r>
            <w:r w:rsidRPr="00111C5F">
              <w:tab/>
            </w:r>
            <w:r w:rsidRPr="00111C5F">
              <w:t xml:space="preserve">Teller bankings are reconciled to daily amounts recorded in Statements, in accordance with </w:t>
            </w:r>
            <w:r w:rsidRPr="00111C5F">
              <w:rPr>
                <w:rStyle w:val="BoldandItalics"/>
              </w:rPr>
              <w:t>organisation policies and procedures</w:t>
            </w:r>
            <w:r w:rsidRPr="00111C5F">
              <w:t xml:space="preserve"> and relevant </w:t>
            </w:r>
            <w:r w:rsidRPr="00111C5F">
              <w:rPr>
                <w:rStyle w:val="BoldandItalics"/>
              </w:rPr>
              <w:t>legislative and compliance requirements</w:t>
            </w:r>
          </w:p>
          <w:p w:rsidR="00000000" w:rsidRPr="00111C5F" w:rsidP="00111C5F">
            <w:pPr>
              <w:pStyle w:val="List2"/>
            </w:pPr>
            <w:r w:rsidRPr="00111C5F">
              <w:t>1.2.</w:t>
            </w:r>
            <w:r w:rsidRPr="00111C5F">
              <w:tab/>
              <w:t xml:space="preserve">Presented cheques, </w:t>
            </w:r>
            <w:r w:rsidRPr="00111C5F">
              <w:rPr>
                <w:rStyle w:val="BoldandItalics"/>
              </w:rPr>
              <w:t>other credit and other debits</w:t>
            </w:r>
            <w:r w:rsidRPr="00111C5F">
              <w:t xml:space="preserve"> are identified and ac</w:t>
            </w:r>
            <w:r w:rsidRPr="00111C5F">
              <w:t xml:space="preserve">tioned according to the organisation policies and procedures and </w:t>
            </w:r>
            <w:r w:rsidRPr="00111C5F">
              <w:rPr>
                <w:rStyle w:val="BoldandItalics"/>
              </w:rPr>
              <w:t>general ledger</w:t>
            </w:r>
            <w:r w:rsidRPr="00111C5F">
              <w:t xml:space="preserve"> entries are charged appropriately</w:t>
            </w:r>
          </w:p>
          <w:p w:rsidR="00000000" w:rsidP="00111C5F">
            <w:pPr>
              <w:pStyle w:val="List2"/>
              <w:rPr>
                <w:lang w:val="en-NZ"/>
              </w:rPr>
            </w:pPr>
            <w:r w:rsidRPr="00111C5F">
              <w:t>1.3.</w:t>
            </w:r>
            <w:r w:rsidRPr="00111C5F">
              <w:tab/>
              <w:t>Errors and discrepancies are rectified in a timely manner and all entries on daily bank statements actioned and followed up as appropriat</w:t>
            </w:r>
            <w:r w:rsidRPr="00111C5F">
              <w:t>e</w:t>
            </w:r>
          </w:p>
        </w:tc>
      </w:tr>
      <w:tr w:rsidTr="0033499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List"/>
              <w:rPr>
                <w:lang w:val="en-NZ"/>
              </w:rPr>
            </w:pPr>
            <w:r w:rsidRPr="00111C5F">
              <w:t>2.</w:t>
            </w:r>
            <w:r w:rsidRPr="00111C5F">
              <w:tab/>
              <w:t>Analyse corporate cheques outstanding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List2"/>
            </w:pPr>
            <w:r w:rsidRPr="00111C5F">
              <w:t>2.1.</w:t>
            </w:r>
            <w:r w:rsidRPr="00111C5F">
              <w:tab/>
            </w:r>
            <w:r w:rsidRPr="00111C5F">
              <w:rPr>
                <w:rStyle w:val="BoldandItalics"/>
              </w:rPr>
              <w:t>Exceptions</w:t>
            </w:r>
            <w:r w:rsidRPr="00111C5F">
              <w:t xml:space="preserve"> reports are generated and exceptions are identified, investigated and actioned in a timely manner</w:t>
            </w:r>
          </w:p>
          <w:p w:rsidR="00000000" w:rsidP="00111C5F">
            <w:pPr>
              <w:pStyle w:val="List2"/>
              <w:rPr>
                <w:lang w:val="en-NZ"/>
              </w:rPr>
            </w:pPr>
            <w:r w:rsidRPr="00111C5F">
              <w:t>2.2.</w:t>
            </w:r>
            <w:r w:rsidRPr="00111C5F">
              <w:tab/>
            </w:r>
            <w:r w:rsidRPr="00111C5F">
              <w:rPr>
                <w:rStyle w:val="BoldandItalics"/>
              </w:rPr>
              <w:t>Stale cheques</w:t>
            </w:r>
            <w:r w:rsidRPr="00111C5F">
              <w:t xml:space="preserve"> are identified and acted upon according to organisational policies and procedur</w:t>
            </w:r>
            <w:r w:rsidRPr="00111C5F">
              <w:t>es</w:t>
            </w:r>
          </w:p>
        </w:tc>
      </w:tr>
      <w:tr w:rsidTr="0033499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List"/>
              <w:rPr>
                <w:lang w:val="en-NZ"/>
              </w:rPr>
            </w:pPr>
            <w:r w:rsidRPr="00111C5F">
              <w:t>3.</w:t>
            </w:r>
            <w:r w:rsidRPr="00111C5F">
              <w:tab/>
              <w:t>Complete reconciliations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List2"/>
            </w:pPr>
            <w:r w:rsidRPr="00111C5F">
              <w:t>3.1.</w:t>
            </w:r>
            <w:r w:rsidRPr="00111C5F">
              <w:tab/>
              <w:t xml:space="preserve">Reconciliation is completed in an accurate and timely manner with any imbalances identified and rectified </w:t>
            </w:r>
          </w:p>
          <w:p w:rsidR="00000000" w:rsidRPr="00111C5F" w:rsidP="00111C5F">
            <w:pPr>
              <w:pStyle w:val="List2"/>
            </w:pPr>
            <w:r w:rsidRPr="00111C5F">
              <w:t>3.2.</w:t>
            </w:r>
            <w:r w:rsidRPr="00111C5F">
              <w:tab/>
              <w:t xml:space="preserve">Appropriate liaison with customers and bank personnel is undertaken as necessary </w:t>
            </w: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9" w:name="O_80567"/>
      <w:bookmarkEnd w:id="9"/>
      <w:r w:rsidRPr="00111C5F">
        <w:t>Required Skills and Knowledge</w:t>
      </w:r>
    </w:p>
    <w:tbl>
      <w:tblPr>
        <w:tblW w:w="0" w:type="auto"/>
        <w:tblLayout w:type="fixed"/>
        <w:tblCellMar>
          <w:left w:w="62" w:type="dxa"/>
          <w:right w:w="62" w:type="dxa"/>
        </w:tblCellMar>
        <w:tblLook w:val="0000"/>
      </w:tblPr>
      <w:tblGrid>
        <w:gridCol w:w="8522"/>
      </w:tblGrid>
      <w:tr w:rsidTr="003349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REQUIRED SKILLS AND KNOWLEDGE</w:t>
            </w:r>
          </w:p>
        </w:tc>
      </w:tr>
      <w:tr w:rsidTr="003349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t>This section describes the skills and knowledge required for this unit.</w:t>
            </w:r>
          </w:p>
        </w:tc>
      </w:tr>
      <w:tr w:rsidTr="00334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Required skills</w:t>
            </w:r>
          </w:p>
        </w:tc>
      </w:tr>
      <w:tr w:rsidTr="00334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ListBullet"/>
            </w:pPr>
            <w:r w:rsidRPr="00111C5F">
              <w:t>communication skills to:</w:t>
            </w:r>
          </w:p>
          <w:p w:rsidR="00000000" w:rsidRPr="00111C5F" w:rsidP="00111C5F">
            <w:pPr>
              <w:pStyle w:val="ListBullet2"/>
            </w:pPr>
            <w:r w:rsidRPr="00111C5F">
              <w:t>determine and confirm teller banking requirements, using questioning and active listening as required</w:t>
            </w:r>
          </w:p>
          <w:p w:rsidR="00000000" w:rsidRPr="00111C5F" w:rsidP="00111C5F">
            <w:pPr>
              <w:pStyle w:val="ListBullet2"/>
            </w:pPr>
            <w:r w:rsidRPr="00111C5F">
              <w:t>deal with customers and staff</w:t>
            </w:r>
          </w:p>
          <w:p w:rsidR="00000000" w:rsidRPr="00111C5F" w:rsidP="00111C5F">
            <w:pPr>
              <w:pStyle w:val="ListBullet2"/>
            </w:pPr>
            <w:r w:rsidRPr="00111C5F">
              <w:t>liaise with others, share information, listen and understand</w:t>
            </w:r>
          </w:p>
          <w:p w:rsidR="00000000" w:rsidRPr="00111C5F" w:rsidP="00111C5F">
            <w:pPr>
              <w:pStyle w:val="ListBullet2"/>
            </w:pPr>
            <w:r w:rsidRPr="00111C5F">
              <w:t>use language and concepts appropriate to cultural differences</w:t>
            </w:r>
          </w:p>
          <w:p w:rsidR="00000000" w:rsidRPr="00111C5F" w:rsidP="00111C5F">
            <w:pPr>
              <w:pStyle w:val="ListBullet"/>
            </w:pPr>
            <w:r w:rsidRPr="00111C5F">
              <w:t>numeracy and IT skills to:</w:t>
            </w:r>
          </w:p>
          <w:p w:rsidR="00000000" w:rsidRPr="00111C5F" w:rsidP="00111C5F">
            <w:pPr>
              <w:pStyle w:val="ListBullet2"/>
            </w:pPr>
            <w:r w:rsidRPr="00111C5F">
              <w:t>calculate and reconcile non-cash takings</w:t>
            </w:r>
          </w:p>
          <w:p w:rsidR="00000000" w:rsidRPr="00111C5F" w:rsidP="00111C5F">
            <w:pPr>
              <w:pStyle w:val="ListBullet2"/>
            </w:pPr>
            <w:r w:rsidRPr="00111C5F">
              <w:t>check teller calculations</w:t>
            </w:r>
          </w:p>
          <w:p w:rsidR="00000000" w:rsidRPr="00111C5F" w:rsidP="00111C5F">
            <w:pPr>
              <w:pStyle w:val="ListBullet2"/>
            </w:pPr>
            <w:r w:rsidRPr="00111C5F">
              <w:t>access  and use computer-based databases and spreadsheets</w:t>
            </w:r>
          </w:p>
          <w:p w:rsidR="00000000" w:rsidRPr="00111C5F" w:rsidP="00111C5F">
            <w:pPr>
              <w:pStyle w:val="ListBullet"/>
            </w:pPr>
            <w:r w:rsidRPr="00111C5F">
              <w:t>problem solving skills to address errors and discrepancies</w:t>
            </w:r>
          </w:p>
          <w:p w:rsidR="00000000" w:rsidRPr="00111C5F" w:rsidP="00111C5F">
            <w:pPr>
              <w:pStyle w:val="ListBullet"/>
            </w:pPr>
            <w:r w:rsidRPr="00111C5F">
              <w:t>literacy skills to:</w:t>
            </w:r>
          </w:p>
          <w:p w:rsidR="00000000" w:rsidRPr="00111C5F" w:rsidP="00111C5F">
            <w:pPr>
              <w:pStyle w:val="ListBullet2"/>
            </w:pPr>
            <w:r w:rsidRPr="00111C5F">
              <w:t>read documents</w:t>
            </w:r>
          </w:p>
          <w:p w:rsidR="00000000" w:rsidRPr="00111C5F" w:rsidP="00111C5F">
            <w:pPr>
              <w:pStyle w:val="ListBullet2"/>
            </w:pPr>
            <w:r w:rsidRPr="00111C5F">
              <w:t>complet</w:t>
            </w:r>
            <w:r w:rsidRPr="00111C5F">
              <w:t>e forms and records accurately</w:t>
            </w:r>
          </w:p>
          <w:p w:rsidR="00000000" w:rsidRPr="00111C5F" w:rsidP="00111C5F">
            <w:pPr>
              <w:pStyle w:val="ListBullet2"/>
            </w:pPr>
            <w:r w:rsidRPr="00111C5F">
              <w:t>draft reports</w:t>
            </w:r>
          </w:p>
          <w:p w:rsidR="00000000" w:rsidRPr="00111C5F" w:rsidP="00111C5F">
            <w:pPr>
              <w:pStyle w:val="ListBullet"/>
            </w:pPr>
            <w:r w:rsidRPr="00111C5F">
              <w:t>organisational skills, including the ability to plan and sequence work</w:t>
            </w:r>
          </w:p>
          <w:p w:rsidR="00000000" w:rsidRPr="00111C5F" w:rsidP="00111C5F">
            <w:pPr>
              <w:pStyle w:val="ListBullet"/>
            </w:pPr>
            <w:r w:rsidRPr="00111C5F">
              <w:t>teamwork skills to work cooperatively with others</w:t>
            </w:r>
          </w:p>
          <w:p w:rsidR="00000000" w:rsidP="00111C5F">
            <w:pPr>
              <w:pStyle w:val="ListBullet"/>
              <w:rPr>
                <w:lang w:val="en-NZ"/>
              </w:rPr>
            </w:pPr>
            <w:r w:rsidRPr="00111C5F">
              <w:t>self-management skills for complying with organisational procedures and requirements</w:t>
            </w:r>
          </w:p>
        </w:tc>
      </w:tr>
      <w:tr w:rsidTr="00334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Required knowledge</w:t>
            </w:r>
          </w:p>
        </w:tc>
      </w:tr>
      <w:tr w:rsidTr="00334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ListBullet"/>
            </w:pPr>
            <w:r w:rsidRPr="00111C5F">
              <w:t>teller and banking processes</w:t>
            </w:r>
          </w:p>
          <w:p w:rsidR="00000000" w:rsidRPr="00111C5F" w:rsidP="00111C5F">
            <w:pPr>
              <w:pStyle w:val="ListBullet"/>
            </w:pPr>
            <w:r w:rsidRPr="00111C5F">
              <w:t>relevant legislation impacting on banking processes</w:t>
            </w:r>
          </w:p>
          <w:p w:rsidR="00000000" w:rsidRPr="00111C5F" w:rsidP="00111C5F">
            <w:pPr>
              <w:pStyle w:val="ListBullet"/>
            </w:pPr>
            <w:r w:rsidRPr="00111C5F">
              <w:t>the range and type of government and non-government charges affecting bank accounts</w:t>
            </w: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10" w:name="O_80568"/>
      <w:bookmarkEnd w:id="10"/>
      <w:r w:rsidRPr="00111C5F">
        <w:t>Evidence Guide</w:t>
      </w:r>
    </w:p>
    <w:tbl>
      <w:tblPr>
        <w:tblW w:w="9570" w:type="dxa"/>
        <w:tblLayout w:type="fixed"/>
        <w:tblCellMar>
          <w:left w:w="62" w:type="dxa"/>
          <w:right w:w="62" w:type="dxa"/>
        </w:tblCellMar>
        <w:tblLook w:val="0000"/>
      </w:tblPr>
      <w:tblGrid>
        <w:gridCol w:w="2808"/>
        <w:gridCol w:w="6762"/>
      </w:tblGrid>
      <w:tr w:rsidTr="003349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EVIDENCE GUIDE</w:t>
            </w:r>
          </w:p>
        </w:tc>
      </w:tr>
      <w:tr w:rsidTr="003349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t>The Evidence Guide provides advice on assessment and must be read in conjunction with the performance criteria, required skills and knowledge, range statement and the Assessment Guidelines for the Training Package.</w:t>
            </w:r>
          </w:p>
        </w:tc>
      </w:tr>
      <w:tr w:rsidTr="003349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p>
        </w:tc>
      </w:tr>
      <w:tr w:rsidTr="003349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Critical aspec</w:t>
            </w:r>
            <w:r w:rsidRPr="00111C5F">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t>Evidence of the ability to:</w:t>
            </w:r>
          </w:p>
          <w:p w:rsidR="00000000" w:rsidRPr="00111C5F" w:rsidP="00111C5F">
            <w:pPr>
              <w:pStyle w:val="ListBullet"/>
            </w:pPr>
            <w:r w:rsidRPr="00111C5F">
              <w:t>thoroughly check transaction details and reconciliation reports</w:t>
            </w:r>
          </w:p>
          <w:p w:rsidR="00000000" w:rsidRPr="00111C5F" w:rsidP="00111C5F">
            <w:pPr>
              <w:pStyle w:val="ListBullet"/>
            </w:pPr>
            <w:r w:rsidRPr="00111C5F">
              <w:t>interpret and apply relevant legislation</w:t>
            </w:r>
          </w:p>
          <w:p w:rsidR="00000000" w:rsidP="00111C5F">
            <w:pPr>
              <w:pStyle w:val="ListBullet"/>
              <w:rPr>
                <w:lang w:val="en-NZ"/>
              </w:rPr>
            </w:pPr>
            <w:r w:rsidRPr="00111C5F">
              <w:t>effectively apply bank account reconciliati</w:t>
            </w:r>
            <w:r w:rsidRPr="00111C5F">
              <w:t>on processes.</w:t>
            </w:r>
          </w:p>
        </w:tc>
      </w:tr>
      <w:tr w:rsidTr="003349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t>Assessment must ensure:</w:t>
            </w:r>
          </w:p>
          <w:p w:rsidR="00000000" w:rsidRPr="00111C5F" w:rsidP="00111C5F">
            <w:pPr>
              <w:pStyle w:val="ListBullet"/>
            </w:pPr>
            <w:r w:rsidRPr="00111C5F">
              <w:t xml:space="preserve">competency is demonstrated in the context of the financial services work environment and conditions specified in the range statement either in a relevant workplace or </w:t>
            </w:r>
            <w:r w:rsidRPr="00111C5F">
              <w:t>a closely simulated work environment</w:t>
            </w:r>
          </w:p>
          <w:p w:rsidR="00000000" w:rsidP="00111C5F">
            <w:pPr>
              <w:pStyle w:val="ListBullet"/>
              <w:rPr>
                <w:lang w:val="en-NZ"/>
              </w:rPr>
            </w:pPr>
            <w:r w:rsidRPr="00111C5F">
              <w:t>access to and the use of a range of common office equipment, technology, software and consumables.</w:t>
            </w:r>
          </w:p>
        </w:tc>
      </w:tr>
      <w:tr w:rsidTr="003349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t>A range of assessment methods should be used to assess practical skills and knowledge. The followi</w:t>
            </w:r>
            <w:r w:rsidRPr="00111C5F">
              <w:t>ng examples, in combination, are appropriate for this unit:</w:t>
            </w:r>
          </w:p>
          <w:p w:rsidR="00000000" w:rsidRPr="00111C5F" w:rsidP="00111C5F">
            <w:pPr>
              <w:pStyle w:val="ListBullet"/>
            </w:pPr>
            <w:r w:rsidRPr="00111C5F">
              <w:t>evaluating an integrated activity which combines the elements of competency for the unit or a cluster of related units of competency</w:t>
            </w:r>
          </w:p>
          <w:p w:rsidR="00000000" w:rsidRPr="00111C5F" w:rsidP="00111C5F">
            <w:pPr>
              <w:pStyle w:val="ListBullet"/>
            </w:pPr>
            <w:r w:rsidRPr="00111C5F">
              <w:t>verbal or written questioning on underpinning knowledge and sk</w:t>
            </w:r>
            <w:r w:rsidRPr="00111C5F">
              <w:t xml:space="preserve">ills </w:t>
            </w:r>
          </w:p>
          <w:p w:rsidR="00000000" w:rsidRPr="00111C5F" w:rsidP="00111C5F">
            <w:pPr>
              <w:pStyle w:val="ListBullet"/>
            </w:pPr>
            <w:r w:rsidRPr="00111C5F">
              <w:t>evaluating samples of work</w:t>
            </w:r>
          </w:p>
          <w:p w:rsidR="00000000" w:rsidP="00111C5F">
            <w:pPr>
              <w:pStyle w:val="ListBullet"/>
              <w:rPr>
                <w:lang w:val="en-NZ"/>
              </w:rPr>
            </w:pPr>
            <w:r w:rsidRPr="00111C5F">
              <w:t>accessing and validating third party reports.</w:t>
            </w:r>
          </w:p>
        </w:tc>
      </w:tr>
      <w:tr w:rsidTr="0033499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11" w:name="O_80569"/>
      <w:bookmarkEnd w:id="11"/>
      <w:r w:rsidRPr="00111C5F">
        <w:t>Range Statement</w:t>
      </w:r>
    </w:p>
    <w:tbl>
      <w:tblPr>
        <w:tblW w:w="0" w:type="auto"/>
        <w:tblLayout w:type="fixed"/>
        <w:tblCellMar>
          <w:left w:w="62" w:type="dxa"/>
          <w:right w:w="62" w:type="dxa"/>
        </w:tblCellMar>
        <w:tblLook w:val="0000"/>
      </w:tblPr>
      <w:tblGrid>
        <w:gridCol w:w="2525"/>
        <w:gridCol w:w="5997"/>
      </w:tblGrid>
      <w:tr w:rsidTr="003349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RANGE STATEMENT</w:t>
            </w:r>
          </w:p>
        </w:tc>
      </w:tr>
      <w:tr w:rsidTr="003349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t>The range statement relates to the unit of competency as a whole. It allows for different work environments and situations that may affect performance. Bold italicised wording, if used in the performance criteria, is detailed below. Essential operating con</w:t>
            </w:r>
            <w:r w:rsidRPr="00111C5F">
              <w:t>ditions that may be present with training and assessment (depending on the work situation, needs of the candidate, accessibility of the item, and local industry and regional contexts) may also be included.</w:t>
            </w:r>
          </w:p>
        </w:tc>
      </w:tr>
      <w:tr w:rsidTr="0033499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BoldandItalics"/>
              </w:rPr>
              <w:t>Organisation policies</w:t>
            </w:r>
            <w:r w:rsidRPr="00111C5F">
              <w:t xml:space="preserve">, </w:t>
            </w:r>
            <w:r w:rsidRPr="00111C5F">
              <w:rPr>
                <w:rStyle w:val="BoldandItalics"/>
              </w:rPr>
              <w:t>procedures and practises</w:t>
            </w:r>
            <w:r w:rsidRPr="00111C5F">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ListBullet"/>
              <w:rPr>
                <w:lang w:val="en-NZ"/>
              </w:rPr>
            </w:pPr>
            <w:r w:rsidRPr="00111C5F">
              <w:t>established policies and procedures relating to preparation of reconciliation reports.</w:t>
            </w:r>
          </w:p>
        </w:tc>
      </w:tr>
      <w:tr w:rsidTr="0033499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BoldandItalics"/>
              </w:rPr>
              <w:t>Relevant legislation and compliance requirements</w:t>
            </w:r>
            <w:r w:rsidRPr="00111C5F">
              <w:t xml:space="preserve"> may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ListBullet"/>
            </w:pPr>
            <w:r w:rsidRPr="00111C5F">
              <w:t>Consumer Credit Code</w:t>
            </w:r>
          </w:p>
          <w:p w:rsidR="00000000" w:rsidRPr="00111C5F" w:rsidP="00111C5F">
            <w:pPr>
              <w:pStyle w:val="ListBullet"/>
            </w:pPr>
            <w:r w:rsidRPr="00111C5F">
              <w:t>Privacy Act</w:t>
            </w:r>
          </w:p>
          <w:p w:rsidR="00000000" w:rsidP="00111C5F">
            <w:pPr>
              <w:pStyle w:val="ListBullet"/>
              <w:rPr>
                <w:lang w:val="en-NZ"/>
              </w:rPr>
            </w:pPr>
            <w:r w:rsidRPr="00111C5F">
              <w:t>industry codes of practice.</w:t>
            </w:r>
          </w:p>
        </w:tc>
      </w:tr>
      <w:tr w:rsidTr="0033499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BoldandItalics"/>
              </w:rPr>
              <w:t>Other credits and other debi</w:t>
            </w:r>
            <w:r w:rsidRPr="00111C5F">
              <w:rPr>
                <w:rStyle w:val="BoldandItalics"/>
              </w:rPr>
              <w:t>ts</w:t>
            </w:r>
            <w:r w:rsidRPr="00111C5F">
              <w:t xml:space="preserve"> are: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ListBullet"/>
              <w:rPr>
                <w:lang w:val="en-NZ"/>
              </w:rPr>
            </w:pPr>
            <w:r w:rsidRPr="00111C5F">
              <w:t>any transactions, either direct or indirect in nature, other than presented cheques which need to be recorded.</w:t>
            </w:r>
          </w:p>
        </w:tc>
      </w:tr>
      <w:tr w:rsidTr="0033499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BoldandItalics"/>
              </w:rPr>
              <w:t>General ledger entries</w:t>
            </w:r>
            <w:r w:rsidRPr="00111C5F">
              <w:t xml:space="preserve"> include: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ListBullet"/>
              <w:rPr>
                <w:lang w:val="en-NZ"/>
              </w:rPr>
            </w:pPr>
            <w:r w:rsidRPr="00111C5F">
              <w:t>the recording of fees, taxes and direct debits</w:t>
            </w:r>
          </w:p>
        </w:tc>
      </w:tr>
      <w:tr w:rsidTr="0033499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BoldandItalics"/>
              </w:rPr>
              <w:t>Exceptions</w:t>
            </w:r>
            <w:r w:rsidRPr="00111C5F">
              <w:t xml:space="preserve"> refer to:</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ListBullet"/>
              <w:rPr>
                <w:lang w:val="en-NZ"/>
              </w:rPr>
            </w:pPr>
            <w:r w:rsidRPr="00111C5F">
              <w:t>any corporate cheque falling outside normal parameters.</w:t>
            </w:r>
          </w:p>
        </w:tc>
      </w:tr>
      <w:tr w:rsidTr="0033499C">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BoldandItalics"/>
              </w:rPr>
              <w:t>Stale cheques</w:t>
            </w:r>
            <w:r w:rsidRPr="00111C5F">
              <w:t xml:space="preserve"> refer to:</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ListBullet"/>
            </w:pPr>
            <w:r w:rsidRPr="00111C5F">
              <w:t>cheques which have passed the statutory time limit for presentation.</w:t>
            </w:r>
          </w:p>
        </w:tc>
      </w:tr>
    </w:tbl>
    <w:p w:rsidR="0033499C" w:rsidP="00111C5F">
      <w:pPr>
        <w:pStyle w:val="BodyText"/>
      </w:pPr>
    </w:p>
    <w:p w:rsidR="0033499C" w:rsidP="00111C5F">
      <w:pPr>
        <w:pStyle w:val="BodyText"/>
      </w:pPr>
    </w:p>
    <w:p w:rsidR="00000000" w:rsidRPr="00111C5F" w:rsidP="00111C5F">
      <w:pPr>
        <w:pStyle w:val="Heading1"/>
      </w:pPr>
      <w:bookmarkStart w:id="12" w:name="O_80570"/>
      <w:bookmarkEnd w:id="12"/>
      <w:r w:rsidRPr="00111C5F">
        <w:t>Unit Sector(s)</w:t>
      </w:r>
    </w:p>
    <w:tbl>
      <w:tblPr>
        <w:tblW w:w="0" w:type="auto"/>
        <w:tblLayout w:type="fixed"/>
        <w:tblCellMar>
          <w:left w:w="62" w:type="dxa"/>
          <w:right w:w="62" w:type="dxa"/>
        </w:tblCellMar>
        <w:tblLook w:val="0000"/>
      </w:tblPr>
      <w:tblGrid>
        <w:gridCol w:w="2597"/>
        <w:gridCol w:w="5925"/>
      </w:tblGrid>
      <w:tr w:rsidTr="0033499C">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r w:rsidRPr="00111C5F">
              <w:t>Financial retail services</w:t>
            </w: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13" w:name="O_156661"/>
      <w:bookmarkEnd w:id="13"/>
      <w:r w:rsidRPr="00111C5F">
        <w:t>Competency field</w:t>
      </w:r>
    </w:p>
    <w:tbl>
      <w:tblPr>
        <w:tblW w:w="0" w:type="auto"/>
        <w:tblLayout w:type="fixed"/>
        <w:tblCellMar>
          <w:left w:w="62" w:type="dxa"/>
          <w:right w:w="62" w:type="dxa"/>
        </w:tblCellMar>
        <w:tblLook w:val="0000"/>
      </w:tblPr>
      <w:tblGrid>
        <w:gridCol w:w="2754"/>
        <w:gridCol w:w="5768"/>
      </w:tblGrid>
      <w:tr w:rsidTr="0033499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p>
        </w:tc>
      </w:tr>
    </w:tbl>
    <w:p w:rsidR="00000000" w:rsidRPr="00111C5F" w:rsidP="00111C5F">
      <w:pPr>
        <w:pStyle w:val="BodyText"/>
      </w:pPr>
    </w:p>
    <w:p w:rsidR="00000000" w:rsidRPr="00111C5F" w:rsidP="00111C5F">
      <w:pPr>
        <w:pStyle w:val="AllowPageBreak"/>
      </w:pPr>
    </w:p>
    <w:p w:rsidR="00000000" w:rsidRPr="00111C5F" w:rsidP="00111C5F">
      <w:pPr>
        <w:pStyle w:val="Heading1"/>
      </w:pPr>
      <w:bookmarkStart w:id="14" w:name="O_156660"/>
      <w:bookmarkEnd w:id="14"/>
      <w:r w:rsidRPr="00111C5F">
        <w:t>Co-requisite units</w:t>
      </w:r>
    </w:p>
    <w:tbl>
      <w:tblPr>
        <w:tblW w:w="0" w:type="auto"/>
        <w:tblLayout w:type="fixed"/>
        <w:tblCellMar>
          <w:left w:w="62" w:type="dxa"/>
          <w:right w:w="62" w:type="dxa"/>
        </w:tblCellMar>
        <w:tblLook w:val="0000"/>
      </w:tblPr>
      <w:tblGrid>
        <w:gridCol w:w="2629"/>
        <w:gridCol w:w="1324"/>
        <w:gridCol w:w="4569"/>
      </w:tblGrid>
      <w:tr w:rsidTr="0033499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r w:rsidRPr="00111C5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C5F">
            <w:pPr>
              <w:pStyle w:val="BodyText"/>
              <w:rPr>
                <w:lang w:val="en-NZ"/>
              </w:rPr>
            </w:pPr>
          </w:p>
        </w:tc>
      </w:tr>
      <w:tr w:rsidTr="0033499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C5F" w:rsidP="00111C5F">
            <w:pPr>
              <w:pStyle w:val="BodyText"/>
            </w:pPr>
          </w:p>
        </w:tc>
      </w:tr>
    </w:tbl>
    <w:p w:rsidR="00000000" w:rsidRPr="00111C5F" w:rsidP="00111C5F">
      <w:pPr>
        <w:pStyle w:val="BodyText"/>
      </w:pPr>
    </w:p>
    <w:p w:rsidR="00000000" w:rsidRPr="00111C5F" w:rsidP="00111C5F"/>
    <w:sectPr w:rsidSect="00111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99C" w:rsidP="00334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9C" w:rsidP="00111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499C" w:rsidP="00111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499C" w:rsidP="00111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99C" w:rsidP="003349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9C" w:rsidP="00111C5F">
    <w:pPr>
      <w:pStyle w:val="Header"/>
      <w:framePr w:wrap="around"/>
    </w:pPr>
    <w:r>
      <w:fldChar w:fldCharType="begin"/>
    </w:r>
    <w:r>
      <w:instrText xml:space="preserve"> TITLE   \* MERGEFORMAT </w:instrText>
    </w:r>
    <w:r>
      <w:fldChar w:fldCharType="separate"/>
    </w:r>
    <w:r>
      <w:t>FNSRTS309A Maintain main bank account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499C" w:rsidP="00111C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D6A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C3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88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C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1C5F"/>
    <w:pPr>
      <w:spacing w:before="360" w:after="60"/>
      <w:outlineLvl w:val="0"/>
    </w:pPr>
    <w:rPr>
      <w:sz w:val="32"/>
    </w:rPr>
  </w:style>
  <w:style w:type="paragraph" w:styleId="Heading2">
    <w:name w:val="heading 2"/>
    <w:basedOn w:val="HeadingBase"/>
    <w:next w:val="BodyText"/>
    <w:link w:val="Heading2Char"/>
    <w:qFormat/>
    <w:rsid w:val="00111C5F"/>
    <w:pPr>
      <w:keepLines/>
      <w:spacing w:before="240" w:after="120"/>
      <w:outlineLvl w:val="1"/>
    </w:pPr>
    <w:rPr>
      <w:sz w:val="28"/>
      <w:szCs w:val="40"/>
    </w:rPr>
  </w:style>
  <w:style w:type="paragraph" w:styleId="Heading3">
    <w:name w:val="heading 3"/>
    <w:basedOn w:val="HeadingBase"/>
    <w:next w:val="BodyText"/>
    <w:link w:val="Heading3Char"/>
    <w:qFormat/>
    <w:rsid w:val="00111C5F"/>
    <w:pPr>
      <w:spacing w:before="180" w:after="120"/>
      <w:outlineLvl w:val="2"/>
    </w:pPr>
    <w:rPr>
      <w:spacing w:val="-10"/>
      <w:kern w:val="32"/>
    </w:rPr>
  </w:style>
  <w:style w:type="paragraph" w:styleId="Heading4">
    <w:name w:val="heading 4"/>
    <w:basedOn w:val="HeadingBase"/>
    <w:next w:val="BodyText"/>
    <w:link w:val="Heading4Char"/>
    <w:qFormat/>
    <w:rsid w:val="00111C5F"/>
    <w:pPr>
      <w:spacing w:before="160" w:after="120"/>
      <w:outlineLvl w:val="3"/>
    </w:pPr>
    <w:rPr>
      <w:sz w:val="22"/>
    </w:rPr>
  </w:style>
  <w:style w:type="paragraph" w:styleId="Heading5">
    <w:name w:val="heading 5"/>
    <w:basedOn w:val="HeadingBase"/>
    <w:next w:val="Normal"/>
    <w:link w:val="Heading5Char"/>
    <w:qFormat/>
    <w:rsid w:val="00111C5F"/>
    <w:pPr>
      <w:spacing w:before="80"/>
      <w:outlineLvl w:val="4"/>
    </w:pPr>
    <w:rPr>
      <w:color w:val="918585"/>
      <w:sz w:val="20"/>
    </w:rPr>
  </w:style>
  <w:style w:type="paragraph" w:styleId="Heading6">
    <w:name w:val="heading 6"/>
    <w:basedOn w:val="HeadingBase"/>
    <w:next w:val="Normal"/>
    <w:link w:val="Heading6Char"/>
    <w:qFormat/>
    <w:rsid w:val="00111C5F"/>
    <w:pPr>
      <w:spacing w:before="60"/>
      <w:outlineLvl w:val="5"/>
    </w:pPr>
    <w:rPr>
      <w:color w:val="918585"/>
      <w:sz w:val="20"/>
    </w:rPr>
  </w:style>
  <w:style w:type="paragraph" w:styleId="Heading7">
    <w:name w:val="heading 7"/>
    <w:basedOn w:val="Normal"/>
    <w:next w:val="Normal"/>
    <w:link w:val="Heading7Char"/>
    <w:qFormat/>
    <w:rsid w:val="00111C5F"/>
    <w:pPr>
      <w:ind w:left="720"/>
      <w:outlineLvl w:val="6"/>
    </w:pPr>
    <w:rPr>
      <w:i/>
    </w:rPr>
  </w:style>
  <w:style w:type="paragraph" w:styleId="Heading8">
    <w:name w:val="heading 8"/>
    <w:basedOn w:val="Normal"/>
    <w:next w:val="Normal"/>
    <w:link w:val="Heading8Char"/>
    <w:qFormat/>
    <w:rsid w:val="00111C5F"/>
    <w:pPr>
      <w:ind w:left="720"/>
      <w:outlineLvl w:val="7"/>
    </w:pPr>
    <w:rPr>
      <w:i/>
    </w:rPr>
  </w:style>
  <w:style w:type="paragraph" w:styleId="Heading9">
    <w:name w:val="heading 9"/>
    <w:basedOn w:val="Normal"/>
    <w:next w:val="Normal"/>
    <w:link w:val="Heading9Char"/>
    <w:qFormat/>
    <w:rsid w:val="00111C5F"/>
    <w:pPr>
      <w:ind w:left="720"/>
      <w:outlineLvl w:val="8"/>
    </w:pPr>
    <w:rPr>
      <w:i/>
    </w:rPr>
  </w:style>
  <w:style w:type="character" w:default="1" w:styleId="DefaultParagraphFont">
    <w:name w:val="Default Paragraph Font"/>
    <w:uiPriority w:val="1"/>
    <w:unhideWhenUsed/>
    <w:rsid w:val="00111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C5F"/>
  </w:style>
  <w:style w:type="character" w:customStyle="1" w:styleId="Heading1Char">
    <w:name w:val="Heading 1 Char"/>
    <w:basedOn w:val="DefaultParagraphFont"/>
    <w:link w:val="Heading1"/>
    <w:rsid w:val="00111C5F"/>
    <w:rPr>
      <w:rFonts w:ascii="Times New Roman" w:eastAsia="Times New Roman" w:hAnsi="Times New Roman" w:cs="Times New Roman"/>
      <w:b/>
      <w:sz w:val="32"/>
      <w:szCs w:val="20"/>
      <w:lang w:eastAsia="en-US"/>
    </w:rPr>
  </w:style>
  <w:style w:type="paragraph" w:styleId="BodyText">
    <w:name w:val="Body Text"/>
    <w:basedOn w:val="Normal"/>
    <w:link w:val="BodyTextChar"/>
    <w:rsid w:val="00111C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1C5F"/>
    <w:rPr>
      <w:rFonts w:ascii="Times New Roman" w:eastAsia="Times New Roman" w:hAnsi="Times New Roman" w:cs="Times New Roman"/>
      <w:sz w:val="24"/>
      <w:lang w:val="en-US" w:eastAsia="en-US"/>
    </w:rPr>
  </w:style>
  <w:style w:type="paragraph" w:styleId="Footer">
    <w:name w:val="footer"/>
    <w:basedOn w:val="Normal"/>
    <w:link w:val="FooterChar"/>
    <w:rsid w:val="00111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C5F"/>
    <w:rPr>
      <w:rFonts w:ascii="Times New Roman" w:eastAsia="Times New Roman" w:hAnsi="Times New Roman" w:cs="Times New Roman"/>
      <w:sz w:val="16"/>
      <w:lang w:val="en-US" w:eastAsia="en-US"/>
    </w:rPr>
  </w:style>
  <w:style w:type="paragraph" w:styleId="List">
    <w:name w:val="List"/>
    <w:basedOn w:val="BodyText"/>
    <w:next w:val="BodyText"/>
    <w:rsid w:val="00111C5F"/>
    <w:pPr>
      <w:tabs>
        <w:tab w:val="left" w:pos="340"/>
      </w:tabs>
      <w:spacing w:before="60" w:after="60"/>
      <w:ind w:left="340" w:hanging="340"/>
    </w:pPr>
  </w:style>
  <w:style w:type="paragraph" w:styleId="ListBullet">
    <w:name w:val="List Bullet"/>
    <w:basedOn w:val="List"/>
    <w:rsid w:val="00111C5F"/>
    <w:pPr>
      <w:numPr>
        <w:numId w:val="13"/>
      </w:numPr>
      <w:tabs>
        <w:tab w:val="clear" w:pos="340"/>
      </w:tabs>
      <w:spacing w:before="40" w:after="40"/>
    </w:pPr>
  </w:style>
  <w:style w:type="character" w:customStyle="1" w:styleId="SpecialBold">
    <w:name w:val="Special Bold"/>
    <w:basedOn w:val="DefaultParagraphFont"/>
    <w:rsid w:val="00111C5F"/>
    <w:rPr>
      <w:b/>
      <w:spacing w:val="0"/>
    </w:rPr>
  </w:style>
  <w:style w:type="paragraph" w:styleId="ListBullet2">
    <w:name w:val="List Bullet 2"/>
    <w:basedOn w:val="List2"/>
    <w:rsid w:val="00111C5F"/>
    <w:pPr>
      <w:numPr>
        <w:numId w:val="14"/>
      </w:numPr>
      <w:tabs>
        <w:tab w:val="clear" w:pos="680"/>
      </w:tabs>
    </w:pPr>
  </w:style>
  <w:style w:type="paragraph" w:styleId="Header">
    <w:name w:val="header"/>
    <w:basedOn w:val="Normal"/>
    <w:link w:val="HeaderChar"/>
    <w:rsid w:val="00111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C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1C5F"/>
    <w:pPr>
      <w:spacing w:before="240" w:after="120"/>
      <w:outlineLvl w:val="0"/>
    </w:pPr>
    <w:rPr>
      <w:rFonts w:ascii="Times New Roman" w:hAnsi="Times New Roman"/>
      <w:b/>
      <w:sz w:val="28"/>
    </w:rPr>
  </w:style>
  <w:style w:type="paragraph" w:customStyle="1" w:styleId="AllowPageBreak">
    <w:name w:val="AllowPageBreak"/>
    <w:rsid w:val="00111C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1C5F"/>
    <w:pPr>
      <w:tabs>
        <w:tab w:val="left" w:pos="680"/>
      </w:tabs>
      <w:spacing w:before="60" w:after="60"/>
      <w:ind w:left="680" w:hanging="340"/>
    </w:pPr>
  </w:style>
  <w:style w:type="character" w:customStyle="1" w:styleId="BoldandItalics">
    <w:name w:val="Bold and Italics"/>
    <w:qFormat/>
    <w:rsid w:val="00111C5F"/>
    <w:rPr>
      <w:b/>
      <w:i/>
      <w:u w:val="none"/>
    </w:rPr>
  </w:style>
  <w:style w:type="character" w:customStyle="1" w:styleId="Heading2Char">
    <w:name w:val="Heading 2 Char"/>
    <w:basedOn w:val="DefaultParagraphFont"/>
    <w:link w:val="Heading2"/>
    <w:rsid w:val="00111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C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1C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1C5F"/>
    <w:rPr>
      <w:rFonts w:ascii="Courier New" w:eastAsia="Times New Roman" w:hAnsi="Courier New" w:cs="Times New Roman"/>
      <w:i/>
      <w:szCs w:val="20"/>
      <w:lang w:val="en-US" w:eastAsia="en-US"/>
    </w:rPr>
  </w:style>
  <w:style w:type="paragraph" w:customStyle="1" w:styleId="HeadingBase">
    <w:name w:val="Heading Base"/>
    <w:rsid w:val="00111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C5F"/>
    <w:pPr>
      <w:tabs>
        <w:tab w:val="right" w:leader="dot" w:pos="9072"/>
      </w:tabs>
      <w:ind w:left="567"/>
    </w:pPr>
    <w:rPr>
      <w:szCs w:val="22"/>
    </w:rPr>
  </w:style>
  <w:style w:type="paragraph" w:customStyle="1" w:styleId="TOCBase">
    <w:name w:val="TOC Base"/>
    <w:rsid w:val="00111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C5F"/>
    <w:pPr>
      <w:tabs>
        <w:tab w:val="right" w:leader="dot" w:pos="9072"/>
      </w:tabs>
      <w:spacing w:before="40" w:after="40"/>
      <w:ind w:left="284"/>
    </w:pPr>
    <w:rPr>
      <w:rFonts w:ascii="Times New Roman" w:hAnsi="Times New Roman"/>
    </w:rPr>
  </w:style>
  <w:style w:type="paragraph" w:styleId="TOC1">
    <w:name w:val="toc 1"/>
    <w:basedOn w:val="TOCBase"/>
    <w:next w:val="Normal"/>
    <w:rsid w:val="00111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1C5F"/>
    <w:pPr>
      <w:spacing w:before="5040"/>
      <w:jc w:val="center"/>
    </w:pPr>
    <w:rPr>
      <w:sz w:val="48"/>
      <w:szCs w:val="72"/>
      <w:lang w:val="en-US"/>
    </w:rPr>
  </w:style>
  <w:style w:type="character" w:customStyle="1" w:styleId="TitleChar">
    <w:name w:val="Title Char"/>
    <w:basedOn w:val="DefaultParagraphFont"/>
    <w:link w:val="Title"/>
    <w:rsid w:val="00111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C5F"/>
    <w:pPr>
      <w:tabs>
        <w:tab w:val="left" w:pos="3600"/>
        <w:tab w:val="left" w:pos="3958"/>
      </w:tabs>
    </w:pPr>
  </w:style>
  <w:style w:type="paragraph" w:customStyle="1" w:styleId="Note">
    <w:name w:val="Note"/>
    <w:basedOn w:val="BodyText"/>
    <w:rsid w:val="00111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C5F"/>
    <w:pPr>
      <w:framePr w:wrap="auto" w:hAnchor="text" w:y="6049"/>
    </w:pPr>
    <w:rPr>
      <w:color w:val="000000"/>
      <w:sz w:val="40"/>
    </w:rPr>
  </w:style>
  <w:style w:type="paragraph" w:customStyle="1" w:styleId="TOCTitle">
    <w:name w:val="TOCTitle"/>
    <w:basedOn w:val="Heading1"/>
    <w:rsid w:val="00111C5F"/>
    <w:pPr>
      <w:spacing w:after="240"/>
      <w:jc w:val="center"/>
      <w:outlineLvl w:val="9"/>
    </w:pPr>
    <w:rPr>
      <w:caps/>
    </w:rPr>
  </w:style>
  <w:style w:type="paragraph" w:customStyle="1" w:styleId="Version">
    <w:name w:val="Version"/>
    <w:rsid w:val="00111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C5F"/>
    <w:pPr>
      <w:keepNext w:val="0"/>
      <w:tabs>
        <w:tab w:val="right" w:pos="4176"/>
      </w:tabs>
      <w:ind w:left="198" w:hanging="198"/>
    </w:pPr>
    <w:rPr>
      <w:rFonts w:ascii="Garamond" w:hAnsi="Garamond"/>
    </w:rPr>
  </w:style>
  <w:style w:type="paragraph" w:styleId="IndexHeading">
    <w:name w:val="index heading"/>
    <w:basedOn w:val="Normal"/>
    <w:next w:val="Index1"/>
    <w:semiHidden/>
    <w:rsid w:val="00111C5F"/>
    <w:pPr>
      <w:spacing w:before="120" w:after="120"/>
    </w:pPr>
    <w:rPr>
      <w:rFonts w:ascii="Arial" w:hAnsi="Arial"/>
      <w:b/>
      <w:color w:val="918585"/>
      <w:sz w:val="24"/>
    </w:rPr>
  </w:style>
  <w:style w:type="paragraph" w:customStyle="1" w:styleId="Chapter">
    <w:name w:val="Chapter"/>
    <w:basedOn w:val="Normal"/>
    <w:rsid w:val="00111C5F"/>
    <w:pPr>
      <w:spacing w:before="240"/>
    </w:pPr>
    <w:rPr>
      <w:rFonts w:ascii="Times New Roman" w:hAnsi="Times New Roman"/>
      <w:smallCaps/>
      <w:spacing w:val="80"/>
      <w:sz w:val="28"/>
    </w:rPr>
  </w:style>
  <w:style w:type="paragraph" w:customStyle="1" w:styleId="InChapter">
    <w:name w:val="InChapter"/>
    <w:basedOn w:val="Heading3"/>
    <w:rsid w:val="00111C5F"/>
    <w:pPr>
      <w:spacing w:after="240"/>
      <w:outlineLvl w:val="9"/>
    </w:pPr>
    <w:rPr>
      <w:noProof/>
    </w:rPr>
  </w:style>
  <w:style w:type="paragraph" w:styleId="Index2">
    <w:name w:val="index 2"/>
    <w:basedOn w:val="Normal"/>
    <w:next w:val="Normal"/>
    <w:semiHidden/>
    <w:rsid w:val="00111C5F"/>
    <w:pPr>
      <w:tabs>
        <w:tab w:val="right" w:pos="4176"/>
      </w:tabs>
      <w:ind w:left="568" w:hanging="284"/>
    </w:pPr>
    <w:rPr>
      <w:rFonts w:ascii="Garamond" w:hAnsi="Garamond"/>
    </w:rPr>
  </w:style>
  <w:style w:type="paragraph" w:customStyle="1" w:styleId="Byline">
    <w:name w:val="Byline"/>
    <w:rsid w:val="00111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C5F"/>
    <w:pPr>
      <w:tabs>
        <w:tab w:val="clear" w:pos="3600"/>
        <w:tab w:val="clear" w:pos="3958"/>
      </w:tabs>
      <w:jc w:val="right"/>
    </w:pPr>
  </w:style>
  <w:style w:type="character" w:styleId="Emphasis">
    <w:name w:val="Emphasis"/>
    <w:basedOn w:val="DefaultParagraphFont"/>
    <w:qFormat/>
    <w:rsid w:val="00111C5F"/>
    <w:rPr>
      <w:i/>
    </w:rPr>
  </w:style>
  <w:style w:type="paragraph" w:styleId="Caption">
    <w:name w:val="caption"/>
    <w:basedOn w:val="BodyText"/>
    <w:next w:val="Normal"/>
    <w:qFormat/>
    <w:rsid w:val="00111C5F"/>
    <w:pPr>
      <w:framePr w:w="2268" w:hSpace="181" w:vSpace="181" w:wrap="around" w:vAnchor="text" w:hAnchor="page" w:x="1135" w:y="285" w:anchorLock="1"/>
    </w:pPr>
    <w:rPr>
      <w:i/>
    </w:rPr>
  </w:style>
  <w:style w:type="paragraph" w:customStyle="1" w:styleId="MiniTOCTitle">
    <w:name w:val="MiniTOCTitle"/>
    <w:basedOn w:val="Heading4"/>
    <w:rsid w:val="00111C5F"/>
    <w:pPr>
      <w:spacing w:before="240"/>
      <w:outlineLvl w:val="9"/>
    </w:pPr>
    <w:rPr>
      <w:noProof/>
      <w:sz w:val="24"/>
    </w:rPr>
  </w:style>
  <w:style w:type="paragraph" w:customStyle="1" w:styleId="MiniTOCItem">
    <w:name w:val="MiniTOCItem"/>
    <w:basedOn w:val="ListBullet"/>
    <w:rsid w:val="00111C5F"/>
    <w:pPr>
      <w:numPr>
        <w:numId w:val="0"/>
      </w:numPr>
      <w:tabs>
        <w:tab w:val="right" w:leader="dot" w:pos="6521"/>
      </w:tabs>
      <w:spacing w:before="0" w:after="0"/>
    </w:pPr>
  </w:style>
  <w:style w:type="paragraph" w:customStyle="1" w:styleId="TOFTitle">
    <w:name w:val="TOFTitle"/>
    <w:basedOn w:val="TOCTitle"/>
    <w:rsid w:val="00111C5F"/>
  </w:style>
  <w:style w:type="paragraph" w:styleId="TableofFigures">
    <w:name w:val="table of figures"/>
    <w:basedOn w:val="Normal"/>
    <w:next w:val="Normal"/>
    <w:semiHidden/>
    <w:rsid w:val="00111C5F"/>
    <w:pPr>
      <w:tabs>
        <w:tab w:val="right" w:leader="dot" w:pos="9072"/>
      </w:tabs>
      <w:ind w:left="970" w:hanging="403"/>
    </w:pPr>
    <w:rPr>
      <w:rFonts w:ascii="Times New Roman" w:hAnsi="Times New Roman"/>
      <w:b/>
    </w:rPr>
  </w:style>
  <w:style w:type="paragraph" w:styleId="ListNumber">
    <w:name w:val="List Number"/>
    <w:basedOn w:val="List"/>
    <w:rsid w:val="00111C5F"/>
    <w:pPr>
      <w:numPr>
        <w:numId w:val="11"/>
      </w:numPr>
    </w:pPr>
  </w:style>
  <w:style w:type="character" w:customStyle="1" w:styleId="WingdingSymbols">
    <w:name w:val="Wingding Symbols"/>
    <w:rsid w:val="00111C5F"/>
    <w:rPr>
      <w:rFonts w:ascii="Wingdings" w:hAnsi="Wingdings"/>
    </w:rPr>
  </w:style>
  <w:style w:type="paragraph" w:customStyle="1" w:styleId="TableHeading">
    <w:name w:val="Table Heading"/>
    <w:basedOn w:val="HeadingBase"/>
    <w:rsid w:val="00111C5F"/>
    <w:pPr>
      <w:keepLines/>
      <w:pBdr>
        <w:bottom w:val="single" w:sz="6" w:space="1" w:color="918585"/>
      </w:pBdr>
      <w:spacing w:before="240"/>
    </w:pPr>
  </w:style>
  <w:style w:type="character" w:customStyle="1" w:styleId="HotSpot">
    <w:name w:val="HotSpot"/>
    <w:rsid w:val="00111C5F"/>
    <w:rPr>
      <w:color w:val="0033CC"/>
      <w:u w:val="none"/>
    </w:rPr>
  </w:style>
  <w:style w:type="paragraph" w:customStyle="1" w:styleId="BodyTextRight">
    <w:name w:val="Body Text Right"/>
    <w:basedOn w:val="BodyText"/>
    <w:rsid w:val="00111C5F"/>
    <w:pPr>
      <w:spacing w:before="0" w:after="0"/>
      <w:jc w:val="right"/>
    </w:pPr>
  </w:style>
  <w:style w:type="paragraph" w:styleId="Index3">
    <w:name w:val="index 3"/>
    <w:basedOn w:val="ListNumber2"/>
    <w:next w:val="Normal"/>
    <w:semiHidden/>
    <w:rsid w:val="00111C5F"/>
    <w:pPr>
      <w:numPr>
        <w:numId w:val="0"/>
      </w:numPr>
      <w:tabs>
        <w:tab w:val="right" w:leader="dot" w:pos="4176"/>
      </w:tabs>
    </w:pPr>
  </w:style>
  <w:style w:type="paragraph" w:styleId="ListNumber2">
    <w:name w:val="List Number 2"/>
    <w:basedOn w:val="List2"/>
    <w:rsid w:val="00111C5F"/>
    <w:pPr>
      <w:numPr>
        <w:numId w:val="10"/>
      </w:numPr>
      <w:tabs>
        <w:tab w:val="clear" w:pos="1060"/>
      </w:tabs>
    </w:pPr>
  </w:style>
  <w:style w:type="paragraph" w:customStyle="1" w:styleId="MarginNote">
    <w:name w:val="Margin Note"/>
    <w:basedOn w:val="BodyText"/>
    <w:rsid w:val="00111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C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1C5F"/>
    <w:rPr>
      <w:sz w:val="32"/>
    </w:rPr>
  </w:style>
  <w:style w:type="paragraph" w:customStyle="1" w:styleId="HeadingProcedure">
    <w:name w:val="Heading Procedure"/>
    <w:basedOn w:val="HeadingBase"/>
    <w:next w:val="Normal"/>
    <w:rsid w:val="00111C5F"/>
    <w:pPr>
      <w:tabs>
        <w:tab w:val="left" w:pos="0"/>
      </w:tabs>
      <w:spacing w:before="120" w:after="60"/>
    </w:pPr>
    <w:rPr>
      <w:i/>
      <w:color w:val="918585"/>
      <w:sz w:val="22"/>
    </w:rPr>
  </w:style>
  <w:style w:type="paragraph" w:customStyle="1" w:styleId="TableBodyText">
    <w:name w:val="Table Body Text"/>
    <w:basedOn w:val="BodyText"/>
    <w:rsid w:val="00111C5F"/>
    <w:pPr>
      <w:spacing w:before="60" w:after="60"/>
    </w:pPr>
  </w:style>
  <w:style w:type="paragraph" w:styleId="ListContinue">
    <w:name w:val="List Continue"/>
    <w:basedOn w:val="List"/>
    <w:rsid w:val="00111C5F"/>
    <w:pPr>
      <w:ind w:firstLine="0"/>
    </w:pPr>
  </w:style>
  <w:style w:type="paragraph" w:customStyle="1" w:styleId="ListNote">
    <w:name w:val="List Note"/>
    <w:basedOn w:val="List"/>
    <w:rsid w:val="00111C5F"/>
    <w:pPr>
      <w:pBdr>
        <w:top w:val="single" w:sz="6" w:space="2" w:color="918585"/>
        <w:bottom w:val="single" w:sz="6" w:space="2" w:color="918585"/>
      </w:pBdr>
      <w:tabs>
        <w:tab w:val="left" w:pos="1021"/>
      </w:tabs>
      <w:ind w:firstLine="0"/>
    </w:pPr>
  </w:style>
  <w:style w:type="paragraph" w:customStyle="1" w:styleId="Warning">
    <w:name w:val="Warning"/>
    <w:basedOn w:val="BodyText"/>
    <w:rsid w:val="00111C5F"/>
    <w:pPr>
      <w:shd w:val="clear" w:color="auto" w:fill="D9D9D9"/>
      <w:tabs>
        <w:tab w:val="left" w:pos="992"/>
      </w:tabs>
      <w:ind w:left="119" w:right="119"/>
    </w:pPr>
    <w:rPr>
      <w:sz w:val="20"/>
    </w:rPr>
  </w:style>
  <w:style w:type="paragraph" w:customStyle="1" w:styleId="MarginIcons">
    <w:name w:val="Margin Icons"/>
    <w:basedOn w:val="BodyText"/>
    <w:rsid w:val="00111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C5F"/>
    <w:rPr>
      <w:rFonts w:ascii="Courier New" w:hAnsi="Courier New"/>
    </w:rPr>
  </w:style>
  <w:style w:type="paragraph" w:customStyle="1" w:styleId="NoteBullet">
    <w:name w:val="Note Bullet"/>
    <w:basedOn w:val="Note"/>
    <w:rsid w:val="00111C5F"/>
    <w:pPr>
      <w:tabs>
        <w:tab w:val="clear" w:pos="680"/>
      </w:tabs>
      <w:spacing w:before="60" w:after="60"/>
    </w:pPr>
  </w:style>
  <w:style w:type="paragraph" w:customStyle="1" w:styleId="SubHeading2">
    <w:name w:val="SubHeading2"/>
    <w:basedOn w:val="HeadingBase"/>
    <w:rsid w:val="00111C5F"/>
    <w:pPr>
      <w:spacing w:before="240" w:after="60"/>
    </w:pPr>
    <w:rPr>
      <w:sz w:val="20"/>
    </w:rPr>
  </w:style>
  <w:style w:type="paragraph" w:customStyle="1" w:styleId="SubHeading1">
    <w:name w:val="SubHeading1"/>
    <w:basedOn w:val="HeadingBase"/>
    <w:rsid w:val="00111C5F"/>
    <w:pPr>
      <w:spacing w:before="240" w:after="60"/>
    </w:pPr>
    <w:rPr>
      <w:color w:val="918585"/>
      <w:sz w:val="22"/>
    </w:rPr>
  </w:style>
  <w:style w:type="paragraph" w:customStyle="1" w:styleId="SideHeading">
    <w:name w:val="Side Heading"/>
    <w:basedOn w:val="HeadingBase"/>
    <w:rsid w:val="00111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C5F"/>
    <w:pPr>
      <w:numPr>
        <w:numId w:val="12"/>
      </w:numPr>
    </w:pPr>
  </w:style>
  <w:style w:type="paragraph" w:styleId="PlainText">
    <w:name w:val="Plain Text"/>
    <w:basedOn w:val="Normal"/>
    <w:link w:val="PlainTextChar"/>
    <w:rsid w:val="00111C5F"/>
    <w:rPr>
      <w:sz w:val="20"/>
    </w:rPr>
  </w:style>
  <w:style w:type="character" w:customStyle="1" w:styleId="PlainTextChar">
    <w:name w:val="Plain Text Char"/>
    <w:basedOn w:val="DefaultParagraphFont"/>
    <w:link w:val="PlainText"/>
    <w:rsid w:val="00111C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1C5F"/>
    <w:rPr>
      <w:b/>
      <w:smallCaps/>
    </w:rPr>
  </w:style>
  <w:style w:type="paragraph" w:customStyle="1" w:styleId="TableListNumber">
    <w:name w:val="Table List Number"/>
    <w:basedOn w:val="ListNumber"/>
    <w:rsid w:val="00111C5F"/>
    <w:pPr>
      <w:numPr>
        <w:numId w:val="0"/>
      </w:numPr>
    </w:pPr>
  </w:style>
  <w:style w:type="paragraph" w:styleId="TOC4">
    <w:name w:val="toc 4"/>
    <w:basedOn w:val="TOCBase"/>
    <w:next w:val="Normal"/>
    <w:semiHidden/>
    <w:rsid w:val="00111C5F"/>
    <w:pPr>
      <w:tabs>
        <w:tab w:val="right" w:leader="dot" w:pos="9071"/>
      </w:tabs>
      <w:ind w:left="1701"/>
    </w:pPr>
  </w:style>
  <w:style w:type="paragraph" w:customStyle="1" w:styleId="ListAlpha">
    <w:name w:val="List Alpha"/>
    <w:basedOn w:val="List"/>
    <w:rsid w:val="00111C5F"/>
    <w:pPr>
      <w:numPr>
        <w:numId w:val="9"/>
      </w:numPr>
    </w:pPr>
  </w:style>
  <w:style w:type="paragraph" w:customStyle="1" w:styleId="ListAlpha2">
    <w:name w:val="List Alpha 2"/>
    <w:basedOn w:val="List2"/>
    <w:rsid w:val="00111C5F"/>
    <w:pPr>
      <w:numPr>
        <w:numId w:val="8"/>
      </w:numPr>
    </w:pPr>
  </w:style>
  <w:style w:type="paragraph" w:styleId="List3">
    <w:name w:val="List 3"/>
    <w:basedOn w:val="BodyText"/>
    <w:rsid w:val="00111C5F"/>
    <w:pPr>
      <w:tabs>
        <w:tab w:val="left" w:pos="1021"/>
      </w:tabs>
      <w:spacing w:before="60" w:after="60"/>
      <w:ind w:left="1020" w:hanging="340"/>
    </w:pPr>
  </w:style>
  <w:style w:type="paragraph" w:styleId="List4">
    <w:name w:val="List 4"/>
    <w:basedOn w:val="BodyText"/>
    <w:rsid w:val="00111C5F"/>
    <w:pPr>
      <w:tabs>
        <w:tab w:val="left" w:pos="1361"/>
      </w:tabs>
      <w:spacing w:before="60" w:after="60"/>
      <w:ind w:left="1361" w:hanging="340"/>
    </w:pPr>
  </w:style>
  <w:style w:type="paragraph" w:styleId="List5">
    <w:name w:val="List 5"/>
    <w:basedOn w:val="BodyText"/>
    <w:rsid w:val="00111C5F"/>
    <w:pPr>
      <w:tabs>
        <w:tab w:val="left" w:pos="1701"/>
      </w:tabs>
      <w:spacing w:before="60" w:after="60"/>
      <w:ind w:left="1701" w:hanging="340"/>
    </w:pPr>
  </w:style>
  <w:style w:type="paragraph" w:styleId="ListBullet3">
    <w:name w:val="List Bullet 3"/>
    <w:basedOn w:val="List3"/>
    <w:rsid w:val="00111C5F"/>
    <w:pPr>
      <w:numPr>
        <w:numId w:val="15"/>
      </w:numPr>
      <w:tabs>
        <w:tab w:val="clear" w:pos="1021"/>
      </w:tabs>
      <w:ind w:left="1037" w:hanging="357"/>
    </w:pPr>
  </w:style>
  <w:style w:type="paragraph" w:styleId="ListBullet4">
    <w:name w:val="List Bullet 4"/>
    <w:basedOn w:val="List4"/>
    <w:rsid w:val="00111C5F"/>
    <w:pPr>
      <w:numPr>
        <w:numId w:val="3"/>
      </w:numPr>
    </w:pPr>
  </w:style>
  <w:style w:type="paragraph" w:styleId="ListBullet5">
    <w:name w:val="List Bullet 5"/>
    <w:basedOn w:val="List5"/>
    <w:rsid w:val="00111C5F"/>
    <w:pPr>
      <w:numPr>
        <w:numId w:val="4"/>
      </w:numPr>
    </w:pPr>
  </w:style>
  <w:style w:type="paragraph" w:styleId="ListContinue2">
    <w:name w:val="List Continue 2"/>
    <w:basedOn w:val="List2"/>
    <w:rsid w:val="00111C5F"/>
    <w:pPr>
      <w:ind w:firstLine="0"/>
    </w:pPr>
  </w:style>
  <w:style w:type="paragraph" w:styleId="ListContinue3">
    <w:name w:val="List Continue 3"/>
    <w:basedOn w:val="List3"/>
    <w:rsid w:val="00111C5F"/>
    <w:pPr>
      <w:ind w:left="1021" w:firstLine="0"/>
    </w:pPr>
  </w:style>
  <w:style w:type="paragraph" w:styleId="ListContinue4">
    <w:name w:val="List Continue 4"/>
    <w:basedOn w:val="List4"/>
    <w:rsid w:val="00111C5F"/>
    <w:pPr>
      <w:ind w:firstLine="0"/>
    </w:pPr>
  </w:style>
  <w:style w:type="paragraph" w:styleId="ListContinue5">
    <w:name w:val="List Continue 5"/>
    <w:basedOn w:val="List5"/>
    <w:rsid w:val="00111C5F"/>
    <w:pPr>
      <w:ind w:firstLine="0"/>
    </w:pPr>
  </w:style>
  <w:style w:type="paragraph" w:styleId="ListNumber3">
    <w:name w:val="List Number 3"/>
    <w:basedOn w:val="List3"/>
    <w:rsid w:val="00111C5F"/>
    <w:pPr>
      <w:numPr>
        <w:numId w:val="5"/>
      </w:numPr>
    </w:pPr>
  </w:style>
  <w:style w:type="paragraph" w:styleId="ListNumber4">
    <w:name w:val="List Number 4"/>
    <w:basedOn w:val="List4"/>
    <w:rsid w:val="00111C5F"/>
    <w:pPr>
      <w:numPr>
        <w:numId w:val="6"/>
      </w:numPr>
    </w:pPr>
  </w:style>
  <w:style w:type="paragraph" w:styleId="ListNumber5">
    <w:name w:val="List Number 5"/>
    <w:basedOn w:val="List5"/>
    <w:rsid w:val="00111C5F"/>
    <w:pPr>
      <w:numPr>
        <w:numId w:val="7"/>
      </w:numPr>
    </w:pPr>
  </w:style>
  <w:style w:type="paragraph" w:styleId="BlockText">
    <w:name w:val="Block Text"/>
    <w:basedOn w:val="Normal"/>
    <w:rsid w:val="00111C5F"/>
    <w:pPr>
      <w:spacing w:after="120"/>
      <w:ind w:left="1440" w:right="1440"/>
    </w:pPr>
  </w:style>
  <w:style w:type="character" w:customStyle="1" w:styleId="Subscript">
    <w:name w:val="Subscript"/>
    <w:basedOn w:val="DefaultParagraphFont"/>
    <w:rsid w:val="00111C5F"/>
    <w:rPr>
      <w:sz w:val="16"/>
      <w:vertAlign w:val="subscript"/>
    </w:rPr>
  </w:style>
  <w:style w:type="character" w:customStyle="1" w:styleId="Superscript">
    <w:name w:val="Superscript"/>
    <w:basedOn w:val="DefaultParagraphFont"/>
    <w:rsid w:val="00111C5F"/>
    <w:rPr>
      <w:sz w:val="16"/>
      <w:vertAlign w:val="superscript"/>
    </w:rPr>
  </w:style>
  <w:style w:type="character" w:customStyle="1" w:styleId="Symbols">
    <w:name w:val="Symbols"/>
    <w:basedOn w:val="DefaultParagraphFont"/>
    <w:rsid w:val="00111C5F"/>
    <w:rPr>
      <w:rFonts w:ascii="Symbol" w:hAnsi="Symbol"/>
    </w:rPr>
  </w:style>
  <w:style w:type="character" w:customStyle="1" w:styleId="MenuOptions">
    <w:name w:val="Menu Options"/>
    <w:basedOn w:val="DefaultParagraphFont"/>
    <w:rsid w:val="00111C5F"/>
    <w:rPr>
      <w:rFonts w:ascii="Arial Narrow" w:hAnsi="Arial Narrow"/>
      <w:smallCaps/>
    </w:rPr>
  </w:style>
  <w:style w:type="character" w:customStyle="1" w:styleId="Buttons">
    <w:name w:val="Buttons"/>
    <w:basedOn w:val="DefaultParagraphFont"/>
    <w:rsid w:val="00111C5F"/>
    <w:rPr>
      <w:b/>
    </w:rPr>
  </w:style>
  <w:style w:type="character" w:customStyle="1" w:styleId="Underlined">
    <w:name w:val="Underlined"/>
    <w:basedOn w:val="DefaultParagraphFont"/>
    <w:rsid w:val="00111C5F"/>
    <w:rPr>
      <w:u w:val="single"/>
    </w:rPr>
  </w:style>
  <w:style w:type="paragraph" w:customStyle="1" w:styleId="TableBodyTextRight">
    <w:name w:val="Table Body Text Right"/>
    <w:basedOn w:val="TableBodyText"/>
    <w:rsid w:val="00111C5F"/>
    <w:pPr>
      <w:widowControl w:val="0"/>
      <w:autoSpaceDE w:val="0"/>
      <w:autoSpaceDN w:val="0"/>
      <w:adjustRightInd w:val="0"/>
      <w:jc w:val="right"/>
    </w:pPr>
    <w:rPr>
      <w:rFonts w:cs="Arial"/>
      <w:szCs w:val="18"/>
    </w:rPr>
  </w:style>
  <w:style w:type="paragraph" w:customStyle="1" w:styleId="CopyrightText">
    <w:name w:val="Copyright Text"/>
    <w:basedOn w:val="BodyText"/>
    <w:rsid w:val="00111C5F"/>
    <w:rPr>
      <w:sz w:val="18"/>
    </w:rPr>
  </w:style>
  <w:style w:type="paragraph" w:customStyle="1" w:styleId="BodySmallRight">
    <w:name w:val="Body Small Right"/>
    <w:basedOn w:val="BodyTextRight"/>
    <w:rsid w:val="00111C5F"/>
    <w:rPr>
      <w:sz w:val="18"/>
      <w:szCs w:val="18"/>
    </w:rPr>
  </w:style>
  <w:style w:type="paragraph" w:customStyle="1" w:styleId="MarginEdition">
    <w:name w:val="Margin Edition"/>
    <w:basedOn w:val="MarginNote"/>
    <w:rsid w:val="00111C5F"/>
    <w:pPr>
      <w:spacing w:before="0" w:after="0"/>
    </w:pPr>
    <w:rPr>
      <w:rFonts w:ascii="Times New Roman" w:hAnsi="Times New Roman"/>
      <w:color w:val="999999"/>
    </w:rPr>
  </w:style>
  <w:style w:type="paragraph" w:customStyle="1" w:styleId="Spacer">
    <w:name w:val="Spacer"/>
    <w:basedOn w:val="Normal"/>
    <w:rsid w:val="00111C5F"/>
    <w:rPr>
      <w:sz w:val="2"/>
      <w:szCs w:val="2"/>
    </w:rPr>
  </w:style>
  <w:style w:type="character" w:customStyle="1" w:styleId="Small">
    <w:name w:val="Small"/>
    <w:basedOn w:val="DefaultParagraphFont"/>
    <w:rsid w:val="00111C5F"/>
    <w:rPr>
      <w:sz w:val="16"/>
    </w:rPr>
  </w:style>
  <w:style w:type="paragraph" w:customStyle="1" w:styleId="WideTable">
    <w:name w:val="Wide Table"/>
    <w:basedOn w:val="Normal"/>
    <w:rsid w:val="00111C5F"/>
    <w:pPr>
      <w:ind w:left="-1418"/>
    </w:pPr>
    <w:rPr>
      <w:sz w:val="2"/>
      <w:szCs w:val="2"/>
    </w:rPr>
  </w:style>
  <w:style w:type="character" w:styleId="PageNumber">
    <w:name w:val="page number"/>
    <w:basedOn w:val="DefaultParagraphFont"/>
    <w:rsid w:val="00111C5F"/>
  </w:style>
  <w:style w:type="paragraph" w:styleId="Quote">
    <w:name w:val="Quote"/>
    <w:basedOn w:val="Heading1"/>
    <w:link w:val="QuoteChar"/>
    <w:qFormat/>
    <w:rsid w:val="00111C5F"/>
    <w:rPr>
      <w:b w:val="0"/>
      <w:sz w:val="72"/>
      <w:szCs w:val="72"/>
      <w:lang w:val="en-NZ"/>
    </w:rPr>
  </w:style>
  <w:style w:type="character" w:customStyle="1" w:styleId="QuoteChar">
    <w:name w:val="Quote Char"/>
    <w:basedOn w:val="DefaultParagraphFont"/>
    <w:link w:val="Quote"/>
    <w:rsid w:val="00111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C5F"/>
    <w:pPr>
      <w:pageBreakBefore/>
    </w:pPr>
  </w:style>
  <w:style w:type="paragraph" w:customStyle="1" w:styleId="Border">
    <w:name w:val="Border"/>
    <w:basedOn w:val="Normal"/>
    <w:qFormat/>
    <w:rsid w:val="00111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C5F"/>
    <w:rPr>
      <w:b/>
      <w:bCs/>
      <w:i/>
      <w:iCs/>
      <w:color w:val="auto"/>
    </w:rPr>
  </w:style>
  <w:style w:type="paragraph" w:styleId="IntenseQuote">
    <w:name w:val="Intense Quote"/>
    <w:basedOn w:val="Normal"/>
    <w:next w:val="Normal"/>
    <w:link w:val="IntenseQuoteChar"/>
    <w:uiPriority w:val="30"/>
    <w:qFormat/>
    <w:rsid w:val="00111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C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1C5F"/>
    <w:rPr>
      <w:smallCaps/>
      <w:color w:val="auto"/>
      <w:u w:val="single"/>
    </w:rPr>
  </w:style>
  <w:style w:type="character" w:styleId="IntenseReference">
    <w:name w:val="Intense Reference"/>
    <w:basedOn w:val="DefaultParagraphFont"/>
    <w:uiPriority w:val="32"/>
    <w:qFormat/>
    <w:rsid w:val="00111C5F"/>
    <w:rPr>
      <w:b/>
      <w:bCs/>
      <w:smallCaps/>
      <w:color w:val="auto"/>
      <w:spacing w:val="5"/>
      <w:u w:val="single"/>
    </w:rPr>
  </w:style>
  <w:style w:type="paragraph" w:customStyle="1" w:styleId="2ColumnHeading">
    <w:name w:val="2Column Heading"/>
    <w:basedOn w:val="BodyText"/>
    <w:qFormat/>
    <w:rsid w:val="00111C5F"/>
    <w:pPr>
      <w:spacing w:after="60"/>
      <w:ind w:left="-2268"/>
    </w:pPr>
    <w:rPr>
      <w:b/>
    </w:rPr>
  </w:style>
  <w:style w:type="paragraph" w:customStyle="1" w:styleId="Heading1TOC">
    <w:name w:val="Heading1 TOC"/>
    <w:basedOn w:val="Normal"/>
    <w:qFormat/>
    <w:rsid w:val="00111C5F"/>
    <w:pPr>
      <w:spacing w:before="240" w:after="120"/>
    </w:pPr>
    <w:rPr>
      <w:rFonts w:ascii="Times New Roman" w:hAnsi="Times New Roman"/>
      <w:b/>
      <w:sz w:val="32"/>
    </w:rPr>
  </w:style>
  <w:style w:type="paragraph" w:customStyle="1" w:styleId="Heading2TOC">
    <w:name w:val="Heading2 TOC"/>
    <w:basedOn w:val="Normal"/>
    <w:qFormat/>
    <w:rsid w:val="00111C5F"/>
    <w:pPr>
      <w:spacing w:before="240" w:after="60"/>
    </w:pPr>
    <w:rPr>
      <w:rFonts w:ascii="Times New Roman" w:hAnsi="Times New Roman"/>
      <w:b/>
      <w:sz w:val="28"/>
    </w:rPr>
  </w:style>
  <w:style w:type="character" w:customStyle="1" w:styleId="Underline">
    <w:name w:val="Underline"/>
    <w:basedOn w:val="DefaultParagraphFont"/>
    <w:qFormat/>
    <w:rsid w:val="00111C5F"/>
    <w:rPr>
      <w:u w:val="single"/>
    </w:rPr>
  </w:style>
  <w:style w:type="paragraph" w:styleId="BalloonText">
    <w:name w:val="Balloon Text"/>
    <w:basedOn w:val="Normal"/>
    <w:link w:val="BalloonTextChar"/>
    <w:rsid w:val="00111C5F"/>
    <w:rPr>
      <w:rFonts w:ascii="Tahoma" w:hAnsi="Tahoma" w:cs="Tahoma"/>
      <w:sz w:val="16"/>
      <w:szCs w:val="16"/>
    </w:rPr>
  </w:style>
  <w:style w:type="character" w:customStyle="1" w:styleId="BalloonTextChar">
    <w:name w:val="Balloon Text Char"/>
    <w:basedOn w:val="DefaultParagraphFont"/>
    <w:link w:val="BalloonText"/>
    <w:rsid w:val="00111C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1C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1C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845</Words>
  <Characters>5313</Characters>
  <Application>Microsoft Office Word</Application>
  <DocSecurity>0</DocSecurity>
  <Lines>209</Lines>
  <Paragraphs>104</Paragraphs>
  <ScaleCrop>false</ScaleCrop>
  <Company>Author-it Software Corporation Ltd.</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FNSRTS309A Maintain main bank account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2012-05-26T16:32:00Z</dcterms:created>
  <dcterms:modified xsi:type="dcterms:W3CDTF">2012-05-26T16:32:00Z</dcterms:modified>
</cp:coreProperties>
</file>