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033" w:rsidP="00351033">
      <w:pPr>
        <w:pStyle w:val="Title"/>
      </w:pPr>
      <w:r>
        <w:fldChar w:fldCharType="begin"/>
      </w:r>
      <w:r>
        <w:instrText xml:space="preserve"> TITLE   \* MERGEFORMAT </w:instrText>
      </w:r>
      <w:r>
        <w:fldChar w:fldCharType="separate"/>
      </w:r>
      <w:r>
        <w:t>FNSRSK602A Determine and manage risk exposure strategies</w:t>
      </w:r>
      <w:r>
        <w:fldChar w:fldCharType="end"/>
      </w:r>
    </w:p>
    <w:p w:rsidR="00351033" w:rsidP="00351033">
      <w:pPr>
        <w:pStyle w:val="Version"/>
        <w:sectPr w:rsidSect="00C23E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23E35" w:rsidP="00C23E35">
      <w:pPr>
        <w:pStyle w:val="SuperHeading"/>
      </w:pPr>
      <w:r w:rsidRPr="00C23E35">
        <w:t>FNSRSK602A Determine and manage risk exposure strategies</w:t>
      </w:r>
    </w:p>
    <w:p w:rsidR="00000000" w:rsidRPr="00C23E35" w:rsidP="00C23E35">
      <w:pPr>
        <w:pStyle w:val="SuperHeading"/>
      </w:pPr>
    </w:p>
    <w:p w:rsidR="00000000" w:rsidRPr="00C23E35" w:rsidP="00C23E35">
      <w:pPr>
        <w:pStyle w:val="Heading1"/>
      </w:pPr>
      <w:bookmarkStart w:id="1" w:name="O_80451"/>
      <w:bookmarkEnd w:id="1"/>
      <w:r w:rsidRPr="00C23E35">
        <w:t>Modification History</w:t>
      </w:r>
    </w:p>
    <w:p w:rsidR="00000000" w:rsidRPr="00C23E35" w:rsidP="00C23E35">
      <w:pPr>
        <w:pStyle w:val="BodyText"/>
      </w:pPr>
      <w:r w:rsidRPr="00C23E35">
        <w:t>Not applicable.</w:t>
      </w:r>
    </w:p>
    <w:p w:rsidR="00000000" w:rsidRPr="00C23E35" w:rsidP="00C23E35">
      <w:pPr>
        <w:pStyle w:val="AllowPageBreak"/>
      </w:pPr>
    </w:p>
    <w:p w:rsidR="00000000" w:rsidRPr="00C23E35" w:rsidP="00C23E35">
      <w:pPr>
        <w:pStyle w:val="Heading1"/>
      </w:pPr>
      <w:bookmarkStart w:id="2" w:name="O_80452"/>
      <w:bookmarkEnd w:id="2"/>
      <w:r w:rsidRPr="00C23E35">
        <w:t>Unit Descriptor</w:t>
      </w:r>
    </w:p>
    <w:tbl>
      <w:tblPr>
        <w:tblW w:w="0" w:type="auto"/>
        <w:tblLayout w:type="fixed"/>
        <w:tblCellMar>
          <w:left w:w="62" w:type="dxa"/>
          <w:right w:w="62" w:type="dxa"/>
        </w:tblCellMar>
        <w:tblLook w:val="0000"/>
      </w:tblPr>
      <w:tblGrid>
        <w:gridCol w:w="2639"/>
        <w:gridCol w:w="5883"/>
      </w:tblGrid>
      <w:tr w:rsidTr="00351033">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BodyText"/>
            </w:pPr>
            <w:r w:rsidRPr="00C23E35">
              <w:t>This unit describes the performance outcomes, skills and knowledge required to analy</w:t>
            </w:r>
            <w:r w:rsidRPr="00C23E35">
              <w:t>se risk factors for financial investment and insurance products, determine appropriate risk exposure management strategies and communicate these to relevant staff and intermediaries and personally manage the risk assessment strategies. It is aimed at setti</w:t>
            </w:r>
            <w:r w:rsidRPr="00C23E35">
              <w:t>ng the strategy for portfolio managers, including what types of business will be targeted and not targeted.</w:t>
            </w:r>
          </w:p>
          <w:p w:rsidR="00000000" w:rsidRPr="00C23E35" w:rsidP="00C23E35">
            <w:pPr>
              <w:pStyle w:val="BodyText"/>
            </w:pPr>
          </w:p>
          <w:p w:rsidR="00000000" w:rsidRPr="00C23E35" w:rsidP="00C23E35">
            <w:pPr>
              <w:pStyle w:val="BodyText"/>
            </w:pPr>
            <w:r w:rsidRPr="00C23E35">
              <w:t>This unit may apply to job roles subject to licensing, legislative, regulatory or certification requirements so Commonwealth, State or Territory re</w:t>
            </w:r>
            <w:r w:rsidRPr="00C23E35">
              <w:t>quirements should be confirmed with the relevant body.</w:t>
            </w:r>
          </w:p>
        </w:tc>
      </w:tr>
    </w:tbl>
    <w:p w:rsidR="00000000" w:rsidRPr="00C23E35" w:rsidP="00C23E35">
      <w:pPr>
        <w:pStyle w:val="BodyText"/>
      </w:pPr>
    </w:p>
    <w:p w:rsidR="00000000" w:rsidRPr="00C23E35" w:rsidP="00C23E35">
      <w:pPr>
        <w:pStyle w:val="AllowPageBreak"/>
      </w:pPr>
    </w:p>
    <w:p w:rsidR="00000000" w:rsidRPr="00C23E35" w:rsidP="00C23E35">
      <w:pPr>
        <w:pStyle w:val="Heading1"/>
      </w:pPr>
      <w:bookmarkStart w:id="3" w:name="O_80453"/>
      <w:bookmarkEnd w:id="3"/>
      <w:r w:rsidRPr="00C23E35">
        <w:t>Application of the Unit</w:t>
      </w:r>
    </w:p>
    <w:tbl>
      <w:tblPr>
        <w:tblW w:w="0" w:type="auto"/>
        <w:tblLayout w:type="fixed"/>
        <w:tblCellMar>
          <w:left w:w="62" w:type="dxa"/>
          <w:right w:w="62" w:type="dxa"/>
        </w:tblCellMar>
        <w:tblLook w:val="0000"/>
      </w:tblPr>
      <w:tblGrid>
        <w:gridCol w:w="2721"/>
        <w:gridCol w:w="5801"/>
      </w:tblGrid>
      <w:tr w:rsidTr="00351033">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BodyText"/>
            </w:pPr>
            <w:r w:rsidRPr="00C23E35">
              <w:t>It may be applied within financial product development and marketing, insurance underwriting and other contexts within the financial services industry.</w:t>
            </w:r>
          </w:p>
        </w:tc>
      </w:tr>
    </w:tbl>
    <w:p w:rsidR="00000000" w:rsidRPr="00C23E35" w:rsidP="00C23E35">
      <w:pPr>
        <w:pStyle w:val="BodyText"/>
      </w:pPr>
    </w:p>
    <w:p w:rsidR="00000000" w:rsidRPr="00C23E35" w:rsidP="00C23E35">
      <w:pPr>
        <w:pStyle w:val="AllowPageBreak"/>
      </w:pPr>
    </w:p>
    <w:p w:rsidR="00000000" w:rsidRPr="00C23E35" w:rsidP="00C23E35">
      <w:pPr>
        <w:pStyle w:val="Heading1"/>
      </w:pPr>
      <w:bookmarkStart w:id="4" w:name="O_80454"/>
      <w:bookmarkEnd w:id="4"/>
      <w:r w:rsidRPr="00C23E35">
        <w:t>Licensing/Regulatory Information</w:t>
      </w:r>
    </w:p>
    <w:p w:rsidR="00000000" w:rsidRPr="00C23E35" w:rsidP="00C23E35">
      <w:pPr>
        <w:pStyle w:val="BodyText"/>
      </w:pPr>
      <w:r w:rsidRPr="00C23E35">
        <w:t>Not applicable.</w:t>
      </w:r>
    </w:p>
    <w:p w:rsidR="00000000" w:rsidRPr="00C23E35" w:rsidP="00C23E35">
      <w:pPr>
        <w:pStyle w:val="AllowPageBreak"/>
      </w:pPr>
    </w:p>
    <w:p w:rsidR="00000000" w:rsidRPr="00C23E35" w:rsidP="00C23E35">
      <w:pPr>
        <w:pStyle w:val="Heading1"/>
      </w:pPr>
      <w:bookmarkStart w:id="5" w:name="O_80456"/>
      <w:bookmarkEnd w:id="5"/>
      <w:r w:rsidRPr="00C23E35">
        <w:t>Pre-Requisites</w:t>
      </w:r>
    </w:p>
    <w:tbl>
      <w:tblPr>
        <w:tblW w:w="0" w:type="auto"/>
        <w:tblLayout w:type="fixed"/>
        <w:tblCellMar>
          <w:left w:w="62" w:type="dxa"/>
          <w:right w:w="62" w:type="dxa"/>
        </w:tblCellMar>
        <w:tblLook w:val="0000"/>
      </w:tblPr>
      <w:tblGrid>
        <w:gridCol w:w="2745"/>
        <w:gridCol w:w="1301"/>
        <w:gridCol w:w="4476"/>
      </w:tblGrid>
      <w:tr w:rsidTr="0035103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p>
        </w:tc>
      </w:tr>
      <w:tr w:rsidTr="0035103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p>
        </w:tc>
      </w:tr>
      <w:tr w:rsidTr="0035103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BodyText"/>
            </w:pPr>
          </w:p>
        </w:tc>
      </w:tr>
    </w:tbl>
    <w:p w:rsidR="00000000" w:rsidRPr="00C23E35" w:rsidP="00C23E35">
      <w:pPr>
        <w:pStyle w:val="BodyText"/>
      </w:pPr>
    </w:p>
    <w:p w:rsidR="00000000" w:rsidRPr="00C23E35" w:rsidP="00C23E35">
      <w:pPr>
        <w:pStyle w:val="AllowPageBreak"/>
      </w:pPr>
    </w:p>
    <w:p w:rsidR="00000000" w:rsidRPr="00C23E35" w:rsidP="00C23E35">
      <w:pPr>
        <w:pStyle w:val="Heading1"/>
      </w:pPr>
      <w:bookmarkStart w:id="6" w:name="O_80455"/>
      <w:bookmarkEnd w:id="6"/>
      <w:r w:rsidRPr="00C23E35">
        <w:t>Employability Skills Information</w:t>
      </w:r>
    </w:p>
    <w:tbl>
      <w:tblPr>
        <w:tblW w:w="0" w:type="auto"/>
        <w:tblLayout w:type="fixed"/>
        <w:tblCellMar>
          <w:left w:w="62" w:type="dxa"/>
          <w:right w:w="62" w:type="dxa"/>
        </w:tblCellMar>
        <w:tblLook w:val="0000"/>
      </w:tblPr>
      <w:tblGrid>
        <w:gridCol w:w="2762"/>
        <w:gridCol w:w="5760"/>
      </w:tblGrid>
      <w:tr w:rsidTr="0035103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BodyText"/>
            </w:pPr>
            <w:r w:rsidRPr="00C23E35">
              <w:t>This unit contains employability skills.</w:t>
            </w:r>
          </w:p>
        </w:tc>
      </w:tr>
    </w:tbl>
    <w:p w:rsidR="00000000" w:rsidRPr="00C23E35" w:rsidP="00C23E35">
      <w:pPr>
        <w:pStyle w:val="BodyText"/>
      </w:pPr>
    </w:p>
    <w:p w:rsidR="00000000" w:rsidRPr="00C23E35" w:rsidP="00C23E35">
      <w:pPr>
        <w:pStyle w:val="AllowPageBreak"/>
      </w:pPr>
    </w:p>
    <w:p w:rsidR="00000000" w:rsidRPr="00C23E35" w:rsidP="00C23E35">
      <w:pPr>
        <w:pStyle w:val="Heading1"/>
      </w:pPr>
      <w:bookmarkStart w:id="7" w:name="O_80457"/>
      <w:bookmarkEnd w:id="7"/>
      <w:r w:rsidRPr="00C23E35">
        <w:t>Elements and Performance Criteria Pre-Content</w:t>
      </w:r>
    </w:p>
    <w:tbl>
      <w:tblPr>
        <w:tblW w:w="0" w:type="auto"/>
        <w:tblLayout w:type="fixed"/>
        <w:tblCellMar>
          <w:left w:w="62" w:type="dxa"/>
          <w:right w:w="62" w:type="dxa"/>
        </w:tblCellMar>
        <w:tblLook w:val="0000"/>
      </w:tblPr>
      <w:tblGrid>
        <w:gridCol w:w="2564"/>
        <w:gridCol w:w="5958"/>
      </w:tblGrid>
      <w:tr w:rsidTr="0035103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BodyText"/>
            </w:pPr>
            <w:r w:rsidRPr="00C23E35">
              <w:t>Performance criteria describe the performance needed to demonstrate achievement of the element. Where bold italicised text is used, further information is detailed in the required skills and</w:t>
            </w:r>
            <w:r w:rsidRPr="00C23E35">
              <w:t xml:space="preserve"> knowledge section and the range statement. Assessment of performance is to be consistent with the evidence guide.</w:t>
            </w:r>
          </w:p>
        </w:tc>
      </w:tr>
    </w:tbl>
    <w:p w:rsidR="00000000" w:rsidRPr="00C23E35" w:rsidP="00C23E35">
      <w:pPr>
        <w:pStyle w:val="BodyText"/>
      </w:pPr>
    </w:p>
    <w:p w:rsidR="00000000" w:rsidRPr="00C23E35" w:rsidP="00C23E35">
      <w:pPr>
        <w:pStyle w:val="AllowPageBreak"/>
      </w:pPr>
    </w:p>
    <w:p w:rsidR="00000000" w:rsidRPr="00C23E35" w:rsidP="00C23E35">
      <w:pPr>
        <w:pStyle w:val="Heading1"/>
      </w:pPr>
      <w:bookmarkStart w:id="8" w:name="O_80458"/>
      <w:bookmarkEnd w:id="8"/>
      <w:r w:rsidRPr="00C23E35">
        <w:t>Elements and Performance Criteria</w:t>
      </w:r>
    </w:p>
    <w:tbl>
      <w:tblPr>
        <w:tblW w:w="0" w:type="auto"/>
        <w:tblLayout w:type="fixed"/>
        <w:tblCellMar>
          <w:left w:w="62" w:type="dxa"/>
          <w:right w:w="62" w:type="dxa"/>
        </w:tblCellMar>
        <w:tblLook w:val="0000"/>
      </w:tblPr>
      <w:tblGrid>
        <w:gridCol w:w="2564"/>
        <w:gridCol w:w="5958"/>
      </w:tblGrid>
      <w:tr w:rsidTr="00351033">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BodyText"/>
            </w:pPr>
            <w:r w:rsidRPr="00C23E35">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PERFORMANCE CRITERIA</w:t>
            </w:r>
          </w:p>
        </w:tc>
      </w:tr>
      <w:tr w:rsidTr="0035103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List"/>
              <w:rPr>
                <w:lang w:val="en-NZ"/>
              </w:rPr>
            </w:pPr>
            <w:r w:rsidRPr="00C23E35">
              <w:t>1.</w:t>
            </w:r>
            <w:r w:rsidRPr="00C23E35">
              <w:tab/>
              <w:t>Determine appropriate risk assessment strategies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List2"/>
            </w:pPr>
            <w:r w:rsidRPr="00C23E35">
              <w:t>1.1.</w:t>
            </w:r>
            <w:r w:rsidRPr="00C23E35">
              <w:tab/>
            </w:r>
            <w:r w:rsidRPr="00C23E35">
              <w:t>Appropriate criteria for acceptance or rejection of risks are identified and evaluated</w:t>
            </w:r>
          </w:p>
          <w:p w:rsidR="00000000" w:rsidRPr="00C23E35" w:rsidP="00C23E35">
            <w:pPr>
              <w:pStyle w:val="List2"/>
            </w:pPr>
            <w:r w:rsidRPr="00C23E35">
              <w:t>1.2.</w:t>
            </w:r>
            <w:r w:rsidRPr="00C23E35">
              <w:tab/>
              <w:t>Performance targets for the organisation's capacity to assess and accept risk are determined</w:t>
            </w:r>
          </w:p>
          <w:p w:rsidR="00000000" w:rsidP="00C23E35">
            <w:pPr>
              <w:pStyle w:val="List2"/>
              <w:rPr>
                <w:lang w:val="en-NZ"/>
              </w:rPr>
            </w:pPr>
            <w:r w:rsidRPr="00C23E35">
              <w:t>1.3.</w:t>
            </w:r>
            <w:r w:rsidRPr="00C23E35">
              <w:tab/>
              <w:t xml:space="preserve">Organisation's </w:t>
            </w:r>
            <w:r w:rsidRPr="00C23E35">
              <w:rPr>
                <w:rStyle w:val="BoldandItalics"/>
              </w:rPr>
              <w:t>business risk elements</w:t>
            </w:r>
            <w:r w:rsidRPr="00C23E35">
              <w:t xml:space="preserve"> and </w:t>
            </w:r>
            <w:r w:rsidRPr="00C23E35">
              <w:rPr>
                <w:rStyle w:val="BoldandItalics"/>
              </w:rPr>
              <w:t>control risk elements</w:t>
            </w:r>
            <w:r w:rsidRPr="00C23E35">
              <w:t xml:space="preserve"> ar</w:t>
            </w:r>
            <w:r w:rsidRPr="00C23E35">
              <w:t>e identified</w:t>
            </w:r>
          </w:p>
        </w:tc>
      </w:tr>
      <w:tr w:rsidTr="0035103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List"/>
              <w:rPr>
                <w:lang w:val="en-NZ"/>
              </w:rPr>
            </w:pPr>
            <w:r w:rsidRPr="00C23E35">
              <w:t>2.</w:t>
            </w:r>
            <w:r w:rsidRPr="00C23E35">
              <w:tab/>
              <w:t>Evaluate risk and compliance factors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List2"/>
            </w:pPr>
            <w:r w:rsidRPr="00C23E35">
              <w:t>2.1.</w:t>
            </w:r>
            <w:r w:rsidRPr="00C23E35">
              <w:tab/>
              <w:t xml:space="preserve">Accurate, reliable and up-to-date </w:t>
            </w:r>
            <w:r w:rsidRPr="00C23E35">
              <w:rPr>
                <w:rStyle w:val="BoldandItalics"/>
              </w:rPr>
              <w:t>information</w:t>
            </w:r>
            <w:r w:rsidRPr="00C23E35">
              <w:t xml:space="preserve"> on these elements is identified and collated in a form suitable for analysis with relevant data accessed and comprehensively investigated and reviewed</w:t>
            </w:r>
          </w:p>
          <w:p w:rsidR="00000000" w:rsidRPr="00C23E35" w:rsidP="00C23E35">
            <w:pPr>
              <w:pStyle w:val="List2"/>
            </w:pPr>
            <w:r w:rsidRPr="00C23E35">
              <w:t>2.2.</w:t>
            </w:r>
            <w:r w:rsidRPr="00C23E35">
              <w:tab/>
            </w:r>
            <w:r w:rsidRPr="00C23E35">
              <w:rPr>
                <w:rStyle w:val="BoldandItalics"/>
              </w:rPr>
              <w:t>Risk</w:t>
            </w:r>
            <w:r w:rsidRPr="00C23E35">
              <w:t xml:space="preserve"> elements are evaluated against known exposure factors and compliance with relevant legislation and organisation policy is considered</w:t>
            </w:r>
          </w:p>
          <w:p w:rsidR="00000000" w:rsidRPr="00C23E35" w:rsidP="00C23E35">
            <w:pPr>
              <w:pStyle w:val="List2"/>
            </w:pPr>
            <w:r w:rsidRPr="00C23E35">
              <w:t>2.3.</w:t>
            </w:r>
            <w:r w:rsidRPr="00C23E35">
              <w:tab/>
            </w:r>
            <w:r w:rsidRPr="00C23E35">
              <w:rPr>
                <w:rStyle w:val="BoldandItalics"/>
              </w:rPr>
              <w:t>Risk acceptability factors</w:t>
            </w:r>
            <w:r w:rsidRPr="00C23E35">
              <w:t xml:space="preserve"> are evaluated within the context of organisation's mitigating capabilities</w:t>
            </w:r>
          </w:p>
          <w:p w:rsidR="00000000" w:rsidP="00C23E35">
            <w:pPr>
              <w:pStyle w:val="List2"/>
              <w:rPr>
                <w:lang w:val="en-NZ"/>
              </w:rPr>
            </w:pPr>
            <w:r w:rsidRPr="00C23E35">
              <w:t>2.4.</w:t>
            </w:r>
            <w:r w:rsidRPr="00C23E35">
              <w:tab/>
              <w:t>R</w:t>
            </w:r>
            <w:r w:rsidRPr="00C23E35">
              <w:t>isk acceptability factors are evaluated within the context of organisation requirements</w:t>
            </w:r>
          </w:p>
        </w:tc>
      </w:tr>
      <w:tr w:rsidTr="0035103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List"/>
              <w:rPr>
                <w:lang w:val="en-NZ"/>
              </w:rPr>
            </w:pPr>
            <w:r w:rsidRPr="00C23E35">
              <w:t>3.</w:t>
            </w:r>
            <w:r w:rsidRPr="00C23E35">
              <w:tab/>
              <w:t>Establish risk acceptance criteria</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List2"/>
            </w:pPr>
            <w:r w:rsidRPr="00C23E35">
              <w:t>3.1.</w:t>
            </w:r>
            <w:r w:rsidRPr="00C23E35">
              <w:tab/>
              <w:t xml:space="preserve">Terms and conditions of </w:t>
            </w:r>
            <w:r w:rsidRPr="00C23E35">
              <w:rPr>
                <w:rStyle w:val="BoldandItalics"/>
              </w:rPr>
              <w:t>risk acceptance criteria</w:t>
            </w:r>
            <w:r w:rsidRPr="00C23E35">
              <w:t xml:space="preserve"> for low hazard risk areas are established that meet market conditions and a</w:t>
            </w:r>
            <w:r w:rsidRPr="00C23E35">
              <w:t>re within organisation accepted levels of exposure</w:t>
            </w:r>
          </w:p>
          <w:p w:rsidR="00000000" w:rsidRPr="00C23E35" w:rsidP="00C23E35">
            <w:pPr>
              <w:pStyle w:val="List2"/>
            </w:pPr>
            <w:r w:rsidRPr="00C23E35">
              <w:t>3.2.</w:t>
            </w:r>
            <w:r w:rsidRPr="00C23E35">
              <w:tab/>
              <w:t>Terms and conditions of risk acceptance for high hazard risk areas are established that meet market conditions and are within organisation accepted levels of exposure</w:t>
            </w:r>
          </w:p>
          <w:p w:rsidR="00000000" w:rsidRPr="00C23E35" w:rsidP="00C23E35">
            <w:pPr>
              <w:pStyle w:val="List2"/>
            </w:pPr>
            <w:r w:rsidRPr="00C23E35">
              <w:t>3.3.</w:t>
            </w:r>
            <w:r w:rsidRPr="00C23E35">
              <w:tab/>
            </w:r>
            <w:r w:rsidRPr="00C23E35">
              <w:t>Risk acceptance strategies, criteria and guidelines are clearly documented, and meet the requirements of relevant guidelines and are determined within delegated authorities</w:t>
            </w:r>
          </w:p>
          <w:p w:rsidR="00000000" w:rsidP="00C23E35">
            <w:pPr>
              <w:pStyle w:val="List2"/>
              <w:rPr>
                <w:lang w:val="en-NZ"/>
              </w:rPr>
            </w:pPr>
            <w:r w:rsidRPr="00C23E35">
              <w:t>3.4.</w:t>
            </w:r>
            <w:r w:rsidRPr="00C23E35">
              <w:tab/>
              <w:t>Relevant feedback is obtained and reviewed and the risk acceptance criteria, a</w:t>
            </w:r>
            <w:r w:rsidRPr="00C23E35">
              <w:t>nd associated authority limitations, conditions and guidelines finalised</w:t>
            </w:r>
          </w:p>
        </w:tc>
      </w:tr>
      <w:tr w:rsidTr="0035103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List"/>
              <w:rPr>
                <w:lang w:val="en-NZ"/>
              </w:rPr>
            </w:pPr>
            <w:r w:rsidRPr="00C23E35">
              <w:t>4.</w:t>
            </w:r>
            <w:r w:rsidRPr="00C23E35">
              <w:tab/>
              <w:t>Develop risk management strategies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List2"/>
            </w:pPr>
            <w:r w:rsidRPr="00C23E35">
              <w:t>4.1.</w:t>
            </w:r>
            <w:r w:rsidRPr="00C23E35">
              <w:tab/>
            </w:r>
            <w:r w:rsidRPr="00C23E35">
              <w:rPr>
                <w:rStyle w:val="BoldandItalics"/>
              </w:rPr>
              <w:t>Risk management</w:t>
            </w:r>
            <w:r w:rsidRPr="00C23E35">
              <w:t xml:space="preserve"> for each risk is selected and an implementation plan developed</w:t>
            </w:r>
          </w:p>
          <w:p w:rsidR="00000000" w:rsidP="00C23E35">
            <w:pPr>
              <w:pStyle w:val="List2"/>
              <w:rPr>
                <w:lang w:val="en-NZ"/>
              </w:rPr>
            </w:pPr>
            <w:r w:rsidRPr="00C23E35">
              <w:t>4.2.</w:t>
            </w:r>
            <w:r w:rsidRPr="00C23E35">
              <w:tab/>
              <w:t>Procedures that staff should follow in operationalising</w:t>
            </w:r>
            <w:r w:rsidRPr="00C23E35">
              <w:t xml:space="preserve"> strategy are identified and developed</w:t>
            </w:r>
          </w:p>
        </w:tc>
      </w:tr>
      <w:tr w:rsidTr="0035103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List"/>
              <w:rPr>
                <w:lang w:val="en-NZ"/>
              </w:rPr>
            </w:pPr>
            <w:r w:rsidRPr="00C23E35">
              <w:t>5.</w:t>
            </w:r>
            <w:r w:rsidRPr="00C23E35">
              <w:tab/>
              <w:t>Implement risk assessment strategies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List2"/>
            </w:pPr>
            <w:r w:rsidRPr="00C23E35">
              <w:t>5.1.</w:t>
            </w:r>
            <w:r w:rsidRPr="00C23E35">
              <w:tab/>
              <w:t>Risk assessment strategies, criteria and guidelines are communicated to relevant staff and intermediaries</w:t>
            </w:r>
          </w:p>
          <w:p w:rsidR="00000000" w:rsidP="00C23E35">
            <w:pPr>
              <w:pStyle w:val="List2"/>
              <w:rPr>
                <w:lang w:val="en-NZ"/>
              </w:rPr>
            </w:pPr>
            <w:r w:rsidRPr="00C23E35">
              <w:t>5.2.</w:t>
            </w:r>
            <w:r w:rsidRPr="00C23E35">
              <w:tab/>
              <w:t xml:space="preserve">Risk acceptance strategy implementation is </w:t>
            </w:r>
            <w:r w:rsidRPr="00C23E35">
              <w:t>monitored</w:t>
            </w:r>
          </w:p>
        </w:tc>
      </w:tr>
      <w:tr w:rsidTr="0035103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List"/>
              <w:rPr>
                <w:lang w:val="en-NZ"/>
              </w:rPr>
            </w:pPr>
            <w:r w:rsidRPr="00C23E35">
              <w:t>6.</w:t>
            </w:r>
            <w:r w:rsidRPr="00C23E35">
              <w:tab/>
              <w:t>Eva</w:t>
            </w:r>
            <w:r w:rsidRPr="00C23E35">
              <w:t>luate and review risk assessment strategies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List2"/>
            </w:pPr>
            <w:r w:rsidRPr="00C23E35">
              <w:t>6.1.</w:t>
            </w:r>
            <w:r w:rsidRPr="00C23E35">
              <w:tab/>
              <w:t>Risk assessment strategies are evaluated to determine effectiveness in achieving risk management objectives and reviewed as required</w:t>
            </w:r>
          </w:p>
          <w:p w:rsidR="00000000" w:rsidRPr="00C23E35" w:rsidP="00C23E35">
            <w:pPr>
              <w:pStyle w:val="List2"/>
            </w:pPr>
            <w:r w:rsidRPr="00C23E35">
              <w:t>6.2.</w:t>
            </w:r>
            <w:r w:rsidRPr="00C23E35">
              <w:tab/>
              <w:t>Results are documented and communicated to relevant staff</w:t>
            </w:r>
          </w:p>
        </w:tc>
      </w:tr>
    </w:tbl>
    <w:p w:rsidR="00000000" w:rsidRPr="00C23E35" w:rsidP="00C23E35">
      <w:pPr>
        <w:pStyle w:val="BodyText"/>
      </w:pPr>
    </w:p>
    <w:p w:rsidR="00000000" w:rsidRPr="00C23E35" w:rsidP="00C23E35">
      <w:pPr>
        <w:pStyle w:val="AllowPageBreak"/>
      </w:pPr>
    </w:p>
    <w:p w:rsidR="00000000" w:rsidRPr="00C23E35" w:rsidP="00C23E35">
      <w:pPr>
        <w:pStyle w:val="Heading1"/>
      </w:pPr>
      <w:bookmarkStart w:id="9" w:name="O_80459"/>
      <w:bookmarkEnd w:id="9"/>
      <w:r w:rsidRPr="00C23E35">
        <w:t>Required Skills and Knowledge</w:t>
      </w:r>
    </w:p>
    <w:tbl>
      <w:tblPr>
        <w:tblW w:w="0" w:type="auto"/>
        <w:tblLayout w:type="fixed"/>
        <w:tblCellMar>
          <w:left w:w="62" w:type="dxa"/>
          <w:right w:w="62" w:type="dxa"/>
        </w:tblCellMar>
        <w:tblLook w:val="0000"/>
      </w:tblPr>
      <w:tblGrid>
        <w:gridCol w:w="8522"/>
      </w:tblGrid>
      <w:tr w:rsidTr="003510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REQUIRED SKILLS AND KNOWLEDGE</w:t>
            </w:r>
          </w:p>
        </w:tc>
      </w:tr>
      <w:tr w:rsidTr="003510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t>This section describes the skills and knowledge required for this unit.</w:t>
            </w:r>
          </w:p>
        </w:tc>
      </w:tr>
      <w:tr w:rsidTr="003510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Required skills</w:t>
            </w:r>
          </w:p>
        </w:tc>
      </w:tr>
      <w:tr w:rsidTr="003510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ListBullet"/>
            </w:pPr>
            <w:r w:rsidRPr="00C23E35">
              <w:t>highly developed communication skills to:</w:t>
            </w:r>
          </w:p>
          <w:p w:rsidR="00000000" w:rsidRPr="00C23E35" w:rsidP="00C23E35">
            <w:pPr>
              <w:pStyle w:val="ListBullet2"/>
            </w:pPr>
            <w:r w:rsidRPr="00C23E35">
              <w:t>determine and confirm organisation risk strategy requirements, using questioning and active listening as required</w:t>
            </w:r>
          </w:p>
          <w:p w:rsidR="00000000" w:rsidRPr="00C23E35" w:rsidP="00C23E35">
            <w:pPr>
              <w:pStyle w:val="ListBullet2"/>
            </w:pPr>
            <w:r w:rsidRPr="00C23E35">
              <w:t>liaise with others, share information, listen and understand</w:t>
            </w:r>
          </w:p>
          <w:p w:rsidR="00000000" w:rsidRPr="00C23E35" w:rsidP="00C23E35">
            <w:pPr>
              <w:pStyle w:val="ListBullet2"/>
            </w:pPr>
            <w:r w:rsidRPr="00C23E35">
              <w:t>use language and concepts appropriate to cultural differences</w:t>
            </w:r>
          </w:p>
          <w:p w:rsidR="00000000" w:rsidRPr="00C23E35" w:rsidP="00C23E35">
            <w:pPr>
              <w:pStyle w:val="ListBullet"/>
            </w:pPr>
            <w:r w:rsidRPr="00C23E35">
              <w:t>highly developed r</w:t>
            </w:r>
            <w:r w:rsidRPr="00C23E35">
              <w:t>esearch  and analysis for accessing, interpreting and managing complex information</w:t>
            </w:r>
          </w:p>
          <w:p w:rsidR="00000000" w:rsidRPr="00C23E35" w:rsidP="00C23E35">
            <w:pPr>
              <w:pStyle w:val="ListBullet"/>
            </w:pPr>
            <w:r w:rsidRPr="00C23E35">
              <w:t>well-developed risk assessment and management skills</w:t>
            </w:r>
          </w:p>
          <w:p w:rsidR="00000000" w:rsidRPr="00C23E35" w:rsidP="00C23E35">
            <w:pPr>
              <w:pStyle w:val="ListBullet"/>
            </w:pPr>
            <w:r w:rsidRPr="00C23E35">
              <w:t>numeracy and IT skills for:</w:t>
            </w:r>
          </w:p>
          <w:p w:rsidR="00000000" w:rsidRPr="00C23E35" w:rsidP="00C23E35">
            <w:pPr>
              <w:pStyle w:val="ListBullet2"/>
            </w:pPr>
            <w:r w:rsidRPr="00C23E35">
              <w:t>identifying and using statistical information</w:t>
            </w:r>
          </w:p>
          <w:p w:rsidR="00000000" w:rsidRPr="00C23E35" w:rsidP="00C23E35">
            <w:pPr>
              <w:pStyle w:val="ListBullet2"/>
            </w:pPr>
            <w:r w:rsidRPr="00C23E35">
              <w:t>accessing and using appropriate software such</w:t>
            </w:r>
            <w:r w:rsidRPr="00C23E35">
              <w:t xml:space="preserve"> as word processors, spreadsheets and databases and internet information</w:t>
            </w:r>
          </w:p>
          <w:p w:rsidR="00000000" w:rsidRPr="00C23E35" w:rsidP="00C23E35">
            <w:pPr>
              <w:pStyle w:val="ListBullet"/>
            </w:pPr>
            <w:r w:rsidRPr="00C23E35">
              <w:t>well-developed literacy skills for analysingrisk information and financial products to ensure appropriateness to the organisation</w:t>
            </w:r>
          </w:p>
          <w:p w:rsidR="00000000" w:rsidRPr="00C23E35" w:rsidP="00C23E35">
            <w:pPr>
              <w:pStyle w:val="ListBullet"/>
            </w:pPr>
            <w:r w:rsidRPr="00C23E35">
              <w:t>well-developed problem solving skills to identify an</w:t>
            </w:r>
            <w:r w:rsidRPr="00C23E35">
              <w:t>y issues that have the potential to impact on risk strategies and compliance and to develop options to resolve these issues when they arise</w:t>
            </w:r>
          </w:p>
          <w:p w:rsidR="00000000" w:rsidP="00C23E35">
            <w:pPr>
              <w:pStyle w:val="ListBullet"/>
              <w:rPr>
                <w:lang w:val="en-NZ"/>
              </w:rPr>
            </w:pPr>
            <w:r w:rsidRPr="00C23E35">
              <w:t>organisational skills, including the ability to plan and sequence work</w:t>
            </w:r>
          </w:p>
        </w:tc>
      </w:tr>
      <w:tr w:rsidTr="003510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Required knowledge</w:t>
            </w:r>
          </w:p>
        </w:tc>
      </w:tr>
      <w:tr w:rsidTr="003510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ListBullet"/>
            </w:pPr>
            <w:r w:rsidRPr="00C23E35">
              <w:t>Australian Standard 4360 Risk Management</w:t>
            </w:r>
          </w:p>
          <w:p w:rsidR="00000000" w:rsidRPr="00C23E35" w:rsidP="00C23E35">
            <w:pPr>
              <w:pStyle w:val="ListBullet"/>
            </w:pPr>
            <w:r w:rsidRPr="00C23E35">
              <w:t>actuarial and financial principles and processes</w:t>
            </w:r>
          </w:p>
          <w:p w:rsidR="00000000" w:rsidRPr="00C23E35" w:rsidP="00C23E35">
            <w:pPr>
              <w:pStyle w:val="ListBullet"/>
            </w:pPr>
            <w:r w:rsidRPr="00C23E35">
              <w:t>industry sector compliance requirements such as the General Insurance Code of practice</w:t>
            </w:r>
          </w:p>
          <w:p w:rsidR="00000000" w:rsidRPr="00C23E35" w:rsidP="00C23E35">
            <w:pPr>
              <w:pStyle w:val="ListBullet"/>
            </w:pPr>
            <w:r w:rsidRPr="00C23E35">
              <w:t>organisation products and services</w:t>
            </w:r>
          </w:p>
          <w:p w:rsidR="00000000" w:rsidRPr="00C23E35" w:rsidP="00C23E35">
            <w:pPr>
              <w:pStyle w:val="ListBullet"/>
            </w:pPr>
            <w:r w:rsidRPr="00C23E35">
              <w:t>identification of liability loss exposures</w:t>
            </w:r>
          </w:p>
          <w:p w:rsidR="00000000" w:rsidRPr="00C23E35" w:rsidP="00C23E35">
            <w:pPr>
              <w:pStyle w:val="ListBullet"/>
            </w:pPr>
            <w:r w:rsidRPr="00C23E35">
              <w:t>o</w:t>
            </w:r>
            <w:r w:rsidRPr="00C23E35">
              <w:t>rganisation policy, procedures guidelines and authorities</w:t>
            </w:r>
          </w:p>
          <w:p w:rsidR="00000000" w:rsidRPr="00C23E35" w:rsidP="00C23E35">
            <w:pPr>
              <w:pStyle w:val="ListBullet"/>
            </w:pPr>
            <w:r w:rsidRPr="00C23E35">
              <w:t>relevant industry hazards and risk exposures</w:t>
            </w:r>
          </w:p>
          <w:p w:rsidR="00000000" w:rsidRPr="00C23E35" w:rsidP="00C23E35">
            <w:pPr>
              <w:pStyle w:val="ListBullet"/>
            </w:pPr>
            <w:r w:rsidRPr="00C23E35">
              <w:t>relevant legislation, regulatory guidelines and industry sector compliance requirements, such as:</w:t>
            </w:r>
          </w:p>
          <w:p w:rsidR="00000000" w:rsidRPr="00C23E35" w:rsidP="00C23E35">
            <w:pPr>
              <w:pStyle w:val="ListBullet2"/>
            </w:pPr>
            <w:r w:rsidRPr="00C23E35">
              <w:t>Insurance Contracts Act</w:t>
            </w:r>
          </w:p>
          <w:p w:rsidR="00000000" w:rsidRPr="00C23E35" w:rsidP="00C23E35">
            <w:pPr>
              <w:pStyle w:val="ListBullet2"/>
            </w:pPr>
            <w:r w:rsidRPr="00C23E35">
              <w:t>Privacy Act</w:t>
            </w:r>
          </w:p>
          <w:p w:rsidR="00000000" w:rsidRPr="00C23E35" w:rsidP="00C23E35">
            <w:pPr>
              <w:pStyle w:val="ListBullet2"/>
            </w:pPr>
            <w:r w:rsidRPr="00C23E35">
              <w:t>Trade Practices</w:t>
            </w:r>
          </w:p>
          <w:p w:rsidR="00000000" w:rsidRPr="00C23E35" w:rsidP="00C23E35">
            <w:pPr>
              <w:pStyle w:val="ListBullet2"/>
            </w:pPr>
            <w:r w:rsidRPr="00C23E35">
              <w:t>Corporations Act</w:t>
            </w:r>
          </w:p>
          <w:p w:rsidR="00000000" w:rsidRPr="00C23E35" w:rsidP="00C23E35">
            <w:pPr>
              <w:pStyle w:val="ListBullet"/>
            </w:pPr>
            <w:r w:rsidRPr="00C23E35">
              <w:t>risk assessment and prevention methods and application</w:t>
            </w:r>
          </w:p>
        </w:tc>
      </w:tr>
    </w:tbl>
    <w:p w:rsidR="00000000" w:rsidRPr="00C23E35" w:rsidP="00C23E35">
      <w:pPr>
        <w:pStyle w:val="BodyText"/>
      </w:pPr>
    </w:p>
    <w:p w:rsidR="00000000" w:rsidRPr="00C23E35" w:rsidP="00C23E35">
      <w:pPr>
        <w:pStyle w:val="AllowPageBreak"/>
      </w:pPr>
    </w:p>
    <w:p w:rsidR="00000000" w:rsidRPr="00C23E35" w:rsidP="00C23E35">
      <w:pPr>
        <w:pStyle w:val="Heading1"/>
      </w:pPr>
      <w:bookmarkStart w:id="10" w:name="O_80460"/>
      <w:bookmarkEnd w:id="10"/>
      <w:r w:rsidRPr="00C23E35">
        <w:t>Evidence Guide</w:t>
      </w:r>
    </w:p>
    <w:tbl>
      <w:tblPr>
        <w:tblW w:w="9570" w:type="dxa"/>
        <w:tblLayout w:type="fixed"/>
        <w:tblCellMar>
          <w:left w:w="62" w:type="dxa"/>
          <w:right w:w="62" w:type="dxa"/>
        </w:tblCellMar>
        <w:tblLook w:val="0000"/>
      </w:tblPr>
      <w:tblGrid>
        <w:gridCol w:w="2808"/>
        <w:gridCol w:w="6762"/>
      </w:tblGrid>
      <w:tr w:rsidTr="003510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EVIDENCE GUIDE</w:t>
            </w:r>
          </w:p>
        </w:tc>
      </w:tr>
      <w:tr w:rsidTr="003510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t>The Evidence Guide provides advice on assessment and must be read in conjunction with the performance criteria, required skills and knowledge, range statement and the Assessment Guidelines for the Training Package.</w:t>
            </w:r>
          </w:p>
        </w:tc>
      </w:tr>
      <w:tr w:rsidTr="003510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p>
        </w:tc>
      </w:tr>
      <w:tr w:rsidTr="003510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BodyText"/>
            </w:pPr>
            <w:r w:rsidRPr="00C23E35">
              <w:t>Evidence of the ability to:</w:t>
            </w:r>
          </w:p>
          <w:p w:rsidR="00000000" w:rsidRPr="00C23E35" w:rsidP="00C23E35">
            <w:pPr>
              <w:pStyle w:val="ListBullet"/>
            </w:pPr>
            <w:r w:rsidRPr="00C23E35">
              <w:t>interpret and apply organisation policy and procedures and comply with legislation, regulations and industry codes of practice</w:t>
            </w:r>
          </w:p>
          <w:p w:rsidR="00000000" w:rsidP="00C23E35">
            <w:pPr>
              <w:pStyle w:val="ListBullet"/>
              <w:rPr>
                <w:lang w:val="en-NZ"/>
              </w:rPr>
            </w:pPr>
            <w:r w:rsidRPr="00C23E35">
              <w:t>effecti</w:t>
            </w:r>
            <w:r w:rsidRPr="00C23E35">
              <w:t>vely analyse, determine and manage financial risk exposure strategies.</w:t>
            </w:r>
          </w:p>
        </w:tc>
      </w:tr>
      <w:tr w:rsidTr="003510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BodyText"/>
            </w:pPr>
            <w:r w:rsidRPr="00C23E35">
              <w:t>Assessment must ensure:</w:t>
            </w:r>
          </w:p>
          <w:p w:rsidR="00000000" w:rsidRPr="00C23E35" w:rsidP="00C23E35">
            <w:pPr>
              <w:pStyle w:val="ListBullet"/>
            </w:pPr>
            <w:r w:rsidRPr="00C23E35">
              <w:t xml:space="preserve">competency is demonstrated in the context of the financial services work environment and conditions specified </w:t>
            </w:r>
            <w:r w:rsidRPr="00C23E35">
              <w:t>in the range statement either in a relevant workplace or a closely simulated work environment</w:t>
            </w:r>
          </w:p>
          <w:p w:rsidR="00000000" w:rsidRPr="00C23E35" w:rsidP="00C23E35">
            <w:pPr>
              <w:pStyle w:val="ListBullet"/>
            </w:pPr>
            <w:r w:rsidRPr="00C23E35">
              <w:t>access to and the use of a range of common office equipment, technology, software and consumables</w:t>
            </w:r>
          </w:p>
          <w:p w:rsidR="00000000" w:rsidP="00C23E35">
            <w:pPr>
              <w:pStyle w:val="ListBullet"/>
              <w:rPr>
                <w:lang w:val="en-NZ"/>
              </w:rPr>
            </w:pPr>
            <w:r w:rsidRPr="00C23E35">
              <w:t>access to organisation and industry risk management documentatio</w:t>
            </w:r>
            <w:r w:rsidRPr="00C23E35">
              <w:t>n and information.</w:t>
            </w:r>
          </w:p>
        </w:tc>
      </w:tr>
      <w:tr w:rsidTr="003510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BodyText"/>
            </w:pPr>
            <w:r w:rsidRPr="00C23E35">
              <w:t>A range of assessment methods should be used to assess practical skills and knowledge. The following examples, in combination, are appropriate for this unit:</w:t>
            </w:r>
          </w:p>
          <w:p w:rsidR="00000000" w:rsidRPr="00C23E35" w:rsidP="00C23E35">
            <w:pPr>
              <w:pStyle w:val="ListBullet"/>
            </w:pPr>
            <w:r w:rsidRPr="00C23E35">
              <w:t>evaluating an integrated activity which combines the ele</w:t>
            </w:r>
            <w:r w:rsidRPr="00C23E35">
              <w:t>ments of competency for the unit or a cluster of related units of competency</w:t>
            </w:r>
          </w:p>
          <w:p w:rsidR="00000000" w:rsidRPr="00C23E35" w:rsidP="00C23E35">
            <w:pPr>
              <w:pStyle w:val="ListBullet"/>
            </w:pPr>
            <w:r w:rsidRPr="00C23E35">
              <w:t>verbal or written questioning on underpinning knowledge and skills</w:t>
            </w:r>
          </w:p>
          <w:p w:rsidR="00000000" w:rsidRPr="00C23E35" w:rsidP="00C23E35">
            <w:pPr>
              <w:pStyle w:val="ListBullet"/>
            </w:pPr>
            <w:r w:rsidRPr="00C23E35">
              <w:t>setting and reviewing business simulations or scenarios</w:t>
            </w:r>
          </w:p>
          <w:p w:rsidR="00000000" w:rsidRPr="00C23E35" w:rsidP="00C23E35">
            <w:pPr>
              <w:pStyle w:val="ListBullet"/>
            </w:pPr>
            <w:r w:rsidRPr="00C23E35">
              <w:t>evaluating samples of work</w:t>
            </w:r>
          </w:p>
          <w:p w:rsidR="00000000" w:rsidP="00C23E35">
            <w:pPr>
              <w:pStyle w:val="ListBullet"/>
              <w:rPr>
                <w:lang w:val="en-NZ"/>
              </w:rPr>
            </w:pPr>
            <w:r w:rsidRPr="00C23E35">
              <w:t>accessing and validating third party reports.</w:t>
            </w:r>
          </w:p>
        </w:tc>
      </w:tr>
      <w:tr w:rsidTr="003510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BodyText"/>
            </w:pPr>
          </w:p>
        </w:tc>
      </w:tr>
    </w:tbl>
    <w:p w:rsidR="00000000" w:rsidRPr="00C23E35" w:rsidP="00C23E35">
      <w:pPr>
        <w:pStyle w:val="BodyText"/>
      </w:pPr>
    </w:p>
    <w:p w:rsidR="00000000" w:rsidRPr="00C23E35" w:rsidP="00C23E35">
      <w:pPr>
        <w:pStyle w:val="AllowPageBreak"/>
      </w:pPr>
    </w:p>
    <w:p w:rsidR="00000000" w:rsidRPr="00C23E35" w:rsidP="00C23E35">
      <w:pPr>
        <w:pStyle w:val="Heading1"/>
      </w:pPr>
      <w:bookmarkStart w:id="11" w:name="O_80461"/>
      <w:bookmarkEnd w:id="11"/>
      <w:r w:rsidRPr="00C23E35">
        <w:t>Range Statement</w:t>
      </w:r>
    </w:p>
    <w:tbl>
      <w:tblPr>
        <w:tblW w:w="0" w:type="auto"/>
        <w:tblLayout w:type="fixed"/>
        <w:tblCellMar>
          <w:left w:w="62" w:type="dxa"/>
          <w:right w:w="62" w:type="dxa"/>
        </w:tblCellMar>
        <w:tblLook w:val="0000"/>
      </w:tblPr>
      <w:tblGrid>
        <w:gridCol w:w="2511"/>
        <w:gridCol w:w="6011"/>
      </w:tblGrid>
      <w:tr w:rsidTr="003510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RANGE STATEMENT</w:t>
            </w:r>
          </w:p>
        </w:tc>
      </w:tr>
      <w:tr w:rsidTr="003510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t>The range statement relates to the unit of competency as a whole. It allows for different work environments and situations that may affect performance. Bold italicised wording, if used in the performance criteria, is detailed below. Essential operating con</w:t>
            </w:r>
            <w:r w:rsidRPr="00C23E35">
              <w:t>ditions that may be present with training and assessment (depending on the work situation, needs of the candidate, accessibility of the item, and local industry and regional contexts) may also be included.</w:t>
            </w:r>
          </w:p>
        </w:tc>
      </w:tr>
      <w:tr w:rsidTr="00351033">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BoldandItalics"/>
              </w:rPr>
              <w:t>Business risk elements</w:t>
            </w:r>
            <w:r w:rsidRPr="00C23E35">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ListBullet"/>
            </w:pPr>
            <w:r w:rsidRPr="00C23E35">
              <w:t>adequacy of</w:t>
            </w:r>
            <w:r w:rsidRPr="00C23E35">
              <w:t xml:space="preserve"> capital</w:t>
            </w:r>
          </w:p>
          <w:p w:rsidR="00000000" w:rsidRPr="00C23E35" w:rsidP="00C23E35">
            <w:pPr>
              <w:pStyle w:val="ListBullet"/>
            </w:pPr>
            <w:r w:rsidRPr="00C23E35">
              <w:t>credit risk</w:t>
            </w:r>
          </w:p>
          <w:p w:rsidR="00000000" w:rsidRPr="00C23E35" w:rsidP="00C23E35">
            <w:pPr>
              <w:pStyle w:val="ListBullet"/>
            </w:pPr>
            <w:r w:rsidRPr="00C23E35">
              <w:t>earnings</w:t>
            </w:r>
          </w:p>
          <w:p w:rsidR="00000000" w:rsidRPr="00C23E35" w:rsidP="00C23E35">
            <w:pPr>
              <w:pStyle w:val="ListBullet"/>
            </w:pPr>
            <w:r w:rsidRPr="00C23E35">
              <w:t>insurance underwriting risk</w:t>
            </w:r>
          </w:p>
          <w:p w:rsidR="00000000" w:rsidRPr="00C23E35" w:rsidP="00C23E35">
            <w:pPr>
              <w:pStyle w:val="ListBullet"/>
            </w:pPr>
            <w:r w:rsidRPr="00C23E35">
              <w:t>liquidity</w:t>
            </w:r>
          </w:p>
          <w:p w:rsidR="00000000" w:rsidRPr="00C23E35" w:rsidP="00C23E35">
            <w:pPr>
              <w:pStyle w:val="ListBullet"/>
            </w:pPr>
            <w:r w:rsidRPr="00C23E35">
              <w:t>litigation and other legal risk</w:t>
            </w:r>
          </w:p>
          <w:p w:rsidR="00000000" w:rsidRPr="00C23E35" w:rsidP="00C23E35">
            <w:pPr>
              <w:pStyle w:val="ListBullet"/>
            </w:pPr>
            <w:r w:rsidRPr="00C23E35">
              <w:t>market efficiency</w:t>
            </w:r>
          </w:p>
          <w:p w:rsidR="00000000" w:rsidRPr="00C23E35" w:rsidP="00C23E35">
            <w:pPr>
              <w:pStyle w:val="ListBullet"/>
            </w:pPr>
            <w:r w:rsidRPr="00C23E35">
              <w:t>market risk</w:t>
            </w:r>
          </w:p>
          <w:p w:rsidR="00000000" w:rsidRPr="00C23E35" w:rsidP="00C23E35">
            <w:pPr>
              <w:pStyle w:val="ListBullet"/>
            </w:pPr>
            <w:r w:rsidRPr="00C23E35">
              <w:t>nature of business</w:t>
            </w:r>
          </w:p>
          <w:p w:rsidR="00000000" w:rsidRPr="00C23E35" w:rsidP="00C23E35">
            <w:pPr>
              <w:pStyle w:val="ListBullet"/>
            </w:pPr>
            <w:r w:rsidRPr="00C23E35">
              <w:t>operational risk</w:t>
            </w:r>
          </w:p>
          <w:p w:rsidR="00000000" w:rsidRPr="00C23E35" w:rsidP="00C23E35">
            <w:pPr>
              <w:pStyle w:val="ListBullet"/>
            </w:pPr>
            <w:r w:rsidRPr="00C23E35">
              <w:t>proper markets</w:t>
            </w:r>
          </w:p>
          <w:p w:rsidR="00000000" w:rsidRPr="00C23E35" w:rsidP="00C23E35">
            <w:pPr>
              <w:pStyle w:val="ListBullet"/>
            </w:pPr>
            <w:r w:rsidRPr="00C23E35">
              <w:t>quality of strategy</w:t>
            </w:r>
          </w:p>
          <w:p w:rsidR="00000000" w:rsidRPr="00C23E35" w:rsidP="00C23E35">
            <w:pPr>
              <w:pStyle w:val="ListBullet"/>
            </w:pPr>
            <w:r w:rsidRPr="00C23E35">
              <w:t>sources of business and distribution mechanisms</w:t>
            </w:r>
          </w:p>
          <w:p w:rsidR="00000000" w:rsidRPr="00C23E35" w:rsidP="00C23E35">
            <w:pPr>
              <w:pStyle w:val="ListBullet"/>
            </w:pPr>
            <w:r w:rsidRPr="00C23E35">
              <w:t>type of customer, user or member</w:t>
            </w:r>
          </w:p>
          <w:p w:rsidR="00000000" w:rsidP="00C23E35">
            <w:pPr>
              <w:pStyle w:val="ListBullet"/>
              <w:rPr>
                <w:lang w:val="en-NZ"/>
              </w:rPr>
            </w:pPr>
            <w:r w:rsidRPr="00C23E35">
              <w:t>types of products and services.</w:t>
            </w:r>
          </w:p>
        </w:tc>
      </w:tr>
      <w:tr w:rsidTr="00351033">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BoldandItalics"/>
              </w:rPr>
              <w:t>Control risk elements</w:t>
            </w:r>
            <w:r w:rsidRPr="00C23E35">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ListBullet"/>
            </w:pPr>
            <w:r w:rsidRPr="00C23E35">
              <w:t>allocation and definition of management responsibilities</w:t>
            </w:r>
          </w:p>
          <w:p w:rsidR="00000000" w:rsidRPr="00C23E35" w:rsidP="00C23E35">
            <w:pPr>
              <w:pStyle w:val="ListBullet"/>
            </w:pPr>
            <w:r w:rsidRPr="00C23E35">
              <w:t>business continuity</w:t>
            </w:r>
          </w:p>
          <w:p w:rsidR="00000000" w:rsidRPr="00C23E35" w:rsidP="00C23E35">
            <w:pPr>
              <w:pStyle w:val="ListBullet"/>
            </w:pPr>
            <w:r w:rsidRPr="00C23E35">
              <w:t>clarity of legal ownership structure</w:t>
            </w:r>
          </w:p>
          <w:p w:rsidR="00000000" w:rsidRPr="00C23E35" w:rsidP="00C23E35">
            <w:pPr>
              <w:pStyle w:val="ListBullet"/>
            </w:pPr>
            <w:r w:rsidRPr="00C23E35">
              <w:t>compliance</w:t>
            </w:r>
          </w:p>
          <w:p w:rsidR="00000000" w:rsidRPr="00C23E35" w:rsidP="00C23E35">
            <w:pPr>
              <w:pStyle w:val="ListBullet"/>
            </w:pPr>
            <w:r w:rsidRPr="00C23E35">
              <w:t>corporate governance</w:t>
            </w:r>
          </w:p>
          <w:p w:rsidR="00000000" w:rsidRPr="00C23E35" w:rsidP="00C23E35">
            <w:pPr>
              <w:pStyle w:val="ListBullet"/>
            </w:pPr>
            <w:r w:rsidRPr="00C23E35">
              <w:t>cultural issues and business ethics</w:t>
            </w:r>
          </w:p>
          <w:p w:rsidR="00000000" w:rsidRPr="00C23E35" w:rsidP="00C23E35">
            <w:pPr>
              <w:pStyle w:val="ListBullet"/>
            </w:pPr>
            <w:r w:rsidRPr="00C23E35">
              <w:t>financial and regulatory reporting and accounting policies</w:t>
            </w:r>
          </w:p>
          <w:p w:rsidR="00000000" w:rsidRPr="00C23E35" w:rsidP="00C23E35">
            <w:pPr>
              <w:pStyle w:val="ListBullet"/>
            </w:pPr>
            <w:r w:rsidRPr="00C23E35">
              <w:t>human resources</w:t>
            </w:r>
          </w:p>
          <w:p w:rsidR="00000000" w:rsidRPr="00C23E35" w:rsidP="00C23E35">
            <w:pPr>
              <w:pStyle w:val="ListBullet"/>
            </w:pPr>
            <w:r w:rsidRPr="00C23E35">
              <w:t>IT systems</w:t>
            </w:r>
          </w:p>
          <w:p w:rsidR="00000000" w:rsidRPr="00C23E35" w:rsidP="00C23E35">
            <w:pPr>
              <w:pStyle w:val="ListBullet"/>
            </w:pPr>
            <w:r w:rsidRPr="00C23E35">
              <w:t>internal audit</w:t>
            </w:r>
          </w:p>
          <w:p w:rsidR="00000000" w:rsidRPr="00C23E35" w:rsidP="00C23E35">
            <w:pPr>
              <w:pStyle w:val="ListBullet"/>
            </w:pPr>
            <w:r w:rsidRPr="00C23E35">
              <w:t>jurisdictions and characteristics of controllers or group entities</w:t>
            </w:r>
          </w:p>
          <w:p w:rsidR="00000000" w:rsidRPr="00C23E35" w:rsidP="00C23E35">
            <w:pPr>
              <w:pStyle w:val="ListBullet"/>
            </w:pPr>
            <w:r w:rsidRPr="00C23E35">
              <w:t>management information</w:t>
            </w:r>
          </w:p>
          <w:p w:rsidR="00000000" w:rsidRPr="00C23E35" w:rsidP="00C23E35">
            <w:pPr>
              <w:pStyle w:val="ListBullet"/>
            </w:pPr>
            <w:r w:rsidRPr="00C23E35">
              <w:t>outsourcing to third party pr</w:t>
            </w:r>
            <w:r w:rsidRPr="00C23E35">
              <w:t>oviders</w:t>
            </w:r>
          </w:p>
          <w:p w:rsidR="00000000" w:rsidRPr="00C23E35" w:rsidP="00C23E35">
            <w:pPr>
              <w:pStyle w:val="ListBullet"/>
            </w:pPr>
            <w:r w:rsidRPr="00C23E35">
              <w:t>policies, procedures and controls</w:t>
            </w:r>
          </w:p>
          <w:p w:rsidR="00000000" w:rsidRPr="00C23E35" w:rsidP="00C23E35">
            <w:pPr>
              <w:pStyle w:val="ListBullet"/>
            </w:pPr>
            <w:r w:rsidRPr="00C23E35">
              <w:t>professional advisers</w:t>
            </w:r>
          </w:p>
          <w:p w:rsidR="00000000" w:rsidRPr="00C23E35" w:rsidP="00C23E35">
            <w:pPr>
              <w:pStyle w:val="ListBullet"/>
            </w:pPr>
            <w:r w:rsidRPr="00C23E35">
              <w:t>relationship with the rest of the group</w:t>
            </w:r>
          </w:p>
          <w:p w:rsidR="00000000" w:rsidRPr="00C23E35" w:rsidP="00C23E35">
            <w:pPr>
              <w:pStyle w:val="ListBullet"/>
            </w:pPr>
            <w:r w:rsidRPr="00C23E35">
              <w:t>risk management</w:t>
            </w:r>
          </w:p>
          <w:p w:rsidR="00000000" w:rsidP="00C23E35">
            <w:pPr>
              <w:pStyle w:val="ListBullet"/>
              <w:rPr>
                <w:lang w:val="en-NZ"/>
              </w:rPr>
            </w:pPr>
            <w:r w:rsidRPr="00C23E35">
              <w:t>treatment of customers or users.</w:t>
            </w:r>
          </w:p>
        </w:tc>
      </w:tr>
      <w:tr w:rsidTr="00351033">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t xml:space="preserve">Sources of </w:t>
            </w:r>
            <w:r w:rsidRPr="00C23E35">
              <w:rPr>
                <w:rStyle w:val="BoldandItalics"/>
              </w:rPr>
              <w:t>information</w:t>
            </w:r>
            <w:r w:rsidRPr="00C23E35">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ListBullet"/>
            </w:pPr>
            <w:r w:rsidRPr="00C23E35">
              <w:t>actuaries</w:t>
            </w:r>
          </w:p>
          <w:p w:rsidR="00000000" w:rsidRPr="00C23E35" w:rsidP="00C23E35">
            <w:pPr>
              <w:pStyle w:val="ListBullet"/>
            </w:pPr>
            <w:r w:rsidRPr="00C23E35">
              <w:t>brokers</w:t>
            </w:r>
          </w:p>
          <w:p w:rsidR="00000000" w:rsidRPr="00C23E35" w:rsidP="00C23E35">
            <w:pPr>
              <w:pStyle w:val="ListBullet"/>
            </w:pPr>
            <w:r w:rsidRPr="00C23E35">
              <w:t>clients</w:t>
            </w:r>
          </w:p>
          <w:p w:rsidR="00000000" w:rsidRPr="00C23E35" w:rsidP="00C23E35">
            <w:pPr>
              <w:pStyle w:val="ListBullet"/>
            </w:pPr>
            <w:r w:rsidRPr="00C23E35">
              <w:t>financiers</w:t>
            </w:r>
          </w:p>
          <w:p w:rsidR="00000000" w:rsidRPr="00C23E35" w:rsidP="00C23E35">
            <w:pPr>
              <w:pStyle w:val="ListBullet"/>
            </w:pPr>
            <w:r w:rsidRPr="00C23E35">
              <w:t>intermediaries</w:t>
            </w:r>
          </w:p>
          <w:p w:rsidR="00000000" w:rsidRPr="00C23E35" w:rsidP="00C23E35">
            <w:pPr>
              <w:pStyle w:val="ListBullet"/>
            </w:pPr>
            <w:r w:rsidRPr="00C23E35">
              <w:t>lawyers and solicitors</w:t>
            </w:r>
          </w:p>
          <w:p w:rsidR="00000000" w:rsidRPr="00C23E35" w:rsidP="00C23E35">
            <w:pPr>
              <w:pStyle w:val="ListBullet"/>
            </w:pPr>
            <w:r w:rsidRPr="00C23E35">
              <w:t>managers or supervisors</w:t>
            </w:r>
          </w:p>
          <w:p w:rsidR="00000000" w:rsidRPr="00C23E35" w:rsidP="00C23E35">
            <w:pPr>
              <w:pStyle w:val="ListBullet"/>
            </w:pPr>
            <w:r w:rsidRPr="00C23E35">
              <w:t>marketing and sales personnel</w:t>
            </w:r>
          </w:p>
          <w:p w:rsidR="00000000" w:rsidRPr="00C23E35" w:rsidP="00C23E35">
            <w:pPr>
              <w:pStyle w:val="ListBullet"/>
            </w:pPr>
            <w:r w:rsidRPr="00C23E35">
              <w:t>medical practitioners</w:t>
            </w:r>
          </w:p>
          <w:p w:rsidR="00000000" w:rsidRPr="00C23E35" w:rsidP="00C23E35">
            <w:pPr>
              <w:pStyle w:val="ListBullet"/>
            </w:pPr>
            <w:r w:rsidRPr="00C23E35">
              <w:t>product developers</w:t>
            </w:r>
          </w:p>
          <w:p w:rsidR="00000000" w:rsidRPr="00C23E35" w:rsidP="00C23E35">
            <w:pPr>
              <w:pStyle w:val="ListBullet"/>
            </w:pPr>
            <w:r w:rsidRPr="00C23E35">
              <w:t xml:space="preserve">reinsurers </w:t>
            </w:r>
          </w:p>
          <w:p w:rsidR="00000000" w:rsidP="00C23E35">
            <w:pPr>
              <w:pStyle w:val="ListBullet"/>
              <w:rPr>
                <w:lang w:val="en-NZ"/>
              </w:rPr>
            </w:pPr>
            <w:r w:rsidRPr="00C23E35">
              <w:t>underwriters.</w:t>
            </w:r>
          </w:p>
        </w:tc>
      </w:tr>
      <w:tr w:rsidTr="00351033">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BoldandItalics"/>
              </w:rPr>
              <w:t>Risk</w:t>
            </w:r>
            <w:r w:rsidRPr="00C23E35">
              <w:t xml:space="preserve"> is: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ListBullet"/>
              <w:rPr>
                <w:lang w:val="en-NZ"/>
              </w:rPr>
            </w:pPr>
            <w:r w:rsidRPr="00C23E35">
              <w:t>a term used to designate a peril against an insured or against uncertainty of a financial loss.</w:t>
            </w:r>
          </w:p>
        </w:tc>
      </w:tr>
      <w:tr w:rsidTr="00351033">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BoldandItalics"/>
              </w:rPr>
              <w:t>Risk acceptability factors</w:t>
            </w:r>
            <w:r w:rsidRPr="00C23E35">
              <w:t xml:space="preserve"> vary according to:</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ListBullet"/>
            </w:pPr>
            <w:r w:rsidRPr="00C23E35">
              <w:t>potential impact on the organisation</w:t>
            </w:r>
          </w:p>
          <w:p w:rsidR="00000000" w:rsidP="00C23E35">
            <w:pPr>
              <w:pStyle w:val="ListBullet"/>
              <w:rPr>
                <w:lang w:val="en-NZ"/>
              </w:rPr>
            </w:pPr>
            <w:r w:rsidRPr="00C23E35">
              <w:t>value and type of product or portfolio.</w:t>
            </w:r>
          </w:p>
        </w:tc>
      </w:tr>
      <w:tr w:rsidTr="00351033">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BoldandItalics"/>
              </w:rPr>
              <w:t>Risk acceptance criteria</w:t>
            </w:r>
            <w:r w:rsidRPr="00C23E35">
              <w:t xml:space="preserve"> refers to:</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ListBullet"/>
              <w:rPr>
                <w:lang w:val="en-NZ"/>
              </w:rPr>
            </w:pPr>
            <w:r w:rsidRPr="00C23E35">
              <w:t>criteria against which a risk may be measured for acceptability.</w:t>
            </w:r>
          </w:p>
        </w:tc>
      </w:tr>
      <w:tr w:rsidTr="00351033">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BoldandItalics"/>
              </w:rPr>
              <w:t>Risk management</w:t>
            </w:r>
            <w:r w:rsidRPr="00C23E35">
              <w:t xml:space="preserve"> is: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ListBullet"/>
            </w:pPr>
            <w:r w:rsidRPr="00C23E35">
              <w:t>a proce</w:t>
            </w:r>
            <w:r w:rsidRPr="00C23E35">
              <w:t>dure to minimise the adverse effects of a possible financial loss by identifying potential sources of loss</w:t>
            </w:r>
          </w:p>
          <w:p w:rsidR="00000000" w:rsidRPr="00C23E35" w:rsidP="00C23E35">
            <w:pPr>
              <w:pStyle w:val="ListBullet"/>
            </w:pPr>
            <w:r w:rsidRPr="00C23E35">
              <w:t>measuring the financial consequences and likelihood of a loss occurring</w:t>
            </w:r>
          </w:p>
          <w:p w:rsidR="00000000" w:rsidRPr="00C23E35" w:rsidP="00C23E35">
            <w:pPr>
              <w:pStyle w:val="ListBullet"/>
            </w:pPr>
            <w:r w:rsidRPr="00C23E35">
              <w:t>using controls to minimise actual losses or their financial consequences.</w:t>
            </w:r>
          </w:p>
        </w:tc>
      </w:tr>
    </w:tbl>
    <w:p w:rsidR="00351033" w:rsidP="00C23E35">
      <w:pPr>
        <w:pStyle w:val="BodyText"/>
      </w:pPr>
    </w:p>
    <w:p w:rsidR="00351033" w:rsidP="00C23E35">
      <w:pPr>
        <w:pStyle w:val="BodyText"/>
      </w:pPr>
    </w:p>
    <w:p w:rsidR="00000000" w:rsidRPr="00C23E35" w:rsidP="00C23E35">
      <w:pPr>
        <w:pStyle w:val="Heading1"/>
      </w:pPr>
      <w:bookmarkStart w:id="12" w:name="O_80462"/>
      <w:bookmarkEnd w:id="12"/>
      <w:r w:rsidRPr="00C23E35">
        <w:t>Unit Sector(s)</w:t>
      </w:r>
    </w:p>
    <w:tbl>
      <w:tblPr>
        <w:tblW w:w="0" w:type="auto"/>
        <w:tblLayout w:type="fixed"/>
        <w:tblCellMar>
          <w:left w:w="62" w:type="dxa"/>
          <w:right w:w="62" w:type="dxa"/>
        </w:tblCellMar>
        <w:tblLook w:val="0000"/>
      </w:tblPr>
      <w:tblGrid>
        <w:gridCol w:w="2607"/>
        <w:gridCol w:w="5915"/>
      </w:tblGrid>
      <w:tr w:rsidTr="00351033">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BodyText"/>
            </w:pPr>
            <w:r w:rsidRPr="00C23E35">
              <w:t>Risk management</w:t>
            </w:r>
          </w:p>
        </w:tc>
      </w:tr>
    </w:tbl>
    <w:p w:rsidR="00000000" w:rsidRPr="00C23E35" w:rsidP="00C23E35">
      <w:pPr>
        <w:pStyle w:val="BodyText"/>
      </w:pPr>
    </w:p>
    <w:p w:rsidR="00000000" w:rsidRPr="00C23E35" w:rsidP="00C23E35">
      <w:pPr>
        <w:pStyle w:val="AllowPageBreak"/>
      </w:pPr>
    </w:p>
    <w:p w:rsidR="00000000" w:rsidRPr="00C23E35" w:rsidP="00C23E35">
      <w:pPr>
        <w:pStyle w:val="Heading1"/>
      </w:pPr>
      <w:bookmarkStart w:id="13" w:name="O_156643"/>
      <w:bookmarkEnd w:id="13"/>
      <w:r w:rsidRPr="00C23E35">
        <w:t>Competency field</w:t>
      </w:r>
    </w:p>
    <w:tbl>
      <w:tblPr>
        <w:tblW w:w="0" w:type="auto"/>
        <w:tblLayout w:type="fixed"/>
        <w:tblCellMar>
          <w:left w:w="62" w:type="dxa"/>
          <w:right w:w="62" w:type="dxa"/>
        </w:tblCellMar>
        <w:tblLook w:val="0000"/>
      </w:tblPr>
      <w:tblGrid>
        <w:gridCol w:w="2754"/>
        <w:gridCol w:w="5768"/>
      </w:tblGrid>
      <w:tr w:rsidTr="0035103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BodyText"/>
            </w:pPr>
          </w:p>
        </w:tc>
      </w:tr>
    </w:tbl>
    <w:p w:rsidR="00000000" w:rsidRPr="00C23E35" w:rsidP="00C23E35">
      <w:pPr>
        <w:pStyle w:val="BodyText"/>
      </w:pPr>
    </w:p>
    <w:p w:rsidR="00000000" w:rsidRPr="00C23E35" w:rsidP="00C23E35">
      <w:pPr>
        <w:pStyle w:val="AllowPageBreak"/>
      </w:pPr>
    </w:p>
    <w:p w:rsidR="00000000" w:rsidRPr="00C23E35" w:rsidP="00C23E35">
      <w:pPr>
        <w:pStyle w:val="Heading1"/>
      </w:pPr>
      <w:bookmarkStart w:id="14" w:name="O_156642"/>
      <w:bookmarkEnd w:id="14"/>
      <w:r w:rsidRPr="00C23E35">
        <w:t>Co-requisite units</w:t>
      </w:r>
    </w:p>
    <w:tbl>
      <w:tblPr>
        <w:tblW w:w="0" w:type="auto"/>
        <w:tblLayout w:type="fixed"/>
        <w:tblCellMar>
          <w:left w:w="62" w:type="dxa"/>
          <w:right w:w="62" w:type="dxa"/>
        </w:tblCellMar>
        <w:tblLook w:val="0000"/>
      </w:tblPr>
      <w:tblGrid>
        <w:gridCol w:w="2629"/>
        <w:gridCol w:w="1324"/>
        <w:gridCol w:w="4569"/>
      </w:tblGrid>
      <w:tr w:rsidTr="0035103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r w:rsidRPr="00C23E3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E35">
            <w:pPr>
              <w:pStyle w:val="BodyText"/>
              <w:rPr>
                <w:lang w:val="en-NZ"/>
              </w:rPr>
            </w:pPr>
          </w:p>
        </w:tc>
      </w:tr>
      <w:tr w:rsidTr="0035103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E35" w:rsidP="00C23E35">
            <w:pPr>
              <w:pStyle w:val="BodyText"/>
            </w:pPr>
          </w:p>
        </w:tc>
      </w:tr>
    </w:tbl>
    <w:p w:rsidR="00000000" w:rsidRPr="00C23E35" w:rsidP="00C23E35">
      <w:pPr>
        <w:pStyle w:val="BodyText"/>
      </w:pPr>
    </w:p>
    <w:p w:rsidR="00000000" w:rsidRPr="00C23E35" w:rsidP="00C23E35"/>
    <w:sectPr w:rsidSect="00C23E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033" w:rsidP="003510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033" w:rsidP="00C23E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1033" w:rsidP="00C23E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1033" w:rsidP="00C23E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033" w:rsidP="003510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033" w:rsidP="00C23E35">
    <w:pPr>
      <w:pStyle w:val="Header"/>
      <w:framePr w:wrap="around"/>
    </w:pPr>
    <w:r>
      <w:fldChar w:fldCharType="begin"/>
    </w:r>
    <w:r>
      <w:instrText xml:space="preserve"> TITLE   \* MERGEFORMAT </w:instrText>
    </w:r>
    <w:r>
      <w:fldChar w:fldCharType="separate"/>
    </w:r>
    <w:r>
      <w:t>FNSRSK602A Determine and manage risk exposure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1033" w:rsidP="00C23E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D89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86E3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CA94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E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3E35"/>
    <w:pPr>
      <w:spacing w:before="360" w:after="60"/>
      <w:outlineLvl w:val="0"/>
    </w:pPr>
    <w:rPr>
      <w:sz w:val="32"/>
    </w:rPr>
  </w:style>
  <w:style w:type="paragraph" w:styleId="Heading2">
    <w:name w:val="heading 2"/>
    <w:basedOn w:val="HeadingBase"/>
    <w:next w:val="BodyText"/>
    <w:link w:val="Heading2Char"/>
    <w:qFormat/>
    <w:rsid w:val="00C23E35"/>
    <w:pPr>
      <w:keepLines/>
      <w:spacing w:before="240" w:after="120"/>
      <w:outlineLvl w:val="1"/>
    </w:pPr>
    <w:rPr>
      <w:sz w:val="28"/>
      <w:szCs w:val="40"/>
    </w:rPr>
  </w:style>
  <w:style w:type="paragraph" w:styleId="Heading3">
    <w:name w:val="heading 3"/>
    <w:basedOn w:val="HeadingBase"/>
    <w:next w:val="BodyText"/>
    <w:link w:val="Heading3Char"/>
    <w:qFormat/>
    <w:rsid w:val="00C23E35"/>
    <w:pPr>
      <w:spacing w:before="180" w:after="120"/>
      <w:outlineLvl w:val="2"/>
    </w:pPr>
    <w:rPr>
      <w:spacing w:val="-10"/>
      <w:kern w:val="32"/>
    </w:rPr>
  </w:style>
  <w:style w:type="paragraph" w:styleId="Heading4">
    <w:name w:val="heading 4"/>
    <w:basedOn w:val="HeadingBase"/>
    <w:next w:val="BodyText"/>
    <w:link w:val="Heading4Char"/>
    <w:qFormat/>
    <w:rsid w:val="00C23E35"/>
    <w:pPr>
      <w:spacing w:before="160" w:after="120"/>
      <w:outlineLvl w:val="3"/>
    </w:pPr>
    <w:rPr>
      <w:sz w:val="22"/>
    </w:rPr>
  </w:style>
  <w:style w:type="paragraph" w:styleId="Heading5">
    <w:name w:val="heading 5"/>
    <w:basedOn w:val="HeadingBase"/>
    <w:next w:val="Normal"/>
    <w:link w:val="Heading5Char"/>
    <w:qFormat/>
    <w:rsid w:val="00C23E35"/>
    <w:pPr>
      <w:spacing w:before="80"/>
      <w:outlineLvl w:val="4"/>
    </w:pPr>
    <w:rPr>
      <w:color w:val="918585"/>
      <w:sz w:val="20"/>
    </w:rPr>
  </w:style>
  <w:style w:type="paragraph" w:styleId="Heading6">
    <w:name w:val="heading 6"/>
    <w:basedOn w:val="HeadingBase"/>
    <w:next w:val="Normal"/>
    <w:link w:val="Heading6Char"/>
    <w:qFormat/>
    <w:rsid w:val="00C23E35"/>
    <w:pPr>
      <w:spacing w:before="60"/>
      <w:outlineLvl w:val="5"/>
    </w:pPr>
    <w:rPr>
      <w:color w:val="918585"/>
      <w:sz w:val="20"/>
    </w:rPr>
  </w:style>
  <w:style w:type="paragraph" w:styleId="Heading7">
    <w:name w:val="heading 7"/>
    <w:basedOn w:val="Normal"/>
    <w:next w:val="Normal"/>
    <w:link w:val="Heading7Char"/>
    <w:qFormat/>
    <w:rsid w:val="00C23E35"/>
    <w:pPr>
      <w:ind w:left="720"/>
      <w:outlineLvl w:val="6"/>
    </w:pPr>
    <w:rPr>
      <w:i/>
    </w:rPr>
  </w:style>
  <w:style w:type="paragraph" w:styleId="Heading8">
    <w:name w:val="heading 8"/>
    <w:basedOn w:val="Normal"/>
    <w:next w:val="Normal"/>
    <w:link w:val="Heading8Char"/>
    <w:qFormat/>
    <w:rsid w:val="00C23E35"/>
    <w:pPr>
      <w:ind w:left="720"/>
      <w:outlineLvl w:val="7"/>
    </w:pPr>
    <w:rPr>
      <w:i/>
    </w:rPr>
  </w:style>
  <w:style w:type="paragraph" w:styleId="Heading9">
    <w:name w:val="heading 9"/>
    <w:basedOn w:val="Normal"/>
    <w:next w:val="Normal"/>
    <w:link w:val="Heading9Char"/>
    <w:qFormat/>
    <w:rsid w:val="00C23E35"/>
    <w:pPr>
      <w:ind w:left="720"/>
      <w:outlineLvl w:val="8"/>
    </w:pPr>
    <w:rPr>
      <w:i/>
    </w:rPr>
  </w:style>
  <w:style w:type="character" w:default="1" w:styleId="DefaultParagraphFont">
    <w:name w:val="Default Paragraph Font"/>
    <w:uiPriority w:val="1"/>
    <w:unhideWhenUsed/>
    <w:rsid w:val="00C23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E35"/>
  </w:style>
  <w:style w:type="character" w:customStyle="1" w:styleId="Heading1Char">
    <w:name w:val="Heading 1 Char"/>
    <w:basedOn w:val="DefaultParagraphFont"/>
    <w:link w:val="Heading1"/>
    <w:rsid w:val="00C23E35"/>
    <w:rPr>
      <w:rFonts w:ascii="Times New Roman" w:eastAsia="Times New Roman" w:hAnsi="Times New Roman" w:cs="Times New Roman"/>
      <w:b/>
      <w:sz w:val="32"/>
      <w:szCs w:val="20"/>
      <w:lang w:eastAsia="en-US"/>
    </w:rPr>
  </w:style>
  <w:style w:type="paragraph" w:styleId="BodyText">
    <w:name w:val="Body Text"/>
    <w:basedOn w:val="Normal"/>
    <w:link w:val="BodyTextChar"/>
    <w:rsid w:val="00C23E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3E35"/>
    <w:rPr>
      <w:rFonts w:ascii="Times New Roman" w:eastAsia="Times New Roman" w:hAnsi="Times New Roman" w:cs="Times New Roman"/>
      <w:sz w:val="24"/>
      <w:lang w:val="en-US" w:eastAsia="en-US"/>
    </w:rPr>
  </w:style>
  <w:style w:type="paragraph" w:styleId="Footer">
    <w:name w:val="footer"/>
    <w:basedOn w:val="Normal"/>
    <w:link w:val="FooterChar"/>
    <w:rsid w:val="00C23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E35"/>
    <w:rPr>
      <w:rFonts w:ascii="Times New Roman" w:eastAsia="Times New Roman" w:hAnsi="Times New Roman" w:cs="Times New Roman"/>
      <w:sz w:val="16"/>
      <w:lang w:val="en-US" w:eastAsia="en-US"/>
    </w:rPr>
  </w:style>
  <w:style w:type="paragraph" w:styleId="List">
    <w:name w:val="List"/>
    <w:basedOn w:val="BodyText"/>
    <w:next w:val="BodyText"/>
    <w:rsid w:val="00C23E35"/>
    <w:pPr>
      <w:tabs>
        <w:tab w:val="left" w:pos="340"/>
      </w:tabs>
      <w:spacing w:before="60" w:after="60"/>
      <w:ind w:left="340" w:hanging="340"/>
    </w:pPr>
  </w:style>
  <w:style w:type="paragraph" w:styleId="ListBullet">
    <w:name w:val="List Bullet"/>
    <w:basedOn w:val="List"/>
    <w:rsid w:val="00C23E35"/>
    <w:pPr>
      <w:numPr>
        <w:numId w:val="13"/>
      </w:numPr>
      <w:tabs>
        <w:tab w:val="clear" w:pos="340"/>
      </w:tabs>
      <w:spacing w:before="40" w:after="40"/>
    </w:pPr>
  </w:style>
  <w:style w:type="character" w:customStyle="1" w:styleId="SpecialBold">
    <w:name w:val="Special Bold"/>
    <w:basedOn w:val="DefaultParagraphFont"/>
    <w:rsid w:val="00C23E35"/>
    <w:rPr>
      <w:b/>
      <w:spacing w:val="0"/>
    </w:rPr>
  </w:style>
  <w:style w:type="paragraph" w:styleId="ListBullet2">
    <w:name w:val="List Bullet 2"/>
    <w:basedOn w:val="List2"/>
    <w:rsid w:val="00C23E35"/>
    <w:pPr>
      <w:numPr>
        <w:numId w:val="14"/>
      </w:numPr>
      <w:tabs>
        <w:tab w:val="clear" w:pos="680"/>
      </w:tabs>
    </w:pPr>
  </w:style>
  <w:style w:type="paragraph" w:styleId="Header">
    <w:name w:val="header"/>
    <w:basedOn w:val="Normal"/>
    <w:link w:val="HeaderChar"/>
    <w:rsid w:val="00C23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E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3E35"/>
    <w:pPr>
      <w:spacing w:before="240" w:after="120"/>
      <w:outlineLvl w:val="0"/>
    </w:pPr>
    <w:rPr>
      <w:rFonts w:ascii="Times New Roman" w:hAnsi="Times New Roman"/>
      <w:b/>
      <w:sz w:val="28"/>
    </w:rPr>
  </w:style>
  <w:style w:type="paragraph" w:customStyle="1" w:styleId="AllowPageBreak">
    <w:name w:val="AllowPageBreak"/>
    <w:rsid w:val="00C23E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3E35"/>
    <w:pPr>
      <w:tabs>
        <w:tab w:val="left" w:pos="680"/>
      </w:tabs>
      <w:spacing w:before="60" w:after="60"/>
      <w:ind w:left="680" w:hanging="340"/>
    </w:pPr>
  </w:style>
  <w:style w:type="character" w:customStyle="1" w:styleId="BoldandItalics">
    <w:name w:val="Bold and Italics"/>
    <w:qFormat/>
    <w:rsid w:val="00C23E35"/>
    <w:rPr>
      <w:b/>
      <w:i/>
      <w:u w:val="none"/>
    </w:rPr>
  </w:style>
  <w:style w:type="character" w:customStyle="1" w:styleId="Heading2Char">
    <w:name w:val="Heading 2 Char"/>
    <w:basedOn w:val="DefaultParagraphFont"/>
    <w:link w:val="Heading2"/>
    <w:rsid w:val="00C23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E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E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E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3E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3E35"/>
    <w:rPr>
      <w:rFonts w:ascii="Courier New" w:eastAsia="Times New Roman" w:hAnsi="Courier New" w:cs="Times New Roman"/>
      <w:i/>
      <w:szCs w:val="20"/>
      <w:lang w:val="en-US" w:eastAsia="en-US"/>
    </w:rPr>
  </w:style>
  <w:style w:type="paragraph" w:customStyle="1" w:styleId="HeadingBase">
    <w:name w:val="Heading Base"/>
    <w:rsid w:val="00C23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E35"/>
    <w:pPr>
      <w:tabs>
        <w:tab w:val="right" w:leader="dot" w:pos="9072"/>
      </w:tabs>
      <w:ind w:left="567"/>
    </w:pPr>
    <w:rPr>
      <w:szCs w:val="22"/>
    </w:rPr>
  </w:style>
  <w:style w:type="paragraph" w:customStyle="1" w:styleId="TOCBase">
    <w:name w:val="TOC Base"/>
    <w:rsid w:val="00C23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E35"/>
    <w:pPr>
      <w:tabs>
        <w:tab w:val="right" w:leader="dot" w:pos="9072"/>
      </w:tabs>
      <w:spacing w:before="40" w:after="40"/>
      <w:ind w:left="284"/>
    </w:pPr>
    <w:rPr>
      <w:rFonts w:ascii="Times New Roman" w:hAnsi="Times New Roman"/>
    </w:rPr>
  </w:style>
  <w:style w:type="paragraph" w:styleId="TOC1">
    <w:name w:val="toc 1"/>
    <w:basedOn w:val="TOCBase"/>
    <w:next w:val="Normal"/>
    <w:rsid w:val="00C23E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3E35"/>
    <w:pPr>
      <w:spacing w:before="5040"/>
      <w:jc w:val="center"/>
    </w:pPr>
    <w:rPr>
      <w:sz w:val="48"/>
      <w:szCs w:val="72"/>
      <w:lang w:val="en-US"/>
    </w:rPr>
  </w:style>
  <w:style w:type="character" w:customStyle="1" w:styleId="TitleChar">
    <w:name w:val="Title Char"/>
    <w:basedOn w:val="DefaultParagraphFont"/>
    <w:link w:val="Title"/>
    <w:rsid w:val="00C23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E35"/>
    <w:pPr>
      <w:tabs>
        <w:tab w:val="left" w:pos="3600"/>
        <w:tab w:val="left" w:pos="3958"/>
      </w:tabs>
    </w:pPr>
  </w:style>
  <w:style w:type="paragraph" w:customStyle="1" w:styleId="Note">
    <w:name w:val="Note"/>
    <w:basedOn w:val="BodyText"/>
    <w:rsid w:val="00C23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E35"/>
    <w:pPr>
      <w:framePr w:wrap="auto" w:hAnchor="text" w:y="6049"/>
    </w:pPr>
    <w:rPr>
      <w:color w:val="000000"/>
      <w:sz w:val="40"/>
    </w:rPr>
  </w:style>
  <w:style w:type="paragraph" w:customStyle="1" w:styleId="TOCTitle">
    <w:name w:val="TOCTitle"/>
    <w:basedOn w:val="Heading1"/>
    <w:rsid w:val="00C23E35"/>
    <w:pPr>
      <w:spacing w:after="240"/>
      <w:jc w:val="center"/>
      <w:outlineLvl w:val="9"/>
    </w:pPr>
    <w:rPr>
      <w:caps/>
    </w:rPr>
  </w:style>
  <w:style w:type="paragraph" w:customStyle="1" w:styleId="Version">
    <w:name w:val="Version"/>
    <w:rsid w:val="00C23E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E35"/>
    <w:pPr>
      <w:keepNext w:val="0"/>
      <w:tabs>
        <w:tab w:val="right" w:pos="4176"/>
      </w:tabs>
      <w:ind w:left="198" w:hanging="198"/>
    </w:pPr>
    <w:rPr>
      <w:rFonts w:ascii="Garamond" w:hAnsi="Garamond"/>
    </w:rPr>
  </w:style>
  <w:style w:type="paragraph" w:styleId="IndexHeading">
    <w:name w:val="index heading"/>
    <w:basedOn w:val="Normal"/>
    <w:next w:val="Index1"/>
    <w:semiHidden/>
    <w:rsid w:val="00C23E35"/>
    <w:pPr>
      <w:spacing w:before="120" w:after="120"/>
    </w:pPr>
    <w:rPr>
      <w:rFonts w:ascii="Arial" w:hAnsi="Arial"/>
      <w:b/>
      <w:color w:val="918585"/>
      <w:sz w:val="24"/>
    </w:rPr>
  </w:style>
  <w:style w:type="paragraph" w:customStyle="1" w:styleId="Chapter">
    <w:name w:val="Chapter"/>
    <w:basedOn w:val="Normal"/>
    <w:rsid w:val="00C23E35"/>
    <w:pPr>
      <w:spacing w:before="240"/>
    </w:pPr>
    <w:rPr>
      <w:rFonts w:ascii="Times New Roman" w:hAnsi="Times New Roman"/>
      <w:smallCaps/>
      <w:spacing w:val="80"/>
      <w:sz w:val="28"/>
    </w:rPr>
  </w:style>
  <w:style w:type="paragraph" w:customStyle="1" w:styleId="InChapter">
    <w:name w:val="InChapter"/>
    <w:basedOn w:val="Heading3"/>
    <w:rsid w:val="00C23E35"/>
    <w:pPr>
      <w:spacing w:after="240"/>
      <w:outlineLvl w:val="9"/>
    </w:pPr>
    <w:rPr>
      <w:noProof/>
    </w:rPr>
  </w:style>
  <w:style w:type="paragraph" w:styleId="Index2">
    <w:name w:val="index 2"/>
    <w:basedOn w:val="Normal"/>
    <w:next w:val="Normal"/>
    <w:semiHidden/>
    <w:rsid w:val="00C23E35"/>
    <w:pPr>
      <w:tabs>
        <w:tab w:val="right" w:pos="4176"/>
      </w:tabs>
      <w:ind w:left="568" w:hanging="284"/>
    </w:pPr>
    <w:rPr>
      <w:rFonts w:ascii="Garamond" w:hAnsi="Garamond"/>
    </w:rPr>
  </w:style>
  <w:style w:type="paragraph" w:customStyle="1" w:styleId="Byline">
    <w:name w:val="Byline"/>
    <w:rsid w:val="00C23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E35"/>
    <w:pPr>
      <w:tabs>
        <w:tab w:val="clear" w:pos="3600"/>
        <w:tab w:val="clear" w:pos="3958"/>
      </w:tabs>
      <w:jc w:val="right"/>
    </w:pPr>
  </w:style>
  <w:style w:type="character" w:styleId="Emphasis">
    <w:name w:val="Emphasis"/>
    <w:basedOn w:val="DefaultParagraphFont"/>
    <w:qFormat/>
    <w:rsid w:val="00C23E35"/>
    <w:rPr>
      <w:i/>
    </w:rPr>
  </w:style>
  <w:style w:type="paragraph" w:styleId="Caption">
    <w:name w:val="caption"/>
    <w:basedOn w:val="BodyText"/>
    <w:next w:val="Normal"/>
    <w:qFormat/>
    <w:rsid w:val="00C23E35"/>
    <w:pPr>
      <w:framePr w:w="2268" w:hSpace="181" w:vSpace="181" w:wrap="around" w:vAnchor="text" w:hAnchor="page" w:x="1135" w:y="285" w:anchorLock="1"/>
    </w:pPr>
    <w:rPr>
      <w:i/>
    </w:rPr>
  </w:style>
  <w:style w:type="paragraph" w:customStyle="1" w:styleId="MiniTOCTitle">
    <w:name w:val="MiniTOCTitle"/>
    <w:basedOn w:val="Heading4"/>
    <w:rsid w:val="00C23E35"/>
    <w:pPr>
      <w:spacing w:before="240"/>
      <w:outlineLvl w:val="9"/>
    </w:pPr>
    <w:rPr>
      <w:noProof/>
      <w:sz w:val="24"/>
    </w:rPr>
  </w:style>
  <w:style w:type="paragraph" w:customStyle="1" w:styleId="MiniTOCItem">
    <w:name w:val="MiniTOCItem"/>
    <w:basedOn w:val="ListBullet"/>
    <w:rsid w:val="00C23E35"/>
    <w:pPr>
      <w:numPr>
        <w:numId w:val="0"/>
      </w:numPr>
      <w:tabs>
        <w:tab w:val="right" w:leader="dot" w:pos="6521"/>
      </w:tabs>
      <w:spacing w:before="0" w:after="0"/>
    </w:pPr>
  </w:style>
  <w:style w:type="paragraph" w:customStyle="1" w:styleId="TOFTitle">
    <w:name w:val="TOFTitle"/>
    <w:basedOn w:val="TOCTitle"/>
    <w:rsid w:val="00C23E35"/>
  </w:style>
  <w:style w:type="paragraph" w:styleId="TableofFigures">
    <w:name w:val="table of figures"/>
    <w:basedOn w:val="Normal"/>
    <w:next w:val="Normal"/>
    <w:semiHidden/>
    <w:rsid w:val="00C23E35"/>
    <w:pPr>
      <w:tabs>
        <w:tab w:val="right" w:leader="dot" w:pos="9072"/>
      </w:tabs>
      <w:ind w:left="970" w:hanging="403"/>
    </w:pPr>
    <w:rPr>
      <w:rFonts w:ascii="Times New Roman" w:hAnsi="Times New Roman"/>
      <w:b/>
    </w:rPr>
  </w:style>
  <w:style w:type="paragraph" w:styleId="ListNumber">
    <w:name w:val="List Number"/>
    <w:basedOn w:val="List"/>
    <w:rsid w:val="00C23E35"/>
    <w:pPr>
      <w:numPr>
        <w:numId w:val="11"/>
      </w:numPr>
    </w:pPr>
  </w:style>
  <w:style w:type="character" w:customStyle="1" w:styleId="WingdingSymbols">
    <w:name w:val="Wingding Symbols"/>
    <w:rsid w:val="00C23E35"/>
    <w:rPr>
      <w:rFonts w:ascii="Wingdings" w:hAnsi="Wingdings"/>
    </w:rPr>
  </w:style>
  <w:style w:type="paragraph" w:customStyle="1" w:styleId="TableHeading">
    <w:name w:val="Table Heading"/>
    <w:basedOn w:val="HeadingBase"/>
    <w:rsid w:val="00C23E35"/>
    <w:pPr>
      <w:keepLines/>
      <w:pBdr>
        <w:bottom w:val="single" w:sz="6" w:space="1" w:color="918585"/>
      </w:pBdr>
      <w:spacing w:before="240"/>
    </w:pPr>
  </w:style>
  <w:style w:type="character" w:customStyle="1" w:styleId="HotSpot">
    <w:name w:val="HotSpot"/>
    <w:rsid w:val="00C23E35"/>
    <w:rPr>
      <w:color w:val="0033CC"/>
      <w:u w:val="none"/>
    </w:rPr>
  </w:style>
  <w:style w:type="paragraph" w:customStyle="1" w:styleId="BodyTextRight">
    <w:name w:val="Body Text Right"/>
    <w:basedOn w:val="BodyText"/>
    <w:rsid w:val="00C23E35"/>
    <w:pPr>
      <w:spacing w:before="0" w:after="0"/>
      <w:jc w:val="right"/>
    </w:pPr>
  </w:style>
  <w:style w:type="paragraph" w:styleId="Index3">
    <w:name w:val="index 3"/>
    <w:basedOn w:val="ListNumber2"/>
    <w:next w:val="Normal"/>
    <w:semiHidden/>
    <w:rsid w:val="00C23E35"/>
    <w:pPr>
      <w:numPr>
        <w:numId w:val="0"/>
      </w:numPr>
      <w:tabs>
        <w:tab w:val="right" w:leader="dot" w:pos="4176"/>
      </w:tabs>
    </w:pPr>
  </w:style>
  <w:style w:type="paragraph" w:styleId="ListNumber2">
    <w:name w:val="List Number 2"/>
    <w:basedOn w:val="List2"/>
    <w:rsid w:val="00C23E35"/>
    <w:pPr>
      <w:numPr>
        <w:numId w:val="10"/>
      </w:numPr>
      <w:tabs>
        <w:tab w:val="clear" w:pos="1060"/>
      </w:tabs>
    </w:pPr>
  </w:style>
  <w:style w:type="paragraph" w:customStyle="1" w:styleId="MarginNote">
    <w:name w:val="Margin Note"/>
    <w:basedOn w:val="BodyText"/>
    <w:rsid w:val="00C23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E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3E35"/>
    <w:rPr>
      <w:sz w:val="32"/>
    </w:rPr>
  </w:style>
  <w:style w:type="paragraph" w:customStyle="1" w:styleId="HeadingProcedure">
    <w:name w:val="Heading Procedure"/>
    <w:basedOn w:val="HeadingBase"/>
    <w:next w:val="Normal"/>
    <w:rsid w:val="00C23E35"/>
    <w:pPr>
      <w:tabs>
        <w:tab w:val="left" w:pos="0"/>
      </w:tabs>
      <w:spacing w:before="120" w:after="60"/>
    </w:pPr>
    <w:rPr>
      <w:i/>
      <w:color w:val="918585"/>
      <w:sz w:val="22"/>
    </w:rPr>
  </w:style>
  <w:style w:type="paragraph" w:customStyle="1" w:styleId="TableBodyText">
    <w:name w:val="Table Body Text"/>
    <w:basedOn w:val="BodyText"/>
    <w:rsid w:val="00C23E35"/>
    <w:pPr>
      <w:spacing w:before="60" w:after="60"/>
    </w:pPr>
  </w:style>
  <w:style w:type="paragraph" w:styleId="ListContinue">
    <w:name w:val="List Continue"/>
    <w:basedOn w:val="List"/>
    <w:rsid w:val="00C23E35"/>
    <w:pPr>
      <w:ind w:firstLine="0"/>
    </w:pPr>
  </w:style>
  <w:style w:type="paragraph" w:customStyle="1" w:styleId="ListNote">
    <w:name w:val="List Note"/>
    <w:basedOn w:val="List"/>
    <w:rsid w:val="00C23E35"/>
    <w:pPr>
      <w:pBdr>
        <w:top w:val="single" w:sz="6" w:space="2" w:color="918585"/>
        <w:bottom w:val="single" w:sz="6" w:space="2" w:color="918585"/>
      </w:pBdr>
      <w:tabs>
        <w:tab w:val="left" w:pos="1021"/>
      </w:tabs>
      <w:ind w:firstLine="0"/>
    </w:pPr>
  </w:style>
  <w:style w:type="paragraph" w:customStyle="1" w:styleId="Warning">
    <w:name w:val="Warning"/>
    <w:basedOn w:val="BodyText"/>
    <w:rsid w:val="00C23E35"/>
    <w:pPr>
      <w:shd w:val="clear" w:color="auto" w:fill="D9D9D9"/>
      <w:tabs>
        <w:tab w:val="left" w:pos="992"/>
      </w:tabs>
      <w:ind w:left="119" w:right="119"/>
    </w:pPr>
    <w:rPr>
      <w:sz w:val="20"/>
    </w:rPr>
  </w:style>
  <w:style w:type="paragraph" w:customStyle="1" w:styleId="MarginIcons">
    <w:name w:val="Margin Icons"/>
    <w:basedOn w:val="BodyText"/>
    <w:rsid w:val="00C23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E35"/>
    <w:rPr>
      <w:rFonts w:ascii="Courier New" w:hAnsi="Courier New"/>
    </w:rPr>
  </w:style>
  <w:style w:type="paragraph" w:customStyle="1" w:styleId="NoteBullet">
    <w:name w:val="Note Bullet"/>
    <w:basedOn w:val="Note"/>
    <w:rsid w:val="00C23E35"/>
    <w:pPr>
      <w:tabs>
        <w:tab w:val="clear" w:pos="680"/>
      </w:tabs>
      <w:spacing w:before="60" w:after="60"/>
    </w:pPr>
  </w:style>
  <w:style w:type="paragraph" w:customStyle="1" w:styleId="SubHeading2">
    <w:name w:val="SubHeading2"/>
    <w:basedOn w:val="HeadingBase"/>
    <w:rsid w:val="00C23E35"/>
    <w:pPr>
      <w:spacing w:before="240" w:after="60"/>
    </w:pPr>
    <w:rPr>
      <w:sz w:val="20"/>
    </w:rPr>
  </w:style>
  <w:style w:type="paragraph" w:customStyle="1" w:styleId="SubHeading1">
    <w:name w:val="SubHeading1"/>
    <w:basedOn w:val="HeadingBase"/>
    <w:rsid w:val="00C23E35"/>
    <w:pPr>
      <w:spacing w:before="240" w:after="60"/>
    </w:pPr>
    <w:rPr>
      <w:color w:val="918585"/>
      <w:sz w:val="22"/>
    </w:rPr>
  </w:style>
  <w:style w:type="paragraph" w:customStyle="1" w:styleId="SideHeading">
    <w:name w:val="Side Heading"/>
    <w:basedOn w:val="HeadingBase"/>
    <w:rsid w:val="00C23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E35"/>
    <w:pPr>
      <w:numPr>
        <w:numId w:val="12"/>
      </w:numPr>
    </w:pPr>
  </w:style>
  <w:style w:type="paragraph" w:styleId="PlainText">
    <w:name w:val="Plain Text"/>
    <w:basedOn w:val="Normal"/>
    <w:link w:val="PlainTextChar"/>
    <w:rsid w:val="00C23E35"/>
    <w:rPr>
      <w:sz w:val="20"/>
    </w:rPr>
  </w:style>
  <w:style w:type="character" w:customStyle="1" w:styleId="PlainTextChar">
    <w:name w:val="Plain Text Char"/>
    <w:basedOn w:val="DefaultParagraphFont"/>
    <w:link w:val="PlainText"/>
    <w:rsid w:val="00C23E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3E35"/>
    <w:rPr>
      <w:b/>
      <w:smallCaps/>
    </w:rPr>
  </w:style>
  <w:style w:type="paragraph" w:customStyle="1" w:styleId="TableListNumber">
    <w:name w:val="Table List Number"/>
    <w:basedOn w:val="ListNumber"/>
    <w:rsid w:val="00C23E35"/>
    <w:pPr>
      <w:numPr>
        <w:numId w:val="0"/>
      </w:numPr>
    </w:pPr>
  </w:style>
  <w:style w:type="paragraph" w:styleId="TOC4">
    <w:name w:val="toc 4"/>
    <w:basedOn w:val="TOCBase"/>
    <w:next w:val="Normal"/>
    <w:semiHidden/>
    <w:rsid w:val="00C23E35"/>
    <w:pPr>
      <w:tabs>
        <w:tab w:val="right" w:leader="dot" w:pos="9071"/>
      </w:tabs>
      <w:ind w:left="1701"/>
    </w:pPr>
  </w:style>
  <w:style w:type="paragraph" w:customStyle="1" w:styleId="ListAlpha">
    <w:name w:val="List Alpha"/>
    <w:basedOn w:val="List"/>
    <w:rsid w:val="00C23E35"/>
    <w:pPr>
      <w:numPr>
        <w:numId w:val="9"/>
      </w:numPr>
    </w:pPr>
  </w:style>
  <w:style w:type="paragraph" w:customStyle="1" w:styleId="ListAlpha2">
    <w:name w:val="List Alpha 2"/>
    <w:basedOn w:val="List2"/>
    <w:rsid w:val="00C23E35"/>
    <w:pPr>
      <w:numPr>
        <w:numId w:val="8"/>
      </w:numPr>
    </w:pPr>
  </w:style>
  <w:style w:type="paragraph" w:styleId="List3">
    <w:name w:val="List 3"/>
    <w:basedOn w:val="BodyText"/>
    <w:rsid w:val="00C23E35"/>
    <w:pPr>
      <w:tabs>
        <w:tab w:val="left" w:pos="1021"/>
      </w:tabs>
      <w:spacing w:before="60" w:after="60"/>
      <w:ind w:left="1020" w:hanging="340"/>
    </w:pPr>
  </w:style>
  <w:style w:type="paragraph" w:styleId="List4">
    <w:name w:val="List 4"/>
    <w:basedOn w:val="BodyText"/>
    <w:rsid w:val="00C23E35"/>
    <w:pPr>
      <w:tabs>
        <w:tab w:val="left" w:pos="1361"/>
      </w:tabs>
      <w:spacing w:before="60" w:after="60"/>
      <w:ind w:left="1361" w:hanging="340"/>
    </w:pPr>
  </w:style>
  <w:style w:type="paragraph" w:styleId="List5">
    <w:name w:val="List 5"/>
    <w:basedOn w:val="BodyText"/>
    <w:rsid w:val="00C23E35"/>
    <w:pPr>
      <w:tabs>
        <w:tab w:val="left" w:pos="1701"/>
      </w:tabs>
      <w:spacing w:before="60" w:after="60"/>
      <w:ind w:left="1701" w:hanging="340"/>
    </w:pPr>
  </w:style>
  <w:style w:type="paragraph" w:styleId="ListBullet3">
    <w:name w:val="List Bullet 3"/>
    <w:basedOn w:val="List3"/>
    <w:rsid w:val="00C23E35"/>
    <w:pPr>
      <w:numPr>
        <w:numId w:val="15"/>
      </w:numPr>
      <w:tabs>
        <w:tab w:val="clear" w:pos="1021"/>
      </w:tabs>
      <w:ind w:left="1037" w:hanging="357"/>
    </w:pPr>
  </w:style>
  <w:style w:type="paragraph" w:styleId="ListBullet4">
    <w:name w:val="List Bullet 4"/>
    <w:basedOn w:val="List4"/>
    <w:rsid w:val="00C23E35"/>
    <w:pPr>
      <w:numPr>
        <w:numId w:val="3"/>
      </w:numPr>
    </w:pPr>
  </w:style>
  <w:style w:type="paragraph" w:styleId="ListBullet5">
    <w:name w:val="List Bullet 5"/>
    <w:basedOn w:val="List5"/>
    <w:rsid w:val="00C23E35"/>
    <w:pPr>
      <w:numPr>
        <w:numId w:val="4"/>
      </w:numPr>
    </w:pPr>
  </w:style>
  <w:style w:type="paragraph" w:styleId="ListContinue2">
    <w:name w:val="List Continue 2"/>
    <w:basedOn w:val="List2"/>
    <w:rsid w:val="00C23E35"/>
    <w:pPr>
      <w:ind w:firstLine="0"/>
    </w:pPr>
  </w:style>
  <w:style w:type="paragraph" w:styleId="ListContinue3">
    <w:name w:val="List Continue 3"/>
    <w:basedOn w:val="List3"/>
    <w:rsid w:val="00C23E35"/>
    <w:pPr>
      <w:ind w:left="1021" w:firstLine="0"/>
    </w:pPr>
  </w:style>
  <w:style w:type="paragraph" w:styleId="ListContinue4">
    <w:name w:val="List Continue 4"/>
    <w:basedOn w:val="List4"/>
    <w:rsid w:val="00C23E35"/>
    <w:pPr>
      <w:ind w:firstLine="0"/>
    </w:pPr>
  </w:style>
  <w:style w:type="paragraph" w:styleId="ListContinue5">
    <w:name w:val="List Continue 5"/>
    <w:basedOn w:val="List5"/>
    <w:rsid w:val="00C23E35"/>
    <w:pPr>
      <w:ind w:firstLine="0"/>
    </w:pPr>
  </w:style>
  <w:style w:type="paragraph" w:styleId="ListNumber3">
    <w:name w:val="List Number 3"/>
    <w:basedOn w:val="List3"/>
    <w:rsid w:val="00C23E35"/>
    <w:pPr>
      <w:numPr>
        <w:numId w:val="5"/>
      </w:numPr>
    </w:pPr>
  </w:style>
  <w:style w:type="paragraph" w:styleId="ListNumber4">
    <w:name w:val="List Number 4"/>
    <w:basedOn w:val="List4"/>
    <w:rsid w:val="00C23E35"/>
    <w:pPr>
      <w:numPr>
        <w:numId w:val="6"/>
      </w:numPr>
    </w:pPr>
  </w:style>
  <w:style w:type="paragraph" w:styleId="ListNumber5">
    <w:name w:val="List Number 5"/>
    <w:basedOn w:val="List5"/>
    <w:rsid w:val="00C23E35"/>
    <w:pPr>
      <w:numPr>
        <w:numId w:val="7"/>
      </w:numPr>
    </w:pPr>
  </w:style>
  <w:style w:type="paragraph" w:styleId="BlockText">
    <w:name w:val="Block Text"/>
    <w:basedOn w:val="Normal"/>
    <w:rsid w:val="00C23E35"/>
    <w:pPr>
      <w:spacing w:after="120"/>
      <w:ind w:left="1440" w:right="1440"/>
    </w:pPr>
  </w:style>
  <w:style w:type="character" w:customStyle="1" w:styleId="Subscript">
    <w:name w:val="Subscript"/>
    <w:basedOn w:val="DefaultParagraphFont"/>
    <w:rsid w:val="00C23E35"/>
    <w:rPr>
      <w:sz w:val="16"/>
      <w:vertAlign w:val="subscript"/>
    </w:rPr>
  </w:style>
  <w:style w:type="character" w:customStyle="1" w:styleId="Superscript">
    <w:name w:val="Superscript"/>
    <w:basedOn w:val="DefaultParagraphFont"/>
    <w:rsid w:val="00C23E35"/>
    <w:rPr>
      <w:sz w:val="16"/>
      <w:vertAlign w:val="superscript"/>
    </w:rPr>
  </w:style>
  <w:style w:type="character" w:customStyle="1" w:styleId="Symbols">
    <w:name w:val="Symbols"/>
    <w:basedOn w:val="DefaultParagraphFont"/>
    <w:rsid w:val="00C23E35"/>
    <w:rPr>
      <w:rFonts w:ascii="Symbol" w:hAnsi="Symbol"/>
    </w:rPr>
  </w:style>
  <w:style w:type="character" w:customStyle="1" w:styleId="MenuOptions">
    <w:name w:val="Menu Options"/>
    <w:basedOn w:val="DefaultParagraphFont"/>
    <w:rsid w:val="00C23E35"/>
    <w:rPr>
      <w:rFonts w:ascii="Arial Narrow" w:hAnsi="Arial Narrow"/>
      <w:smallCaps/>
    </w:rPr>
  </w:style>
  <w:style w:type="character" w:customStyle="1" w:styleId="Buttons">
    <w:name w:val="Buttons"/>
    <w:basedOn w:val="DefaultParagraphFont"/>
    <w:rsid w:val="00C23E35"/>
    <w:rPr>
      <w:b/>
    </w:rPr>
  </w:style>
  <w:style w:type="character" w:customStyle="1" w:styleId="Underlined">
    <w:name w:val="Underlined"/>
    <w:basedOn w:val="DefaultParagraphFont"/>
    <w:rsid w:val="00C23E35"/>
    <w:rPr>
      <w:u w:val="single"/>
    </w:rPr>
  </w:style>
  <w:style w:type="paragraph" w:customStyle="1" w:styleId="TableBodyTextRight">
    <w:name w:val="Table Body Text Right"/>
    <w:basedOn w:val="TableBodyText"/>
    <w:rsid w:val="00C23E35"/>
    <w:pPr>
      <w:widowControl w:val="0"/>
      <w:autoSpaceDE w:val="0"/>
      <w:autoSpaceDN w:val="0"/>
      <w:adjustRightInd w:val="0"/>
      <w:jc w:val="right"/>
    </w:pPr>
    <w:rPr>
      <w:rFonts w:cs="Arial"/>
      <w:szCs w:val="18"/>
    </w:rPr>
  </w:style>
  <w:style w:type="paragraph" w:customStyle="1" w:styleId="CopyrightText">
    <w:name w:val="Copyright Text"/>
    <w:basedOn w:val="BodyText"/>
    <w:rsid w:val="00C23E35"/>
    <w:rPr>
      <w:sz w:val="18"/>
    </w:rPr>
  </w:style>
  <w:style w:type="paragraph" w:customStyle="1" w:styleId="BodySmallRight">
    <w:name w:val="Body Small Right"/>
    <w:basedOn w:val="BodyTextRight"/>
    <w:rsid w:val="00C23E35"/>
    <w:rPr>
      <w:sz w:val="18"/>
      <w:szCs w:val="18"/>
    </w:rPr>
  </w:style>
  <w:style w:type="paragraph" w:customStyle="1" w:styleId="MarginEdition">
    <w:name w:val="Margin Edition"/>
    <w:basedOn w:val="MarginNote"/>
    <w:rsid w:val="00C23E35"/>
    <w:pPr>
      <w:spacing w:before="0" w:after="0"/>
    </w:pPr>
    <w:rPr>
      <w:rFonts w:ascii="Times New Roman" w:hAnsi="Times New Roman"/>
      <w:color w:val="999999"/>
    </w:rPr>
  </w:style>
  <w:style w:type="paragraph" w:customStyle="1" w:styleId="Spacer">
    <w:name w:val="Spacer"/>
    <w:basedOn w:val="Normal"/>
    <w:rsid w:val="00C23E35"/>
    <w:rPr>
      <w:sz w:val="2"/>
      <w:szCs w:val="2"/>
    </w:rPr>
  </w:style>
  <w:style w:type="character" w:customStyle="1" w:styleId="Small">
    <w:name w:val="Small"/>
    <w:basedOn w:val="DefaultParagraphFont"/>
    <w:rsid w:val="00C23E35"/>
    <w:rPr>
      <w:sz w:val="16"/>
    </w:rPr>
  </w:style>
  <w:style w:type="paragraph" w:customStyle="1" w:styleId="WideTable">
    <w:name w:val="Wide Table"/>
    <w:basedOn w:val="Normal"/>
    <w:rsid w:val="00C23E35"/>
    <w:pPr>
      <w:ind w:left="-1418"/>
    </w:pPr>
    <w:rPr>
      <w:sz w:val="2"/>
      <w:szCs w:val="2"/>
    </w:rPr>
  </w:style>
  <w:style w:type="character" w:styleId="PageNumber">
    <w:name w:val="page number"/>
    <w:basedOn w:val="DefaultParagraphFont"/>
    <w:rsid w:val="00C23E35"/>
  </w:style>
  <w:style w:type="paragraph" w:styleId="Quote">
    <w:name w:val="Quote"/>
    <w:basedOn w:val="Heading1"/>
    <w:link w:val="QuoteChar"/>
    <w:qFormat/>
    <w:rsid w:val="00C23E35"/>
    <w:rPr>
      <w:b w:val="0"/>
      <w:sz w:val="72"/>
      <w:szCs w:val="72"/>
      <w:lang w:val="en-NZ"/>
    </w:rPr>
  </w:style>
  <w:style w:type="character" w:customStyle="1" w:styleId="QuoteChar">
    <w:name w:val="Quote Char"/>
    <w:basedOn w:val="DefaultParagraphFont"/>
    <w:link w:val="Quote"/>
    <w:rsid w:val="00C23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E35"/>
    <w:pPr>
      <w:pageBreakBefore/>
    </w:pPr>
  </w:style>
  <w:style w:type="paragraph" w:customStyle="1" w:styleId="Border">
    <w:name w:val="Border"/>
    <w:basedOn w:val="Normal"/>
    <w:qFormat/>
    <w:rsid w:val="00C23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E35"/>
    <w:rPr>
      <w:b/>
      <w:bCs/>
      <w:i/>
      <w:iCs/>
      <w:color w:val="auto"/>
    </w:rPr>
  </w:style>
  <w:style w:type="paragraph" w:styleId="IntenseQuote">
    <w:name w:val="Intense Quote"/>
    <w:basedOn w:val="Normal"/>
    <w:next w:val="Normal"/>
    <w:link w:val="IntenseQuoteChar"/>
    <w:uiPriority w:val="30"/>
    <w:qFormat/>
    <w:rsid w:val="00C23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E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3E35"/>
    <w:rPr>
      <w:smallCaps/>
      <w:color w:val="auto"/>
      <w:u w:val="single"/>
    </w:rPr>
  </w:style>
  <w:style w:type="character" w:styleId="IntenseReference">
    <w:name w:val="Intense Reference"/>
    <w:basedOn w:val="DefaultParagraphFont"/>
    <w:uiPriority w:val="32"/>
    <w:qFormat/>
    <w:rsid w:val="00C23E35"/>
    <w:rPr>
      <w:b/>
      <w:bCs/>
      <w:smallCaps/>
      <w:color w:val="auto"/>
      <w:spacing w:val="5"/>
      <w:u w:val="single"/>
    </w:rPr>
  </w:style>
  <w:style w:type="paragraph" w:customStyle="1" w:styleId="2ColumnHeading">
    <w:name w:val="2Column Heading"/>
    <w:basedOn w:val="BodyText"/>
    <w:qFormat/>
    <w:rsid w:val="00C23E35"/>
    <w:pPr>
      <w:spacing w:after="60"/>
      <w:ind w:left="-2268"/>
    </w:pPr>
    <w:rPr>
      <w:b/>
    </w:rPr>
  </w:style>
  <w:style w:type="paragraph" w:customStyle="1" w:styleId="Heading1TOC">
    <w:name w:val="Heading1 TOC"/>
    <w:basedOn w:val="Normal"/>
    <w:qFormat/>
    <w:rsid w:val="00C23E35"/>
    <w:pPr>
      <w:spacing w:before="240" w:after="120"/>
    </w:pPr>
    <w:rPr>
      <w:rFonts w:ascii="Times New Roman" w:hAnsi="Times New Roman"/>
      <w:b/>
      <w:sz w:val="32"/>
    </w:rPr>
  </w:style>
  <w:style w:type="paragraph" w:customStyle="1" w:styleId="Heading2TOC">
    <w:name w:val="Heading2 TOC"/>
    <w:basedOn w:val="Normal"/>
    <w:qFormat/>
    <w:rsid w:val="00C23E35"/>
    <w:pPr>
      <w:spacing w:before="240" w:after="60"/>
    </w:pPr>
    <w:rPr>
      <w:rFonts w:ascii="Times New Roman" w:hAnsi="Times New Roman"/>
      <w:b/>
      <w:sz w:val="28"/>
    </w:rPr>
  </w:style>
  <w:style w:type="character" w:customStyle="1" w:styleId="Underline">
    <w:name w:val="Underline"/>
    <w:basedOn w:val="DefaultParagraphFont"/>
    <w:qFormat/>
    <w:rsid w:val="00C23E35"/>
    <w:rPr>
      <w:u w:val="single"/>
    </w:rPr>
  </w:style>
  <w:style w:type="paragraph" w:styleId="BalloonText">
    <w:name w:val="Balloon Text"/>
    <w:basedOn w:val="Normal"/>
    <w:link w:val="BalloonTextChar"/>
    <w:rsid w:val="00C23E35"/>
    <w:rPr>
      <w:rFonts w:ascii="Tahoma" w:hAnsi="Tahoma" w:cs="Tahoma"/>
      <w:sz w:val="16"/>
      <w:szCs w:val="16"/>
    </w:rPr>
  </w:style>
  <w:style w:type="character" w:customStyle="1" w:styleId="BalloonTextChar">
    <w:name w:val="Balloon Text Char"/>
    <w:basedOn w:val="DefaultParagraphFont"/>
    <w:link w:val="BalloonText"/>
    <w:rsid w:val="00C23E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3E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3E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1325</Words>
  <Characters>8550</Characters>
  <Application>Microsoft Office Word</Application>
  <DocSecurity>0</DocSecurity>
  <Lines>315</Lines>
  <Paragraphs>168</Paragraphs>
  <ScaleCrop>false</ScaleCrop>
  <Company>Author-it Software Corporation Ltd.</Company>
  <LinksUpToDate>false</LinksUpToDate>
  <CharactersWithSpaces>9795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FNSRSK602A Determine and manage risk exposure strategies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2012-05-26T16:31:00Z</dcterms:created>
  <dcterms:modified xsi:type="dcterms:W3CDTF">2012-05-26T16:31:00Z</dcterms:modified>
</cp:coreProperties>
</file>