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317" w:rsidP="005A6317">
      <w:pPr>
        <w:pStyle w:val="Title"/>
      </w:pPr>
      <w:r>
        <w:fldChar w:fldCharType="begin"/>
      </w:r>
      <w:r>
        <w:instrText xml:space="preserve"> TITLE   \* MERGEFORMAT </w:instrText>
      </w:r>
      <w:r>
        <w:fldChar w:fldCharType="separate"/>
      </w:r>
      <w:r>
        <w:t>FNSPRT403A Administer a complex estate</w:t>
      </w:r>
      <w:r>
        <w:fldChar w:fldCharType="end"/>
      </w:r>
    </w:p>
    <w:p w:rsidR="005A6317" w:rsidP="005A6317">
      <w:pPr>
        <w:pStyle w:val="Version"/>
        <w:sectPr w:rsidSect="00486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68F7" w:rsidP="004868F7">
      <w:pPr>
        <w:pStyle w:val="SuperHeading"/>
      </w:pPr>
      <w:r w:rsidRPr="004868F7">
        <w:t>FNSPRT403A Administer a complex estate</w:t>
      </w:r>
    </w:p>
    <w:p w:rsidR="00000000" w:rsidRPr="004868F7" w:rsidP="004868F7">
      <w:pPr>
        <w:pStyle w:val="SuperHeading"/>
      </w:pPr>
    </w:p>
    <w:p w:rsidR="00000000" w:rsidRPr="004868F7" w:rsidP="004868F7">
      <w:pPr>
        <w:pStyle w:val="Heading1"/>
      </w:pPr>
      <w:bookmarkStart w:id="1" w:name="O_80319"/>
      <w:bookmarkEnd w:id="1"/>
      <w:r w:rsidRPr="004868F7">
        <w:t>Modification History</w:t>
      </w:r>
    </w:p>
    <w:p w:rsidR="00000000" w:rsidRPr="004868F7" w:rsidP="004868F7">
      <w:pPr>
        <w:pStyle w:val="BodyText"/>
      </w:pPr>
      <w:r w:rsidRPr="004868F7">
        <w:t>Not applicable.</w:t>
      </w:r>
    </w:p>
    <w:p w:rsidR="00000000" w:rsidRPr="004868F7" w:rsidP="004868F7">
      <w:pPr>
        <w:pStyle w:val="AllowPageBreak"/>
      </w:pPr>
    </w:p>
    <w:p w:rsidR="00000000" w:rsidRPr="004868F7" w:rsidP="004868F7">
      <w:pPr>
        <w:pStyle w:val="Heading1"/>
      </w:pPr>
      <w:bookmarkStart w:id="2" w:name="O_80320"/>
      <w:bookmarkEnd w:id="2"/>
      <w:r w:rsidRPr="004868F7">
        <w:t>Unit Descriptor</w:t>
      </w:r>
    </w:p>
    <w:tbl>
      <w:tblPr>
        <w:tblW w:w="0" w:type="auto"/>
        <w:tblLayout w:type="fixed"/>
        <w:tblCellMar>
          <w:left w:w="62" w:type="dxa"/>
          <w:right w:w="62" w:type="dxa"/>
        </w:tblCellMar>
        <w:tblLook w:val="0000"/>
      </w:tblPr>
      <w:tblGrid>
        <w:gridCol w:w="2639"/>
        <w:gridCol w:w="5883"/>
      </w:tblGrid>
      <w:tr w:rsidTr="005A631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This unit describes the perf</w:t>
            </w:r>
            <w:r w:rsidRPr="004868F7">
              <w:t>ormance outcomes, skills and knowledge required to administer a complex estate, including proving the will, confirming client instructions, advising beneficiaries, confirming and collecting assets, and ensuring all financial and legal requirements are met.</w:t>
            </w:r>
          </w:p>
          <w:p w:rsidR="00000000" w:rsidRPr="004868F7" w:rsidP="004868F7">
            <w:pPr>
              <w:pStyle w:val="BodyText"/>
            </w:pPr>
          </w:p>
          <w:p w:rsidR="00000000" w:rsidRPr="004868F7" w:rsidP="004868F7">
            <w:pPr>
              <w:pStyle w:val="BodyText"/>
            </w:pPr>
            <w:r w:rsidRPr="004868F7">
              <w:t>This unit may apply to job roles subject to licensing, legislative, regulatory or certification requirements so Commonwealth, State or Territory requirements should be confirmed with the relevant body.</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3" w:name="O_80321"/>
      <w:bookmarkEnd w:id="3"/>
      <w:r w:rsidRPr="004868F7">
        <w:t>Application of the Unit</w:t>
      </w:r>
    </w:p>
    <w:tbl>
      <w:tblPr>
        <w:tblW w:w="0" w:type="auto"/>
        <w:tblLayout w:type="fixed"/>
        <w:tblCellMar>
          <w:left w:w="62" w:type="dxa"/>
          <w:right w:w="62" w:type="dxa"/>
        </w:tblCellMar>
        <w:tblLook w:val="0000"/>
      </w:tblPr>
      <w:tblGrid>
        <w:gridCol w:w="2723"/>
        <w:gridCol w:w="5799"/>
      </w:tblGrid>
      <w:tr w:rsidTr="005A631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This unit applies to job roles in the personal trustee industry.</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4" w:name="O_80322"/>
      <w:bookmarkEnd w:id="4"/>
      <w:r w:rsidRPr="004868F7">
        <w:t>Licensing/Regulatory Information</w:t>
      </w:r>
    </w:p>
    <w:p w:rsidR="00000000" w:rsidRPr="004868F7" w:rsidP="004868F7">
      <w:pPr>
        <w:pStyle w:val="BodyText"/>
      </w:pPr>
      <w:r w:rsidRPr="004868F7">
        <w:t>Not applicable.</w:t>
      </w:r>
    </w:p>
    <w:p w:rsidR="00000000" w:rsidRPr="004868F7" w:rsidP="004868F7">
      <w:pPr>
        <w:pStyle w:val="AllowPageBreak"/>
      </w:pPr>
    </w:p>
    <w:p w:rsidR="00000000" w:rsidRPr="004868F7" w:rsidP="004868F7">
      <w:pPr>
        <w:pStyle w:val="Heading1"/>
      </w:pPr>
      <w:bookmarkStart w:id="5" w:name="O_80324"/>
      <w:bookmarkEnd w:id="5"/>
      <w:r w:rsidRPr="004868F7">
        <w:t>Pre-Requisites</w:t>
      </w:r>
    </w:p>
    <w:tbl>
      <w:tblPr>
        <w:tblW w:w="0" w:type="auto"/>
        <w:tblLayout w:type="fixed"/>
        <w:tblCellMar>
          <w:left w:w="62" w:type="dxa"/>
          <w:right w:w="62" w:type="dxa"/>
        </w:tblCellMar>
        <w:tblLook w:val="0000"/>
      </w:tblPr>
      <w:tblGrid>
        <w:gridCol w:w="2745"/>
        <w:gridCol w:w="1301"/>
        <w:gridCol w:w="4476"/>
      </w:tblGrid>
      <w:tr w:rsidTr="005A631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p>
        </w:tc>
      </w:tr>
      <w:tr w:rsidTr="005A631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p>
        </w:tc>
      </w:tr>
      <w:tr w:rsidTr="005A631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6" w:name="O_80323"/>
      <w:bookmarkEnd w:id="6"/>
      <w:r w:rsidRPr="004868F7">
        <w:t>Employability Skills Information</w:t>
      </w:r>
    </w:p>
    <w:tbl>
      <w:tblPr>
        <w:tblW w:w="0" w:type="auto"/>
        <w:tblLayout w:type="fixed"/>
        <w:tblCellMar>
          <w:left w:w="62" w:type="dxa"/>
          <w:right w:w="62" w:type="dxa"/>
        </w:tblCellMar>
        <w:tblLook w:val="0000"/>
      </w:tblPr>
      <w:tblGrid>
        <w:gridCol w:w="2762"/>
        <w:gridCol w:w="5760"/>
      </w:tblGrid>
      <w:tr w:rsidTr="005A631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This unit contains employability skills.</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7" w:name="O_80325"/>
      <w:bookmarkEnd w:id="7"/>
      <w:r w:rsidRPr="004868F7">
        <w:t>Elements and Performance Criteria Pre-Content</w:t>
      </w:r>
    </w:p>
    <w:tbl>
      <w:tblPr>
        <w:tblW w:w="0" w:type="auto"/>
        <w:tblLayout w:type="fixed"/>
        <w:tblCellMar>
          <w:left w:w="62" w:type="dxa"/>
          <w:right w:w="62" w:type="dxa"/>
        </w:tblCellMar>
        <w:tblLook w:val="0000"/>
      </w:tblPr>
      <w:tblGrid>
        <w:gridCol w:w="2550"/>
        <w:gridCol w:w="5972"/>
      </w:tblGrid>
      <w:tr w:rsidTr="005A631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Performance criteria describe the performance needed to demonstrate achievement of the element. Where bold italicised text is used, further information is detailed in the required skills and knowledge section and the range statement. Assessment of performa</w:t>
            </w:r>
            <w:r w:rsidRPr="004868F7">
              <w:t>nce is to be consistent with the evidence guide.</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8" w:name="O_80326"/>
      <w:bookmarkEnd w:id="8"/>
      <w:r w:rsidRPr="004868F7">
        <w:t>Elements and Performance Criteria</w:t>
      </w:r>
    </w:p>
    <w:tbl>
      <w:tblPr>
        <w:tblW w:w="0" w:type="auto"/>
        <w:tblLayout w:type="fixed"/>
        <w:tblCellMar>
          <w:left w:w="62" w:type="dxa"/>
          <w:right w:w="62" w:type="dxa"/>
        </w:tblCellMar>
        <w:tblLook w:val="0000"/>
      </w:tblPr>
      <w:tblGrid>
        <w:gridCol w:w="2550"/>
        <w:gridCol w:w="5972"/>
      </w:tblGrid>
      <w:tr w:rsidTr="005A6317">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PERFORMANCE CRITERIA</w:t>
            </w:r>
          </w:p>
        </w:tc>
      </w:tr>
      <w:tr w:rsidTr="005A631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List"/>
              <w:rPr>
                <w:lang w:val="en-NZ"/>
              </w:rPr>
            </w:pPr>
            <w:r w:rsidRPr="004868F7">
              <w:t>1.</w:t>
            </w:r>
            <w:r w:rsidRPr="004868F7">
              <w:tab/>
              <w:t>Initiate the process of accepting the role of executor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2"/>
            </w:pPr>
            <w:r w:rsidRPr="004868F7">
              <w:t>1.1.</w:t>
            </w:r>
            <w:r w:rsidRPr="004868F7">
              <w:tab/>
            </w:r>
            <w:r w:rsidRPr="004868F7">
              <w:rPr>
                <w:rStyle w:val="BoldandItalics"/>
              </w:rPr>
              <w:t>Factors</w:t>
            </w:r>
            <w:r w:rsidRPr="004868F7">
              <w:t xml:space="preserve"> to accept or renounce administration of </w:t>
            </w:r>
            <w:r w:rsidRPr="004868F7">
              <w:t>the estate are determined and a decision is clarified</w:t>
            </w:r>
          </w:p>
          <w:p w:rsidR="00000000" w:rsidRPr="004868F7" w:rsidP="004868F7">
            <w:pPr>
              <w:pStyle w:val="List2"/>
            </w:pPr>
            <w:r w:rsidRPr="004868F7">
              <w:t>1.2.</w:t>
            </w:r>
            <w:r w:rsidRPr="004868F7">
              <w:tab/>
            </w:r>
            <w:r w:rsidRPr="004868F7">
              <w:rPr>
                <w:rStyle w:val="BoldandItalics"/>
              </w:rPr>
              <w:t>Initial procedures</w:t>
            </w:r>
            <w:r w:rsidRPr="004868F7">
              <w:t xml:space="preserve"> </w:t>
            </w:r>
            <w:r w:rsidRPr="004868F7">
              <w:rPr>
                <w:rStyle w:val="BoldandItalics"/>
              </w:rPr>
              <w:t>for opening an estate file</w:t>
            </w:r>
            <w:r w:rsidRPr="004868F7">
              <w:t xml:space="preserve"> are undertaken </w:t>
            </w:r>
          </w:p>
          <w:p w:rsidR="00000000" w:rsidRPr="004868F7" w:rsidP="004868F7">
            <w:pPr>
              <w:pStyle w:val="List2"/>
            </w:pPr>
            <w:r w:rsidRPr="004868F7">
              <w:t>1.3.</w:t>
            </w:r>
            <w:r w:rsidRPr="004868F7">
              <w:tab/>
              <w:t xml:space="preserve">Possible </w:t>
            </w:r>
            <w:r w:rsidRPr="004868F7">
              <w:rPr>
                <w:rStyle w:val="BoldandItalics"/>
              </w:rPr>
              <w:t>risk factors and irregularities</w:t>
            </w:r>
            <w:r w:rsidRPr="004868F7">
              <w:t xml:space="preserve"> in the will are identified and strategies for appropriate action determined </w:t>
            </w:r>
          </w:p>
          <w:p w:rsidR="00000000" w:rsidRPr="004868F7" w:rsidP="004868F7">
            <w:pPr>
              <w:pStyle w:val="List2"/>
            </w:pPr>
            <w:r w:rsidRPr="004868F7">
              <w:t>1.4.</w:t>
            </w:r>
            <w:r w:rsidRPr="004868F7">
              <w:tab/>
            </w:r>
            <w:r w:rsidRPr="004868F7">
              <w:rPr>
                <w:rStyle w:val="BoldandItalics"/>
              </w:rPr>
              <w:t xml:space="preserve">Urgent </w:t>
            </w:r>
            <w:r w:rsidRPr="004868F7">
              <w:rPr>
                <w:rStyle w:val="BoldandItalics"/>
              </w:rPr>
              <w:t>matters</w:t>
            </w:r>
            <w:r w:rsidRPr="004868F7">
              <w:t xml:space="preserve"> </w:t>
            </w:r>
            <w:r w:rsidRPr="004868F7">
              <w:rPr>
                <w:rStyle w:val="BoldandItalics"/>
              </w:rPr>
              <w:t>needing immediate attention</w:t>
            </w:r>
            <w:r w:rsidRPr="004868F7">
              <w:t xml:space="preserve"> that may arise, depending on the complexity of the estate, are dealt with in a timely and professional manner</w:t>
            </w:r>
          </w:p>
          <w:p w:rsidR="00000000" w:rsidRPr="004868F7" w:rsidP="004868F7">
            <w:pPr>
              <w:pStyle w:val="List2"/>
            </w:pPr>
            <w:r w:rsidRPr="004868F7">
              <w:t>1.5.</w:t>
            </w:r>
            <w:r w:rsidRPr="004868F7">
              <w:tab/>
              <w:t xml:space="preserve">If required, </w:t>
            </w:r>
            <w:r w:rsidRPr="004868F7">
              <w:rPr>
                <w:rStyle w:val="BoldandItalics"/>
              </w:rPr>
              <w:t>factors which increase the risk of litigation</w:t>
            </w:r>
            <w:r w:rsidRPr="004868F7">
              <w:t xml:space="preserve"> are identified and appropriate strategies exec</w:t>
            </w:r>
            <w:r w:rsidRPr="004868F7">
              <w:t>uted</w:t>
            </w:r>
          </w:p>
          <w:p w:rsidR="00000000" w:rsidP="004868F7">
            <w:pPr>
              <w:pStyle w:val="List2"/>
              <w:rPr>
                <w:lang w:val="en-NZ"/>
              </w:rPr>
            </w:pPr>
            <w:r w:rsidRPr="004868F7">
              <w:t>1.6.</w:t>
            </w:r>
            <w:r w:rsidRPr="004868F7">
              <w:tab/>
              <w:t>Co-executors are advised of options regarding their roles and the estate administration process and the will is proven</w:t>
            </w:r>
          </w:p>
        </w:tc>
      </w:tr>
      <w:tr w:rsidTr="005A631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List"/>
              <w:rPr>
                <w:lang w:val="en-NZ"/>
              </w:rPr>
            </w:pPr>
            <w:r w:rsidRPr="004868F7">
              <w:t>2.</w:t>
            </w:r>
            <w:r w:rsidRPr="004868F7">
              <w:tab/>
              <w:t>Identify, collect and distribute assets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2"/>
            </w:pPr>
            <w:r w:rsidRPr="004868F7">
              <w:t>2.1.</w:t>
            </w:r>
            <w:r w:rsidRPr="004868F7">
              <w:tab/>
              <w:t xml:space="preserve">Assets and liabilities are identified with </w:t>
            </w:r>
            <w:r w:rsidRPr="004868F7">
              <w:rPr>
                <w:rStyle w:val="BoldandItalics"/>
              </w:rPr>
              <w:t>assets</w:t>
            </w:r>
            <w:r w:rsidRPr="004868F7">
              <w:t xml:space="preserve"> collected, transmitted or re</w:t>
            </w:r>
            <w:r w:rsidRPr="004868F7">
              <w:t>alised as requested</w:t>
            </w:r>
          </w:p>
          <w:p w:rsidR="00000000" w:rsidRPr="004868F7" w:rsidP="004868F7">
            <w:pPr>
              <w:pStyle w:val="List2"/>
            </w:pPr>
            <w:r w:rsidRPr="004868F7">
              <w:t>2.2.</w:t>
            </w:r>
            <w:r w:rsidRPr="004868F7">
              <w:tab/>
            </w:r>
            <w:r w:rsidRPr="004868F7">
              <w:rPr>
                <w:rStyle w:val="BoldandItalics"/>
              </w:rPr>
              <w:t>Liquid assets</w:t>
            </w:r>
            <w:r w:rsidRPr="004868F7">
              <w:t xml:space="preserve"> are deposited in appropriate funds and cash receipted according to legal requirements</w:t>
            </w:r>
          </w:p>
          <w:p w:rsidR="00000000" w:rsidRPr="004868F7" w:rsidP="004868F7">
            <w:pPr>
              <w:pStyle w:val="List2"/>
            </w:pPr>
            <w:r w:rsidRPr="004868F7">
              <w:t>2.3.</w:t>
            </w:r>
            <w:r w:rsidRPr="004868F7">
              <w:tab/>
              <w:t>Steps are taken to ensure that property is adequately insured and secured, particularly where conflict may occur</w:t>
            </w:r>
          </w:p>
          <w:p w:rsidR="00000000" w:rsidRPr="004868F7" w:rsidP="004868F7">
            <w:pPr>
              <w:pStyle w:val="List2"/>
            </w:pPr>
            <w:r w:rsidRPr="004868F7">
              <w:t>2.4.</w:t>
            </w:r>
            <w:r w:rsidRPr="004868F7">
              <w:tab/>
              <w:t>Arrangem</w:t>
            </w:r>
            <w:r w:rsidRPr="004868F7">
              <w:t>ents for storage of chattels, and handing over of any bequests are confirmed</w:t>
            </w:r>
          </w:p>
          <w:p w:rsidR="00000000" w:rsidRPr="004868F7" w:rsidP="004868F7">
            <w:pPr>
              <w:pStyle w:val="List2"/>
            </w:pPr>
            <w:r w:rsidRPr="004868F7">
              <w:t>2.5.</w:t>
            </w:r>
            <w:r w:rsidRPr="004868F7">
              <w:tab/>
              <w:t>Beneficiaries are advised of Capital Gains Tax (CGT) implications and assets are distributed promptly according to the terms of the will or intestacy laws</w:t>
            </w:r>
          </w:p>
          <w:p w:rsidR="00000000" w:rsidP="004868F7">
            <w:pPr>
              <w:pStyle w:val="List2"/>
              <w:rPr>
                <w:lang w:val="en-NZ"/>
              </w:rPr>
            </w:pPr>
            <w:r w:rsidRPr="004868F7">
              <w:t>2.6.</w:t>
            </w:r>
            <w:r w:rsidRPr="004868F7">
              <w:tab/>
            </w:r>
            <w:r w:rsidRPr="004868F7">
              <w:t xml:space="preserve">Scheme of Appropriation is prepared and submitted to </w:t>
            </w:r>
            <w:r w:rsidRPr="004868F7">
              <w:rPr>
                <w:rStyle w:val="BoldandItalics"/>
              </w:rPr>
              <w:t>appropriate persons</w:t>
            </w:r>
            <w:r w:rsidRPr="004868F7">
              <w:t xml:space="preserve"> for approval and all internal audit requirements complied with</w:t>
            </w:r>
          </w:p>
        </w:tc>
      </w:tr>
      <w:tr w:rsidTr="005A631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List"/>
              <w:rPr>
                <w:lang w:val="en-NZ"/>
              </w:rPr>
            </w:pPr>
            <w:r w:rsidRPr="004868F7">
              <w:t>3.</w:t>
            </w:r>
            <w:r w:rsidRPr="004868F7">
              <w:tab/>
              <w:t>Ensure legal and financial requirements are finalised</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2"/>
            </w:pPr>
            <w:r w:rsidRPr="004868F7">
              <w:t>3.1.</w:t>
            </w:r>
            <w:r w:rsidRPr="004868F7">
              <w:tab/>
              <w:t xml:space="preserve">Distributable estate is </w:t>
            </w:r>
            <w:r w:rsidRPr="004868F7">
              <w:rPr>
                <w:rStyle w:val="BoldandItalics"/>
              </w:rPr>
              <w:t>finalised</w:t>
            </w:r>
          </w:p>
          <w:p w:rsidR="00000000" w:rsidRPr="004868F7" w:rsidP="004868F7">
            <w:pPr>
              <w:pStyle w:val="List2"/>
            </w:pPr>
            <w:r w:rsidRPr="004868F7">
              <w:t>3.2.</w:t>
            </w:r>
            <w:r w:rsidRPr="004868F7">
              <w:tab/>
              <w:t>If required, a cle</w:t>
            </w:r>
            <w:r w:rsidRPr="004868F7">
              <w:t>arance to Date of Death (DOD) from the Australian Taxation Office (ATO) is confirmed</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9" w:name="O_80327"/>
      <w:bookmarkEnd w:id="9"/>
      <w:r w:rsidRPr="004868F7">
        <w:t>Required Skills and Knowledge</w:t>
      </w:r>
    </w:p>
    <w:tbl>
      <w:tblPr>
        <w:tblW w:w="0" w:type="auto"/>
        <w:tblLayout w:type="fixed"/>
        <w:tblCellMar>
          <w:left w:w="62" w:type="dxa"/>
          <w:right w:w="62" w:type="dxa"/>
        </w:tblCellMar>
        <w:tblLook w:val="0000"/>
      </w:tblPr>
      <w:tblGrid>
        <w:gridCol w:w="8522"/>
      </w:tblGrid>
      <w:tr w:rsidTr="005A63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REQUIRED SKILLS AND KNOWLEDGE</w:t>
            </w:r>
          </w:p>
        </w:tc>
      </w:tr>
      <w:tr w:rsidTr="005A63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t>This section describes the skills and knowledge required for this unit.</w:t>
            </w:r>
          </w:p>
        </w:tc>
      </w:tr>
      <w:tr w:rsidTr="005A6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Required skills</w:t>
            </w:r>
          </w:p>
        </w:tc>
      </w:tr>
      <w:tr w:rsidTr="005A6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highly developed communication skills to:</w:t>
            </w:r>
          </w:p>
          <w:p w:rsidR="00000000" w:rsidRPr="004868F7" w:rsidP="004868F7">
            <w:pPr>
              <w:pStyle w:val="ListBullet2"/>
            </w:pPr>
            <w:r w:rsidRPr="004868F7">
              <w:t>determine and confirm work and client requirements, using questioning and active listening as required</w:t>
            </w:r>
          </w:p>
          <w:p w:rsidR="00000000" w:rsidRPr="004868F7" w:rsidP="004868F7">
            <w:pPr>
              <w:pStyle w:val="ListBullet2"/>
            </w:pPr>
            <w:r w:rsidRPr="004868F7">
              <w:t>provide customer service and deal sensitively with clients</w:t>
            </w:r>
          </w:p>
          <w:p w:rsidR="00000000" w:rsidRPr="004868F7" w:rsidP="004868F7">
            <w:pPr>
              <w:pStyle w:val="ListBullet2"/>
            </w:pPr>
            <w:r w:rsidRPr="004868F7">
              <w:t>resolve disputes and conflicts</w:t>
            </w:r>
          </w:p>
          <w:p w:rsidR="00000000" w:rsidRPr="004868F7" w:rsidP="004868F7">
            <w:pPr>
              <w:pStyle w:val="ListBullet2"/>
            </w:pPr>
            <w:r w:rsidRPr="004868F7">
              <w:t>liaise with others such as specialist advisers, share information, listen and understand</w:t>
            </w:r>
          </w:p>
          <w:p w:rsidR="00000000" w:rsidRPr="004868F7" w:rsidP="004868F7">
            <w:pPr>
              <w:pStyle w:val="ListBullet2"/>
            </w:pPr>
            <w:r w:rsidRPr="004868F7">
              <w:t>use language and concepts appropriate to cultural differences</w:t>
            </w:r>
          </w:p>
          <w:p w:rsidR="00000000" w:rsidRPr="004868F7" w:rsidP="004868F7">
            <w:pPr>
              <w:pStyle w:val="ListBullet"/>
            </w:pPr>
            <w:r w:rsidRPr="004868F7">
              <w:t>customer service skills</w:t>
            </w:r>
          </w:p>
          <w:p w:rsidR="00000000" w:rsidRPr="004868F7" w:rsidP="004868F7">
            <w:pPr>
              <w:pStyle w:val="ListBullet"/>
            </w:pPr>
            <w:r w:rsidRPr="004868F7">
              <w:t>research and analysis skills for accessing, interpreting and managing informatio</w:t>
            </w:r>
            <w:r w:rsidRPr="004868F7">
              <w:t>n and performing genealogical searches</w:t>
            </w:r>
          </w:p>
          <w:p w:rsidR="00000000" w:rsidRPr="004868F7" w:rsidP="004868F7">
            <w:pPr>
              <w:pStyle w:val="ListBullet"/>
            </w:pPr>
            <w:r w:rsidRPr="004868F7">
              <w:t>IT skills for accessing and using appropriate systems and databases and using internet information</w:t>
            </w:r>
          </w:p>
          <w:p w:rsidR="00000000" w:rsidRPr="004868F7" w:rsidP="004868F7">
            <w:pPr>
              <w:pStyle w:val="ListBullet"/>
            </w:pPr>
            <w:r w:rsidRPr="004868F7">
              <w:t>highly developed numeracy skills to prepare and interpret complex financial statements and perform complex financial c</w:t>
            </w:r>
            <w:r w:rsidRPr="004868F7">
              <w:t>alculations</w:t>
            </w:r>
          </w:p>
          <w:p w:rsidR="00000000" w:rsidRPr="004868F7" w:rsidP="004868F7">
            <w:pPr>
              <w:pStyle w:val="ListBullet"/>
            </w:pPr>
            <w:r w:rsidRPr="004868F7">
              <w:t>well-developed literacy skills to:</w:t>
            </w:r>
          </w:p>
          <w:p w:rsidR="00000000" w:rsidRPr="004868F7" w:rsidP="004868F7">
            <w:pPr>
              <w:pStyle w:val="ListBullet2"/>
            </w:pPr>
            <w:r w:rsidRPr="004868F7">
              <w:t xml:space="preserve">read and interpret documentation from a variety of sources </w:t>
            </w:r>
          </w:p>
          <w:p w:rsidR="00000000" w:rsidRPr="004868F7" w:rsidP="004868F7">
            <w:pPr>
              <w:pStyle w:val="ListBullet2"/>
            </w:pPr>
            <w:r w:rsidRPr="004868F7">
              <w:t xml:space="preserve">prepare documentation </w:t>
            </w:r>
          </w:p>
          <w:p w:rsidR="00000000" w:rsidRPr="004868F7" w:rsidP="004868F7">
            <w:pPr>
              <w:pStyle w:val="ListBullet2"/>
            </w:pPr>
            <w:r w:rsidRPr="004868F7">
              <w:t>record, consolidate and file information</w:t>
            </w:r>
          </w:p>
          <w:p w:rsidR="00000000" w:rsidRPr="004868F7" w:rsidP="004868F7">
            <w:pPr>
              <w:pStyle w:val="ListBullet"/>
            </w:pPr>
            <w:r w:rsidRPr="004868F7">
              <w:t>administrative and organisational skills, including the ability to plan and sequence work</w:t>
            </w:r>
          </w:p>
          <w:p w:rsidR="00000000" w:rsidP="004868F7">
            <w:pPr>
              <w:pStyle w:val="ListBullet"/>
              <w:rPr>
                <w:lang w:val="en-NZ"/>
              </w:rPr>
            </w:pPr>
            <w:r w:rsidRPr="004868F7">
              <w:t>team leadership skills to achieve organisational goals</w:t>
            </w:r>
          </w:p>
        </w:tc>
      </w:tr>
      <w:tr w:rsidTr="005A6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Required knowledge</w:t>
            </w:r>
          </w:p>
        </w:tc>
      </w:tr>
      <w:tr w:rsidTr="005A6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relevant State and Territory legislation and regulation relating to:</w:t>
            </w:r>
          </w:p>
          <w:p w:rsidR="00000000" w:rsidRPr="004868F7" w:rsidP="004868F7">
            <w:pPr>
              <w:pStyle w:val="ListBullet2"/>
            </w:pPr>
            <w:r w:rsidRPr="004868F7">
              <w:t>wills</w:t>
            </w:r>
          </w:p>
          <w:p w:rsidR="00000000" w:rsidRPr="004868F7" w:rsidP="004868F7">
            <w:pPr>
              <w:pStyle w:val="ListBullet2"/>
            </w:pPr>
            <w:r w:rsidRPr="004868F7">
              <w:t>intestacies</w:t>
            </w:r>
          </w:p>
          <w:p w:rsidR="00000000" w:rsidRPr="004868F7" w:rsidP="004868F7">
            <w:pPr>
              <w:pStyle w:val="ListBullet2"/>
            </w:pPr>
            <w:r w:rsidRPr="004868F7">
              <w:t>probate and administration</w:t>
            </w:r>
          </w:p>
          <w:p w:rsidR="00000000" w:rsidRPr="004868F7" w:rsidP="004868F7">
            <w:pPr>
              <w:pStyle w:val="ListBullet2"/>
            </w:pPr>
            <w:r w:rsidRPr="004868F7">
              <w:t>trusteeships</w:t>
            </w:r>
          </w:p>
          <w:p w:rsidR="00000000" w:rsidRPr="004868F7" w:rsidP="004868F7">
            <w:pPr>
              <w:pStyle w:val="ListBullet"/>
            </w:pPr>
            <w:r w:rsidRPr="004868F7">
              <w:t>relevant Commonwealth legislation and regulations including:</w:t>
            </w:r>
          </w:p>
          <w:p w:rsidR="00000000" w:rsidRPr="004868F7" w:rsidP="004868F7">
            <w:pPr>
              <w:pStyle w:val="ListBullet2"/>
            </w:pPr>
            <w:r w:rsidRPr="004868F7">
              <w:t>Income Tax Assessment Act</w:t>
            </w:r>
          </w:p>
          <w:p w:rsidR="00000000" w:rsidRPr="004868F7" w:rsidP="004868F7">
            <w:pPr>
              <w:pStyle w:val="ListBullet"/>
            </w:pPr>
            <w:r w:rsidRPr="004868F7">
              <w:t>application of interstate and overseas legislation and regulations where appropriate</w:t>
            </w:r>
          </w:p>
          <w:p w:rsidR="00000000" w:rsidRPr="004868F7" w:rsidP="004868F7">
            <w:pPr>
              <w:pStyle w:val="ListBullet"/>
            </w:pPr>
            <w:r w:rsidRPr="004868F7">
              <w:t>the factors which increase risk of litiga</w:t>
            </w:r>
            <w:r w:rsidRPr="004868F7">
              <w:t>tion</w:t>
            </w:r>
          </w:p>
          <w:p w:rsidR="00000000" w:rsidRPr="004868F7" w:rsidP="004868F7">
            <w:pPr>
              <w:pStyle w:val="ListBullet"/>
            </w:pPr>
            <w:r w:rsidRPr="004868F7">
              <w:t>relevant social services and benefits, and qualification requirements, including:</w:t>
            </w:r>
          </w:p>
          <w:p w:rsidR="00000000" w:rsidRPr="004868F7" w:rsidP="004868F7">
            <w:pPr>
              <w:pStyle w:val="ListBullet2"/>
            </w:pPr>
            <w:r w:rsidRPr="004868F7">
              <w:t>age</w:t>
            </w:r>
          </w:p>
          <w:p w:rsidR="00000000" w:rsidRPr="004868F7" w:rsidP="004868F7">
            <w:pPr>
              <w:pStyle w:val="ListBullet2"/>
            </w:pPr>
            <w:r w:rsidRPr="004868F7">
              <w:t>disability</w:t>
            </w:r>
          </w:p>
          <w:p w:rsidR="00000000" w:rsidRPr="004868F7" w:rsidP="004868F7">
            <w:pPr>
              <w:pStyle w:val="ListBullet2"/>
            </w:pPr>
            <w:r w:rsidRPr="004868F7">
              <w:t>unemployment provisions</w:t>
            </w:r>
          </w:p>
          <w:p w:rsidR="00000000" w:rsidRPr="004868F7" w:rsidP="004868F7">
            <w:pPr>
              <w:pStyle w:val="ListBullet"/>
            </w:pPr>
            <w:r w:rsidRPr="004868F7">
              <w:t>organisational policies and procedures required in the full range of tasks covered</w:t>
            </w:r>
          </w:p>
          <w:p w:rsidR="00000000" w:rsidRPr="004868F7" w:rsidP="004868F7">
            <w:pPr>
              <w:pStyle w:val="ListBullet"/>
            </w:pPr>
            <w:r w:rsidRPr="004868F7">
              <w:t>products and services offered by the organisa</w:t>
            </w:r>
            <w:r w:rsidRPr="004868F7">
              <w:t>tion</w:t>
            </w:r>
          </w:p>
          <w:p w:rsidR="00000000" w:rsidRPr="004868F7" w:rsidP="004868F7">
            <w:pPr>
              <w:pStyle w:val="ListBullet"/>
            </w:pPr>
            <w:r w:rsidRPr="004868F7">
              <w:t>roles, responsibilities and powers of the senior personal trust officer including:</w:t>
            </w:r>
          </w:p>
          <w:p w:rsidR="00000000" w:rsidRPr="004868F7" w:rsidP="004868F7">
            <w:pPr>
              <w:pStyle w:val="ListBullet2"/>
            </w:pPr>
            <w:r w:rsidRPr="004868F7">
              <w:t>management and supervision responsibilities</w:t>
            </w:r>
          </w:p>
          <w:p w:rsidR="00000000" w:rsidRPr="004868F7" w:rsidP="004868F7">
            <w:pPr>
              <w:pStyle w:val="ListBullet2"/>
            </w:pPr>
            <w:r w:rsidRPr="004868F7">
              <w:t>organisational expectations</w:t>
            </w:r>
          </w:p>
          <w:p w:rsidR="00000000" w:rsidRPr="004868F7" w:rsidP="004868F7">
            <w:pPr>
              <w:pStyle w:val="ListBullet2"/>
            </w:pPr>
            <w:r w:rsidRPr="004868F7">
              <w:t>limitation of personal authority (e.g. in giving complex investment advice)</w:t>
            </w:r>
          </w:p>
          <w:p w:rsidR="00000000" w:rsidRPr="004868F7" w:rsidP="004868F7">
            <w:pPr>
              <w:pStyle w:val="ListBullet"/>
            </w:pPr>
            <w:r w:rsidRPr="004868F7">
              <w:t>the professional code of conduct in the personal trustee industry including:</w:t>
            </w:r>
          </w:p>
          <w:p w:rsidR="00000000" w:rsidRPr="004868F7" w:rsidP="004868F7">
            <w:pPr>
              <w:pStyle w:val="ListBullet2"/>
            </w:pPr>
            <w:r w:rsidRPr="004868F7">
              <w:t>ethical practices</w:t>
            </w:r>
          </w:p>
          <w:p w:rsidR="00000000" w:rsidRPr="004868F7" w:rsidP="004868F7">
            <w:pPr>
              <w:pStyle w:val="ListBullet2"/>
            </w:pPr>
            <w:r w:rsidRPr="004868F7">
              <w:t>integrity</w:t>
            </w:r>
          </w:p>
          <w:p w:rsidR="00000000" w:rsidRPr="004868F7" w:rsidP="004868F7">
            <w:pPr>
              <w:pStyle w:val="ListBullet2"/>
            </w:pPr>
            <w:r w:rsidRPr="004868F7">
              <w:t>professionalism</w:t>
            </w:r>
          </w:p>
          <w:p w:rsidR="00000000" w:rsidRPr="004868F7" w:rsidP="004868F7">
            <w:pPr>
              <w:pStyle w:val="ListBullet2"/>
            </w:pPr>
            <w:r w:rsidRPr="004868F7">
              <w:t>confidentiality</w:t>
            </w:r>
          </w:p>
          <w:p w:rsidR="00000000" w:rsidRPr="004868F7" w:rsidP="004868F7">
            <w:pPr>
              <w:pStyle w:val="ListBullet"/>
            </w:pPr>
            <w:r w:rsidRPr="004868F7">
              <w:t>how and when to contact key organisational personnel with expertise in specialised areas relating to the personal tru</w:t>
            </w:r>
            <w:r w:rsidRPr="004868F7">
              <w:t>stee industry</w:t>
            </w:r>
          </w:p>
          <w:p w:rsidR="00000000" w:rsidRPr="004868F7" w:rsidP="004868F7">
            <w:pPr>
              <w:pStyle w:val="ListBullet"/>
            </w:pPr>
            <w:r w:rsidRPr="004868F7">
              <w:t>role of external specialists and resources relevant to requirements in the personal trustee industry</w:t>
            </w:r>
          </w:p>
          <w:p w:rsidR="00000000" w:rsidRPr="004868F7" w:rsidP="004868F7">
            <w:pPr>
              <w:pStyle w:val="ListBullet"/>
            </w:pPr>
            <w:r w:rsidRPr="004868F7">
              <w:t>basic legal and administrative requirements for managing a business, including WorkCover (or similar schemes), superannuation and group tax</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10" w:name="O_80328"/>
      <w:bookmarkEnd w:id="10"/>
      <w:r w:rsidRPr="004868F7">
        <w:t>Evidence Guide</w:t>
      </w:r>
    </w:p>
    <w:tbl>
      <w:tblPr>
        <w:tblW w:w="9570" w:type="dxa"/>
        <w:tblLayout w:type="fixed"/>
        <w:tblCellMar>
          <w:left w:w="62" w:type="dxa"/>
          <w:right w:w="62" w:type="dxa"/>
        </w:tblCellMar>
        <w:tblLook w:val="0000"/>
      </w:tblPr>
      <w:tblGrid>
        <w:gridCol w:w="2808"/>
        <w:gridCol w:w="6762"/>
      </w:tblGrid>
      <w:tr w:rsidTr="005A63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EVIDENCE GUIDE</w:t>
            </w:r>
          </w:p>
        </w:tc>
      </w:tr>
      <w:tr w:rsidTr="005A63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t>The Evidence Guide provides advice on assessment and must be read in conjunction with the performance criteria, required skills and knowledge, range statement and the Assessment Guidelines for the Training Pa</w:t>
            </w:r>
            <w:r w:rsidRPr="004868F7">
              <w:t>ckage.</w:t>
            </w:r>
          </w:p>
        </w:tc>
      </w:tr>
      <w:tr w:rsidTr="005A63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p>
        </w:tc>
      </w:tr>
      <w:tr w:rsidTr="005A63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Evidence of the ability to:</w:t>
            </w:r>
          </w:p>
          <w:p w:rsidR="00000000" w:rsidRPr="004868F7" w:rsidP="004868F7">
            <w:pPr>
              <w:pStyle w:val="ListBullet"/>
            </w:pPr>
            <w:r w:rsidRPr="004868F7">
              <w:t xml:space="preserve">undertake relevant tasks associated with assisting clients in administering complex </w:t>
            </w:r>
            <w:r w:rsidRPr="004868F7">
              <w:t>estates and use customer service strategies that allow for customers' needs to be assessed and responded to in complex situations to ensure maximum customer satisfaction</w:t>
            </w:r>
          </w:p>
          <w:p w:rsidR="00000000" w:rsidRPr="004868F7" w:rsidP="004868F7">
            <w:pPr>
              <w:pStyle w:val="ListBullet"/>
            </w:pPr>
            <w:r w:rsidRPr="004868F7">
              <w:t>use conflict resolution skills to recognise potential conflict in a variety of situati</w:t>
            </w:r>
            <w:r w:rsidRPr="004868F7">
              <w:t>ons, including internal, and use strategies to defuse the situation</w:t>
            </w:r>
          </w:p>
          <w:p w:rsidR="00000000" w:rsidRPr="004868F7" w:rsidP="004868F7">
            <w:pPr>
              <w:pStyle w:val="ListBullet"/>
            </w:pPr>
            <w:r w:rsidRPr="004868F7">
              <w:t>prepare and interpret complex financial statements</w:t>
            </w:r>
          </w:p>
          <w:p w:rsidR="00000000" w:rsidRPr="004868F7" w:rsidP="004868F7">
            <w:pPr>
              <w:pStyle w:val="ListBullet"/>
            </w:pPr>
            <w:r w:rsidRPr="004868F7">
              <w:t>use high level investigation skills such as genealogical research</w:t>
            </w:r>
          </w:p>
          <w:p w:rsidR="00000000" w:rsidP="004868F7">
            <w:pPr>
              <w:pStyle w:val="ListBullet"/>
              <w:rPr>
                <w:lang w:val="en-NZ"/>
              </w:rPr>
            </w:pPr>
            <w:r w:rsidRPr="004868F7">
              <w:t>manage status reports on complex matters with competing priorities.</w:t>
            </w:r>
          </w:p>
        </w:tc>
      </w:tr>
      <w:tr w:rsidTr="005A63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Co</w:t>
            </w:r>
            <w:r w:rsidRPr="004868F7">
              <w:rPr>
                <w:rStyle w:val="SpecialBold"/>
              </w:rPr>
              <w:t>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Assessment must ensure:</w:t>
            </w:r>
          </w:p>
          <w:p w:rsidR="00000000" w:rsidRPr="004868F7" w:rsidP="004868F7">
            <w:pPr>
              <w:pStyle w:val="ListBullet"/>
            </w:pPr>
            <w:r w:rsidRPr="004868F7">
              <w:t>competency is demonstrated in the context of the financial services work environment and conditions specified in the range statement either in a relevant workplace or a closely simulat</w:t>
            </w:r>
            <w:r w:rsidRPr="004868F7">
              <w:t>ed work environment</w:t>
            </w:r>
          </w:p>
          <w:p w:rsidR="00000000" w:rsidRPr="004868F7" w:rsidP="004868F7">
            <w:pPr>
              <w:pStyle w:val="ListBullet"/>
            </w:pPr>
            <w:r w:rsidRPr="004868F7">
              <w:t>access to and the use of a range of common office equipment, technology, software and consumables</w:t>
            </w:r>
          </w:p>
          <w:p w:rsidR="00000000" w:rsidP="004868F7">
            <w:pPr>
              <w:pStyle w:val="ListBullet"/>
              <w:rPr>
                <w:lang w:val="en-NZ"/>
              </w:rPr>
            </w:pPr>
            <w:r w:rsidRPr="004868F7">
              <w:t>access to appropriate legislation and regulations relevant to preparing a will, workplace manuals and reference material such as company p</w:t>
            </w:r>
            <w:r w:rsidRPr="004868F7">
              <w:t>olicy, procedural manuals and checklists.</w:t>
            </w:r>
          </w:p>
        </w:tc>
      </w:tr>
      <w:tr w:rsidTr="005A63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A range of assessment methods should be used to assess practical skills and knowledge. The following examples, in combination, are appropriate for this unit:</w:t>
            </w:r>
          </w:p>
          <w:p w:rsidR="00000000" w:rsidRPr="004868F7" w:rsidP="004868F7">
            <w:pPr>
              <w:pStyle w:val="ListBullet"/>
            </w:pPr>
            <w:r w:rsidRPr="004868F7">
              <w:t>evaluating an integrated activity which combines the elements of competency for the unit or a cluster of related units of competency</w:t>
            </w:r>
          </w:p>
          <w:p w:rsidR="00000000" w:rsidRPr="004868F7" w:rsidP="004868F7">
            <w:pPr>
              <w:pStyle w:val="ListBullet"/>
            </w:pPr>
            <w:r w:rsidRPr="004868F7">
              <w:t>verbal or written questioning on underpinning knowledge and skills</w:t>
            </w:r>
          </w:p>
          <w:p w:rsidR="00000000" w:rsidRPr="004868F7" w:rsidP="004868F7">
            <w:pPr>
              <w:pStyle w:val="ListBullet"/>
            </w:pPr>
            <w:r w:rsidRPr="004868F7">
              <w:t>setting and reviewing simulations or scenarios</w:t>
            </w:r>
          </w:p>
          <w:p w:rsidR="00000000" w:rsidP="004868F7">
            <w:pPr>
              <w:pStyle w:val="ListBullet"/>
              <w:rPr>
                <w:lang w:val="en-NZ"/>
              </w:rPr>
            </w:pPr>
            <w:r w:rsidRPr="004868F7">
              <w:t>accessing</w:t>
            </w:r>
            <w:r w:rsidRPr="004868F7">
              <w:t xml:space="preserve"> and validating third party reports.</w:t>
            </w:r>
          </w:p>
        </w:tc>
      </w:tr>
      <w:tr w:rsidTr="005A631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11" w:name="O_80329"/>
      <w:bookmarkEnd w:id="11"/>
      <w:r w:rsidRPr="004868F7">
        <w:t>Range Statement</w:t>
      </w:r>
    </w:p>
    <w:tbl>
      <w:tblPr>
        <w:tblW w:w="0" w:type="auto"/>
        <w:tblLayout w:type="fixed"/>
        <w:tblCellMar>
          <w:left w:w="62" w:type="dxa"/>
          <w:right w:w="62" w:type="dxa"/>
        </w:tblCellMar>
        <w:tblLook w:val="0000"/>
      </w:tblPr>
      <w:tblGrid>
        <w:gridCol w:w="2504"/>
        <w:gridCol w:w="6018"/>
      </w:tblGrid>
      <w:tr w:rsidTr="005A63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RANGE STATEMENT</w:t>
            </w:r>
          </w:p>
        </w:tc>
      </w:tr>
      <w:tr w:rsidTr="005A63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t>The range statement relates to the unit of competency as a whole. It allows for different work environments and situations that may affect performance. Bold italicised wording, if used in the performance criteria, is detailed below. Essential operating con</w:t>
            </w:r>
            <w:r w:rsidRPr="004868F7">
              <w:t>ditions that may be present with training and assessment (depending on the work situation, needs of the candidate, accessibility of the item, and local industry and regional contexts) may also be included.</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Factors</w:t>
            </w:r>
            <w:r w:rsidRPr="004868F7">
              <w:t xml:space="preserve"> to accept or renounce administration of </w:t>
            </w:r>
            <w:r w:rsidRPr="004868F7">
              <w:t>the estate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assets of the estate justify accepting the role of executor</w:t>
            </w:r>
          </w:p>
          <w:p w:rsidR="00000000" w:rsidRPr="004868F7" w:rsidP="004868F7">
            <w:pPr>
              <w:pStyle w:val="ListBullet"/>
            </w:pPr>
            <w:r w:rsidRPr="004868F7">
              <w:t>if the company has intermeddled in the affairs of the deceased, thus disentitling the company to renounce the role of executor</w:t>
            </w:r>
          </w:p>
          <w:p w:rsidR="00000000" w:rsidP="004868F7">
            <w:pPr>
              <w:pStyle w:val="ListBullet"/>
              <w:rPr>
                <w:lang w:val="en-NZ"/>
              </w:rPr>
            </w:pPr>
            <w:r w:rsidRPr="004868F7">
              <w:t>unusual factors which would discourage accepting the role of executor.</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Initial processes for opening an estate file</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carrying out funeral arrangements with beneficiaries with sensitivity</w:t>
            </w:r>
          </w:p>
          <w:p w:rsidR="00000000" w:rsidRPr="004868F7" w:rsidP="004868F7">
            <w:pPr>
              <w:pStyle w:val="ListBullet"/>
            </w:pPr>
            <w:r w:rsidRPr="004868F7">
              <w:t>identifying potentially contentious issues promptly</w:t>
            </w:r>
          </w:p>
          <w:p w:rsidR="00000000" w:rsidRPr="004868F7" w:rsidP="004868F7">
            <w:pPr>
              <w:pStyle w:val="ListBullet"/>
            </w:pPr>
            <w:r w:rsidRPr="004868F7">
              <w:t>ide</w:t>
            </w:r>
            <w:r w:rsidRPr="004868F7">
              <w:t>ntifying risk factors and manage to reduce chances of litigation</w:t>
            </w:r>
          </w:p>
          <w:p w:rsidR="00000000" w:rsidRPr="004868F7" w:rsidP="004868F7">
            <w:pPr>
              <w:pStyle w:val="ListBullet"/>
            </w:pPr>
            <w:r w:rsidRPr="004868F7">
              <w:t>opening estate file promptly at time of notification of client's death</w:t>
            </w:r>
          </w:p>
          <w:p w:rsidR="00000000" w:rsidP="004868F7">
            <w:pPr>
              <w:pStyle w:val="ListBullet"/>
              <w:rPr>
                <w:lang w:val="en-NZ"/>
              </w:rPr>
            </w:pPr>
            <w:r w:rsidRPr="004868F7">
              <w:t>undertaking preliminary reading of the will to establish parameters and instructions previously taken.</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Possible risk fa</w:t>
            </w:r>
            <w:r w:rsidRPr="004868F7">
              <w:rPr>
                <w:rStyle w:val="BoldandItalics"/>
              </w:rPr>
              <w:t>ctors and irregularities</w:t>
            </w:r>
            <w:r w:rsidRPr="004868F7">
              <w:t xml:space="preserve"> of the will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alteration</w:t>
            </w:r>
          </w:p>
          <w:p w:rsidR="00000000" w:rsidRPr="004868F7" w:rsidP="004868F7">
            <w:pPr>
              <w:pStyle w:val="ListBullet"/>
            </w:pPr>
            <w:r w:rsidRPr="004868F7">
              <w:t>defacement</w:t>
            </w:r>
          </w:p>
          <w:p w:rsidR="00000000" w:rsidRPr="004868F7" w:rsidP="004868F7">
            <w:pPr>
              <w:pStyle w:val="ListBullet"/>
            </w:pPr>
            <w:r w:rsidRPr="004868F7">
              <w:t>evidence of annexure</w:t>
            </w:r>
          </w:p>
          <w:p w:rsidR="00000000" w:rsidRPr="004868F7" w:rsidP="004868F7">
            <w:pPr>
              <w:pStyle w:val="ListBullet"/>
            </w:pPr>
            <w:r w:rsidRPr="004868F7">
              <w:t>incorrect attestation</w:t>
            </w:r>
          </w:p>
          <w:p w:rsidR="00000000" w:rsidRPr="004868F7" w:rsidP="004868F7">
            <w:pPr>
              <w:pStyle w:val="ListBullet"/>
            </w:pPr>
            <w:r w:rsidRPr="004868F7">
              <w:t>no executor appointed or death of executor</w:t>
            </w:r>
          </w:p>
          <w:p w:rsidR="00000000" w:rsidRPr="004868F7" w:rsidP="004868F7">
            <w:pPr>
              <w:pStyle w:val="ListBullet"/>
            </w:pPr>
            <w:r w:rsidRPr="004868F7">
              <w:t>no revocation clause</w:t>
            </w:r>
          </w:p>
          <w:p w:rsidR="00000000" w:rsidP="004868F7">
            <w:pPr>
              <w:pStyle w:val="ListBullet"/>
              <w:rPr>
                <w:lang w:val="en-NZ"/>
              </w:rPr>
            </w:pPr>
            <w:r w:rsidRPr="004868F7">
              <w:t>questions regarding interpretation.</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Urgent matters needing immediate attention</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arrangements of funds in the short term to care for dependants</w:t>
            </w:r>
          </w:p>
          <w:p w:rsidR="00000000" w:rsidRPr="004868F7" w:rsidP="004868F7">
            <w:pPr>
              <w:pStyle w:val="ListBullet"/>
            </w:pPr>
            <w:r w:rsidRPr="004868F7">
              <w:t>clauses of the will which are open to interpretation</w:t>
            </w:r>
          </w:p>
          <w:p w:rsidR="00000000" w:rsidRPr="004868F7" w:rsidP="004868F7">
            <w:pPr>
              <w:pStyle w:val="ListBullet"/>
            </w:pPr>
            <w:r w:rsidRPr="004868F7">
              <w:t>organising for suitable care for orphaned children or animals</w:t>
            </w:r>
          </w:p>
          <w:p w:rsidR="00000000" w:rsidP="004868F7">
            <w:pPr>
              <w:pStyle w:val="ListBullet"/>
              <w:rPr>
                <w:lang w:val="en-NZ"/>
              </w:rPr>
            </w:pPr>
            <w:r w:rsidRPr="004868F7">
              <w:t>securing valuable ass</w:t>
            </w:r>
            <w:r w:rsidRPr="004868F7">
              <w:t>ets and arrange for suitable insurance and safekeeping.</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Factors which increase the risk of litigation</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clauses of the will which are:</w:t>
            </w:r>
          </w:p>
          <w:p w:rsidR="00000000" w:rsidRPr="004868F7" w:rsidP="004868F7">
            <w:pPr>
              <w:pStyle w:val="ListBullet2"/>
            </w:pPr>
            <w:r w:rsidRPr="004868F7">
              <w:t xml:space="preserve">open to interpretation </w:t>
            </w:r>
          </w:p>
          <w:p w:rsidR="00000000" w:rsidRPr="004868F7" w:rsidP="004868F7">
            <w:pPr>
              <w:pStyle w:val="ListBullet2"/>
            </w:pPr>
            <w:r w:rsidRPr="004868F7">
              <w:t>vague</w:t>
            </w:r>
          </w:p>
          <w:p w:rsidR="00000000" w:rsidRPr="004868F7" w:rsidP="004868F7">
            <w:pPr>
              <w:pStyle w:val="ListBullet2"/>
            </w:pPr>
            <w:r w:rsidRPr="004868F7">
              <w:t xml:space="preserve">no longer relevant </w:t>
            </w:r>
          </w:p>
          <w:p w:rsidR="00000000" w:rsidP="004868F7">
            <w:pPr>
              <w:pStyle w:val="ListBullet2"/>
              <w:rPr>
                <w:lang w:val="en-NZ"/>
              </w:rPr>
            </w:pPr>
            <w:r w:rsidRPr="004868F7">
              <w:t>outdated.</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Assets</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collectibles</w:t>
            </w:r>
          </w:p>
          <w:p w:rsidR="00000000" w:rsidRPr="004868F7" w:rsidP="004868F7">
            <w:pPr>
              <w:pStyle w:val="ListBullet"/>
            </w:pPr>
            <w:r w:rsidRPr="004868F7">
              <w:t>furniture</w:t>
            </w:r>
          </w:p>
          <w:p w:rsidR="00000000" w:rsidRPr="004868F7" w:rsidP="004868F7">
            <w:pPr>
              <w:pStyle w:val="ListBullet"/>
            </w:pPr>
            <w:r w:rsidRPr="004868F7">
              <w:t>investments</w:t>
            </w:r>
          </w:p>
          <w:p w:rsidR="00000000" w:rsidRPr="004868F7" w:rsidP="004868F7">
            <w:pPr>
              <w:pStyle w:val="ListBullet"/>
            </w:pPr>
            <w:r w:rsidRPr="004868F7">
              <w:t>jewellery</w:t>
            </w:r>
          </w:p>
          <w:p w:rsidR="00000000" w:rsidRPr="004868F7" w:rsidP="004868F7">
            <w:pPr>
              <w:pStyle w:val="ListBullet"/>
            </w:pPr>
            <w:r w:rsidRPr="004868F7">
              <w:t>livestock</w:t>
            </w:r>
          </w:p>
          <w:p w:rsidR="00000000" w:rsidRPr="004868F7" w:rsidP="004868F7">
            <w:pPr>
              <w:pStyle w:val="ListBullet"/>
            </w:pPr>
            <w:r w:rsidRPr="004868F7">
              <w:t>real estate</w:t>
            </w:r>
          </w:p>
          <w:p w:rsidR="00000000" w:rsidP="004868F7">
            <w:pPr>
              <w:pStyle w:val="ListBullet"/>
              <w:rPr>
                <w:lang w:val="en-NZ"/>
              </w:rPr>
            </w:pPr>
            <w:r w:rsidRPr="004868F7">
              <w:t>those held interstate or in other countries.</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Liquid assets</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at call funds</w:t>
            </w:r>
          </w:p>
          <w:p w:rsidR="00000000" w:rsidP="004868F7">
            <w:pPr>
              <w:pStyle w:val="ListBullet"/>
              <w:rPr>
                <w:lang w:val="en-NZ"/>
              </w:rPr>
            </w:pPr>
            <w:r w:rsidRPr="004868F7">
              <w:t>Cash Management Trust (CMT).</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Appropriate persons</w:t>
            </w:r>
            <w:r w:rsidRPr="004868F7">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accountants</w:t>
            </w:r>
          </w:p>
          <w:p w:rsidR="00000000" w:rsidRPr="004868F7" w:rsidP="004868F7">
            <w:pPr>
              <w:pStyle w:val="ListBullet"/>
            </w:pPr>
            <w:r w:rsidRPr="004868F7">
              <w:t>beneficiaries</w:t>
            </w:r>
          </w:p>
          <w:p w:rsidR="00000000" w:rsidRPr="004868F7" w:rsidP="004868F7">
            <w:pPr>
              <w:pStyle w:val="ListBullet"/>
            </w:pPr>
            <w:r w:rsidRPr="004868F7">
              <w:t>business partners</w:t>
            </w:r>
          </w:p>
          <w:p w:rsidR="00000000" w:rsidRPr="004868F7" w:rsidP="004868F7">
            <w:pPr>
              <w:pStyle w:val="ListBullet"/>
            </w:pPr>
            <w:r w:rsidRPr="004868F7">
              <w:t>co-executors</w:t>
            </w:r>
          </w:p>
          <w:p w:rsidR="00000000" w:rsidRPr="004868F7" w:rsidP="004868F7">
            <w:pPr>
              <w:pStyle w:val="ListBullet"/>
            </w:pPr>
            <w:r w:rsidRPr="004868F7">
              <w:t>livestock agents</w:t>
            </w:r>
          </w:p>
          <w:p w:rsidR="00000000" w:rsidRPr="004868F7" w:rsidP="004868F7">
            <w:pPr>
              <w:pStyle w:val="ListBullet"/>
            </w:pPr>
            <w:r w:rsidRPr="004868F7">
              <w:t>media liaison officers</w:t>
            </w:r>
          </w:p>
          <w:p w:rsidR="00000000" w:rsidRPr="004868F7" w:rsidP="004868F7">
            <w:pPr>
              <w:pStyle w:val="ListBullet"/>
            </w:pPr>
            <w:r w:rsidRPr="004868F7">
              <w:t>real estate agents</w:t>
            </w:r>
          </w:p>
          <w:p w:rsidR="00000000" w:rsidRPr="004868F7" w:rsidP="004868F7">
            <w:pPr>
              <w:pStyle w:val="ListBullet"/>
            </w:pPr>
            <w:r w:rsidRPr="004868F7">
              <w:t>solicitors</w:t>
            </w:r>
          </w:p>
          <w:p w:rsidR="00000000" w:rsidRPr="004868F7" w:rsidP="004868F7">
            <w:pPr>
              <w:pStyle w:val="ListBullet"/>
            </w:pPr>
            <w:r w:rsidRPr="004868F7">
              <w:t>stockbrokers</w:t>
            </w:r>
          </w:p>
          <w:p w:rsidR="00000000" w:rsidP="004868F7">
            <w:pPr>
              <w:pStyle w:val="ListBullet"/>
              <w:rPr>
                <w:lang w:val="en-NZ"/>
              </w:rPr>
            </w:pPr>
            <w:r w:rsidRPr="004868F7">
              <w:t>taxation or financial planning specialists who may undertake tasks in some corporations.</w:t>
            </w:r>
          </w:p>
        </w:tc>
      </w:tr>
      <w:tr w:rsidTr="005A6317">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BoldandItalics"/>
              </w:rPr>
              <w:t>Finalising</w:t>
            </w:r>
            <w:r w:rsidRPr="004868F7">
              <w:t xml:space="preserve"> a distributable estate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ListBullet"/>
            </w:pPr>
            <w:r w:rsidRPr="004868F7">
              <w:t>arranging final distribution of che</w:t>
            </w:r>
            <w:r w:rsidRPr="004868F7">
              <w:t>ques and statements and sending to beneficiaries</w:t>
            </w:r>
          </w:p>
          <w:p w:rsidR="00000000" w:rsidRPr="004868F7" w:rsidP="004868F7">
            <w:pPr>
              <w:pStyle w:val="ListBullet"/>
            </w:pPr>
            <w:r w:rsidRPr="004868F7">
              <w:t>calculating and charging fees</w:t>
            </w:r>
          </w:p>
          <w:p w:rsidR="00000000" w:rsidRPr="004868F7" w:rsidP="004868F7">
            <w:pPr>
              <w:pStyle w:val="ListBullet"/>
            </w:pPr>
            <w:r w:rsidRPr="004868F7">
              <w:t>paying corpus commission</w:t>
            </w:r>
          </w:p>
          <w:p w:rsidR="00000000" w:rsidRPr="004868F7" w:rsidP="004868F7">
            <w:pPr>
              <w:pStyle w:val="ListBullet"/>
            </w:pPr>
            <w:r w:rsidRPr="004868F7">
              <w:t>preparing final taxation return</w:t>
            </w:r>
          </w:p>
          <w:p w:rsidR="00000000" w:rsidRPr="004868F7" w:rsidP="004868F7">
            <w:pPr>
              <w:pStyle w:val="ListBullet"/>
            </w:pPr>
            <w:r w:rsidRPr="004868F7">
              <w:t>safely storing documents.</w:t>
            </w:r>
          </w:p>
        </w:tc>
      </w:tr>
    </w:tbl>
    <w:p w:rsidR="005A6317" w:rsidP="004868F7">
      <w:pPr>
        <w:pStyle w:val="BodyText"/>
      </w:pPr>
    </w:p>
    <w:p w:rsidR="005A6317" w:rsidP="004868F7">
      <w:pPr>
        <w:pStyle w:val="BodyText"/>
      </w:pPr>
    </w:p>
    <w:p w:rsidR="00000000" w:rsidRPr="004868F7" w:rsidP="004868F7">
      <w:pPr>
        <w:pStyle w:val="Heading1"/>
      </w:pPr>
      <w:bookmarkStart w:id="12" w:name="O_80330"/>
      <w:bookmarkEnd w:id="12"/>
      <w:r w:rsidRPr="004868F7">
        <w:t>Unit Sector(s)</w:t>
      </w:r>
    </w:p>
    <w:tbl>
      <w:tblPr>
        <w:tblW w:w="0" w:type="auto"/>
        <w:tblLayout w:type="fixed"/>
        <w:tblCellMar>
          <w:left w:w="62" w:type="dxa"/>
          <w:right w:w="62" w:type="dxa"/>
        </w:tblCellMar>
        <w:tblLook w:val="0000"/>
      </w:tblPr>
      <w:tblGrid>
        <w:gridCol w:w="2598"/>
        <w:gridCol w:w="5924"/>
      </w:tblGrid>
      <w:tr w:rsidTr="005A6317">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r w:rsidRPr="004868F7">
              <w:t>Personal trustee</w:t>
            </w: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13" w:name="O_156621"/>
      <w:bookmarkEnd w:id="13"/>
      <w:r w:rsidRPr="004868F7">
        <w:t>Competency field</w:t>
      </w:r>
    </w:p>
    <w:tbl>
      <w:tblPr>
        <w:tblW w:w="0" w:type="auto"/>
        <w:tblLayout w:type="fixed"/>
        <w:tblCellMar>
          <w:left w:w="62" w:type="dxa"/>
          <w:right w:w="62" w:type="dxa"/>
        </w:tblCellMar>
        <w:tblLook w:val="0000"/>
      </w:tblPr>
      <w:tblGrid>
        <w:gridCol w:w="2754"/>
        <w:gridCol w:w="5768"/>
      </w:tblGrid>
      <w:tr w:rsidTr="005A631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p>
        </w:tc>
      </w:tr>
    </w:tbl>
    <w:p w:rsidR="00000000" w:rsidRPr="004868F7" w:rsidP="004868F7">
      <w:pPr>
        <w:pStyle w:val="BodyText"/>
      </w:pPr>
    </w:p>
    <w:p w:rsidR="00000000" w:rsidRPr="004868F7" w:rsidP="004868F7">
      <w:pPr>
        <w:pStyle w:val="AllowPageBreak"/>
      </w:pPr>
    </w:p>
    <w:p w:rsidR="00000000" w:rsidRPr="004868F7" w:rsidP="004868F7">
      <w:pPr>
        <w:pStyle w:val="Heading1"/>
      </w:pPr>
      <w:bookmarkStart w:id="14" w:name="O_156620"/>
      <w:bookmarkEnd w:id="14"/>
      <w:r w:rsidRPr="004868F7">
        <w:t>Co-requisite units</w:t>
      </w:r>
    </w:p>
    <w:tbl>
      <w:tblPr>
        <w:tblW w:w="0" w:type="auto"/>
        <w:tblLayout w:type="fixed"/>
        <w:tblCellMar>
          <w:left w:w="62" w:type="dxa"/>
          <w:right w:w="62" w:type="dxa"/>
        </w:tblCellMar>
        <w:tblLook w:val="0000"/>
      </w:tblPr>
      <w:tblGrid>
        <w:gridCol w:w="2629"/>
        <w:gridCol w:w="1324"/>
        <w:gridCol w:w="4569"/>
      </w:tblGrid>
      <w:tr w:rsidTr="005A631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r w:rsidRPr="004868F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8F7">
            <w:pPr>
              <w:pStyle w:val="BodyText"/>
              <w:rPr>
                <w:lang w:val="en-NZ"/>
              </w:rPr>
            </w:pPr>
          </w:p>
        </w:tc>
      </w:tr>
      <w:tr w:rsidTr="005A631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8F7" w:rsidP="004868F7">
            <w:pPr>
              <w:pStyle w:val="BodyText"/>
            </w:pPr>
          </w:p>
        </w:tc>
      </w:tr>
    </w:tbl>
    <w:p w:rsidR="00000000" w:rsidRPr="004868F7" w:rsidP="004868F7">
      <w:pPr>
        <w:pStyle w:val="BodyText"/>
      </w:pPr>
    </w:p>
    <w:p w:rsidR="00000000" w:rsidRPr="004868F7" w:rsidP="004868F7"/>
    <w:sectPr w:rsidSect="00486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317" w:rsidP="005A6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17" w:rsidP="00486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6317" w:rsidP="004868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6317" w:rsidP="004868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7" w:rsidRPr="005A6317" w:rsidP="005A63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17" w:rsidP="004868F7">
    <w:pPr>
      <w:pStyle w:val="Header"/>
      <w:framePr w:wrap="around"/>
    </w:pPr>
    <w:r>
      <w:fldChar w:fldCharType="begin"/>
    </w:r>
    <w:r>
      <w:instrText xml:space="preserve"> TITLE   \* MERGEFORMAT </w:instrText>
    </w:r>
    <w:r>
      <w:fldChar w:fldCharType="separate"/>
    </w:r>
    <w:r>
      <w:t>FNSPRT403A Administer a complex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317" w:rsidP="00486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CB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67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4B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8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8F7"/>
    <w:pPr>
      <w:spacing w:before="360" w:after="60"/>
      <w:outlineLvl w:val="0"/>
    </w:pPr>
    <w:rPr>
      <w:sz w:val="32"/>
    </w:rPr>
  </w:style>
  <w:style w:type="paragraph" w:styleId="Heading2">
    <w:name w:val="heading 2"/>
    <w:basedOn w:val="HeadingBase"/>
    <w:next w:val="BodyText"/>
    <w:link w:val="Heading2Char"/>
    <w:qFormat/>
    <w:rsid w:val="004868F7"/>
    <w:pPr>
      <w:keepLines/>
      <w:spacing w:before="240" w:after="120"/>
      <w:outlineLvl w:val="1"/>
    </w:pPr>
    <w:rPr>
      <w:sz w:val="28"/>
      <w:szCs w:val="40"/>
    </w:rPr>
  </w:style>
  <w:style w:type="paragraph" w:styleId="Heading3">
    <w:name w:val="heading 3"/>
    <w:basedOn w:val="HeadingBase"/>
    <w:next w:val="BodyText"/>
    <w:link w:val="Heading3Char"/>
    <w:qFormat/>
    <w:rsid w:val="004868F7"/>
    <w:pPr>
      <w:spacing w:before="180" w:after="120"/>
      <w:outlineLvl w:val="2"/>
    </w:pPr>
    <w:rPr>
      <w:spacing w:val="-10"/>
      <w:kern w:val="32"/>
    </w:rPr>
  </w:style>
  <w:style w:type="paragraph" w:styleId="Heading4">
    <w:name w:val="heading 4"/>
    <w:basedOn w:val="HeadingBase"/>
    <w:next w:val="BodyText"/>
    <w:link w:val="Heading4Char"/>
    <w:qFormat/>
    <w:rsid w:val="004868F7"/>
    <w:pPr>
      <w:spacing w:before="160" w:after="120"/>
      <w:outlineLvl w:val="3"/>
    </w:pPr>
    <w:rPr>
      <w:sz w:val="22"/>
    </w:rPr>
  </w:style>
  <w:style w:type="paragraph" w:styleId="Heading5">
    <w:name w:val="heading 5"/>
    <w:basedOn w:val="HeadingBase"/>
    <w:next w:val="Normal"/>
    <w:link w:val="Heading5Char"/>
    <w:qFormat/>
    <w:rsid w:val="004868F7"/>
    <w:pPr>
      <w:spacing w:before="80"/>
      <w:outlineLvl w:val="4"/>
    </w:pPr>
    <w:rPr>
      <w:color w:val="918585"/>
      <w:sz w:val="20"/>
    </w:rPr>
  </w:style>
  <w:style w:type="paragraph" w:styleId="Heading6">
    <w:name w:val="heading 6"/>
    <w:basedOn w:val="HeadingBase"/>
    <w:next w:val="Normal"/>
    <w:link w:val="Heading6Char"/>
    <w:qFormat/>
    <w:rsid w:val="004868F7"/>
    <w:pPr>
      <w:spacing w:before="60"/>
      <w:outlineLvl w:val="5"/>
    </w:pPr>
    <w:rPr>
      <w:color w:val="918585"/>
      <w:sz w:val="20"/>
    </w:rPr>
  </w:style>
  <w:style w:type="paragraph" w:styleId="Heading7">
    <w:name w:val="heading 7"/>
    <w:basedOn w:val="Normal"/>
    <w:next w:val="Normal"/>
    <w:link w:val="Heading7Char"/>
    <w:qFormat/>
    <w:rsid w:val="004868F7"/>
    <w:pPr>
      <w:ind w:left="720"/>
      <w:outlineLvl w:val="6"/>
    </w:pPr>
    <w:rPr>
      <w:i/>
    </w:rPr>
  </w:style>
  <w:style w:type="paragraph" w:styleId="Heading8">
    <w:name w:val="heading 8"/>
    <w:basedOn w:val="Normal"/>
    <w:next w:val="Normal"/>
    <w:link w:val="Heading8Char"/>
    <w:qFormat/>
    <w:rsid w:val="004868F7"/>
    <w:pPr>
      <w:ind w:left="720"/>
      <w:outlineLvl w:val="7"/>
    </w:pPr>
    <w:rPr>
      <w:i/>
    </w:rPr>
  </w:style>
  <w:style w:type="paragraph" w:styleId="Heading9">
    <w:name w:val="heading 9"/>
    <w:basedOn w:val="Normal"/>
    <w:next w:val="Normal"/>
    <w:link w:val="Heading9Char"/>
    <w:qFormat/>
    <w:rsid w:val="004868F7"/>
    <w:pPr>
      <w:ind w:left="720"/>
      <w:outlineLvl w:val="8"/>
    </w:pPr>
    <w:rPr>
      <w:i/>
    </w:rPr>
  </w:style>
  <w:style w:type="character" w:default="1" w:styleId="DefaultParagraphFont">
    <w:name w:val="Default Paragraph Font"/>
    <w:uiPriority w:val="1"/>
    <w:unhideWhenUsed/>
    <w:rsid w:val="00486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8F7"/>
  </w:style>
  <w:style w:type="character" w:customStyle="1" w:styleId="Heading1Char">
    <w:name w:val="Heading 1 Char"/>
    <w:link w:val="Heading1"/>
    <w:rsid w:val="004868F7"/>
    <w:rPr>
      <w:rFonts w:ascii="Times New Roman" w:eastAsia="Times New Roman" w:hAnsi="Times New Roman" w:cs="Times New Roman"/>
      <w:b/>
      <w:sz w:val="32"/>
      <w:szCs w:val="20"/>
      <w:lang w:eastAsia="en-US"/>
    </w:rPr>
  </w:style>
  <w:style w:type="paragraph" w:styleId="BodyText">
    <w:name w:val="Body Text"/>
    <w:basedOn w:val="Normal"/>
    <w:link w:val="BodyTextChar"/>
    <w:rsid w:val="004868F7"/>
    <w:pPr>
      <w:spacing w:before="120" w:after="120"/>
      <w:contextualSpacing/>
    </w:pPr>
    <w:rPr>
      <w:rFonts w:ascii="Times New Roman" w:hAnsi="Times New Roman"/>
      <w:sz w:val="24"/>
      <w:szCs w:val="22"/>
    </w:rPr>
  </w:style>
  <w:style w:type="character" w:customStyle="1" w:styleId="BodyTextChar">
    <w:name w:val="Body Text Char"/>
    <w:link w:val="BodyText"/>
    <w:rsid w:val="004868F7"/>
    <w:rPr>
      <w:rFonts w:ascii="Times New Roman" w:eastAsia="Times New Roman" w:hAnsi="Times New Roman" w:cs="Times New Roman"/>
      <w:sz w:val="24"/>
      <w:lang w:val="en-US" w:eastAsia="en-US"/>
    </w:rPr>
  </w:style>
  <w:style w:type="paragraph" w:styleId="Footer">
    <w:name w:val="footer"/>
    <w:basedOn w:val="Normal"/>
    <w:link w:val="FooterChar"/>
    <w:rsid w:val="00486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68F7"/>
    <w:rPr>
      <w:rFonts w:ascii="Times New Roman" w:eastAsia="Times New Roman" w:hAnsi="Times New Roman" w:cs="Times New Roman"/>
      <w:sz w:val="16"/>
      <w:lang w:val="en-US" w:eastAsia="en-US"/>
    </w:rPr>
  </w:style>
  <w:style w:type="paragraph" w:styleId="List">
    <w:name w:val="List"/>
    <w:basedOn w:val="BodyText"/>
    <w:next w:val="BodyText"/>
    <w:rsid w:val="004868F7"/>
    <w:pPr>
      <w:tabs>
        <w:tab w:val="left" w:pos="340"/>
      </w:tabs>
      <w:spacing w:before="60" w:after="60"/>
      <w:ind w:left="340" w:hanging="340"/>
    </w:pPr>
  </w:style>
  <w:style w:type="paragraph" w:styleId="ListBullet">
    <w:name w:val="List Bullet"/>
    <w:basedOn w:val="List"/>
    <w:rsid w:val="004868F7"/>
    <w:pPr>
      <w:numPr>
        <w:numId w:val="13"/>
      </w:numPr>
      <w:tabs>
        <w:tab w:val="clear" w:pos="340"/>
      </w:tabs>
      <w:spacing w:before="40" w:after="40"/>
    </w:pPr>
  </w:style>
  <w:style w:type="character" w:customStyle="1" w:styleId="SpecialBold">
    <w:name w:val="Special Bold"/>
    <w:rsid w:val="004868F7"/>
    <w:rPr>
      <w:b/>
      <w:spacing w:val="0"/>
    </w:rPr>
  </w:style>
  <w:style w:type="paragraph" w:styleId="ListBullet2">
    <w:name w:val="List Bullet 2"/>
    <w:basedOn w:val="List2"/>
    <w:rsid w:val="004868F7"/>
    <w:pPr>
      <w:numPr>
        <w:numId w:val="14"/>
      </w:numPr>
      <w:tabs>
        <w:tab w:val="clear" w:pos="680"/>
      </w:tabs>
    </w:pPr>
  </w:style>
  <w:style w:type="paragraph" w:customStyle="1" w:styleId="SuperHeading">
    <w:name w:val="SuperHeading"/>
    <w:basedOn w:val="Normal"/>
    <w:rsid w:val="004868F7"/>
    <w:pPr>
      <w:spacing w:before="240" w:after="120"/>
      <w:outlineLvl w:val="0"/>
    </w:pPr>
    <w:rPr>
      <w:rFonts w:ascii="Times New Roman" w:hAnsi="Times New Roman"/>
      <w:b/>
      <w:sz w:val="28"/>
    </w:rPr>
  </w:style>
  <w:style w:type="paragraph" w:customStyle="1" w:styleId="AllowPageBreak">
    <w:name w:val="AllowPageBreak"/>
    <w:rsid w:val="004868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68F7"/>
    <w:pPr>
      <w:tabs>
        <w:tab w:val="left" w:pos="680"/>
      </w:tabs>
      <w:spacing w:before="60" w:after="60"/>
      <w:ind w:left="680" w:hanging="340"/>
    </w:pPr>
  </w:style>
  <w:style w:type="character" w:customStyle="1" w:styleId="BoldandItalics">
    <w:name w:val="Bold and Italics"/>
    <w:qFormat/>
    <w:rsid w:val="004868F7"/>
    <w:rPr>
      <w:b/>
      <w:i/>
      <w:u w:val="none"/>
    </w:rPr>
  </w:style>
  <w:style w:type="character" w:customStyle="1" w:styleId="Heading2Char">
    <w:name w:val="Heading 2 Char"/>
    <w:link w:val="Heading2"/>
    <w:rsid w:val="004868F7"/>
    <w:rPr>
      <w:rFonts w:ascii="Times New Roman" w:eastAsia="Times New Roman" w:hAnsi="Times New Roman" w:cs="Times New Roman"/>
      <w:b/>
      <w:sz w:val="28"/>
      <w:szCs w:val="40"/>
      <w:lang w:eastAsia="en-US"/>
    </w:rPr>
  </w:style>
  <w:style w:type="character" w:customStyle="1" w:styleId="Heading3Char">
    <w:name w:val="Heading 3 Char"/>
    <w:link w:val="Heading3"/>
    <w:rsid w:val="004868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68F7"/>
    <w:rPr>
      <w:rFonts w:ascii="Times New Roman" w:eastAsia="Times New Roman" w:hAnsi="Times New Roman" w:cs="Times New Roman"/>
      <w:b/>
      <w:szCs w:val="20"/>
      <w:lang w:eastAsia="en-US"/>
    </w:rPr>
  </w:style>
  <w:style w:type="character" w:customStyle="1" w:styleId="Heading5Char">
    <w:name w:val="Heading 5 Char"/>
    <w:link w:val="Heading5"/>
    <w:rsid w:val="004868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6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8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8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8F7"/>
    <w:rPr>
      <w:rFonts w:ascii="Courier New" w:eastAsia="Times New Roman" w:hAnsi="Courier New" w:cs="Times New Roman"/>
      <w:i/>
      <w:szCs w:val="20"/>
      <w:lang w:val="en-US" w:eastAsia="en-US"/>
    </w:rPr>
  </w:style>
  <w:style w:type="paragraph" w:customStyle="1" w:styleId="HeadingBase">
    <w:name w:val="Heading Base"/>
    <w:rsid w:val="00486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8F7"/>
    <w:pPr>
      <w:tabs>
        <w:tab w:val="right" w:leader="dot" w:pos="9072"/>
      </w:tabs>
      <w:ind w:left="567"/>
    </w:pPr>
    <w:rPr>
      <w:szCs w:val="22"/>
    </w:rPr>
  </w:style>
  <w:style w:type="paragraph" w:customStyle="1" w:styleId="TOCBase">
    <w:name w:val="TOC Base"/>
    <w:rsid w:val="00486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8F7"/>
    <w:pPr>
      <w:tabs>
        <w:tab w:val="right" w:leader="dot" w:pos="9072"/>
      </w:tabs>
      <w:spacing w:before="40" w:after="40"/>
      <w:ind w:left="284"/>
    </w:pPr>
    <w:rPr>
      <w:rFonts w:ascii="Times New Roman" w:hAnsi="Times New Roman"/>
    </w:rPr>
  </w:style>
  <w:style w:type="paragraph" w:styleId="TOC1">
    <w:name w:val="toc 1"/>
    <w:basedOn w:val="TOCBase"/>
    <w:next w:val="Normal"/>
    <w:rsid w:val="004868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8F7"/>
    <w:pPr>
      <w:spacing w:before="5040"/>
      <w:jc w:val="center"/>
    </w:pPr>
    <w:rPr>
      <w:sz w:val="48"/>
      <w:szCs w:val="72"/>
      <w:lang w:val="en-US"/>
    </w:rPr>
  </w:style>
  <w:style w:type="character" w:customStyle="1" w:styleId="TitleChar">
    <w:name w:val="Title Char"/>
    <w:link w:val="Title"/>
    <w:rsid w:val="00486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8F7"/>
    <w:pPr>
      <w:tabs>
        <w:tab w:val="left" w:pos="3600"/>
        <w:tab w:val="left" w:pos="3958"/>
      </w:tabs>
    </w:pPr>
  </w:style>
  <w:style w:type="paragraph" w:customStyle="1" w:styleId="Note">
    <w:name w:val="Note"/>
    <w:basedOn w:val="BodyText"/>
    <w:rsid w:val="00486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8F7"/>
    <w:pPr>
      <w:framePr w:wrap="auto" w:hAnchor="text" w:y="6049"/>
    </w:pPr>
    <w:rPr>
      <w:color w:val="000000"/>
      <w:sz w:val="40"/>
    </w:rPr>
  </w:style>
  <w:style w:type="paragraph" w:customStyle="1" w:styleId="TOCTitle">
    <w:name w:val="TOCTitle"/>
    <w:basedOn w:val="Heading1"/>
    <w:rsid w:val="004868F7"/>
    <w:pPr>
      <w:spacing w:after="240"/>
      <w:jc w:val="center"/>
      <w:outlineLvl w:val="9"/>
    </w:pPr>
    <w:rPr>
      <w:caps/>
    </w:rPr>
  </w:style>
  <w:style w:type="paragraph" w:customStyle="1" w:styleId="Version">
    <w:name w:val="Version"/>
    <w:rsid w:val="00486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8F7"/>
    <w:pPr>
      <w:keepNext w:val="0"/>
      <w:tabs>
        <w:tab w:val="right" w:pos="4176"/>
      </w:tabs>
      <w:ind w:left="198" w:hanging="198"/>
    </w:pPr>
    <w:rPr>
      <w:rFonts w:ascii="Garamond" w:hAnsi="Garamond"/>
    </w:rPr>
  </w:style>
  <w:style w:type="paragraph" w:styleId="IndexHeading">
    <w:name w:val="index heading"/>
    <w:basedOn w:val="Normal"/>
    <w:next w:val="Index1"/>
    <w:semiHidden/>
    <w:rsid w:val="004868F7"/>
    <w:pPr>
      <w:spacing w:before="120" w:after="120"/>
    </w:pPr>
    <w:rPr>
      <w:rFonts w:ascii="Arial" w:hAnsi="Arial"/>
      <w:b/>
      <w:color w:val="918585"/>
      <w:sz w:val="24"/>
    </w:rPr>
  </w:style>
  <w:style w:type="paragraph" w:styleId="Header">
    <w:name w:val="header"/>
    <w:basedOn w:val="Normal"/>
    <w:link w:val="HeaderChar"/>
    <w:rsid w:val="00486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68F7"/>
    <w:rPr>
      <w:rFonts w:ascii="Times New Roman" w:eastAsia="Times New Roman" w:hAnsi="Times New Roman" w:cs="Times New Roman"/>
      <w:sz w:val="16"/>
      <w:szCs w:val="20"/>
      <w:lang w:val="en-GB" w:eastAsia="en-US"/>
    </w:rPr>
  </w:style>
  <w:style w:type="paragraph" w:customStyle="1" w:styleId="Chapter">
    <w:name w:val="Chapter"/>
    <w:basedOn w:val="Normal"/>
    <w:rsid w:val="004868F7"/>
    <w:pPr>
      <w:spacing w:before="240"/>
    </w:pPr>
    <w:rPr>
      <w:rFonts w:ascii="Times New Roman" w:hAnsi="Times New Roman"/>
      <w:smallCaps/>
      <w:spacing w:val="80"/>
      <w:sz w:val="28"/>
    </w:rPr>
  </w:style>
  <w:style w:type="paragraph" w:customStyle="1" w:styleId="InChapter">
    <w:name w:val="InChapter"/>
    <w:basedOn w:val="Heading3"/>
    <w:rsid w:val="004868F7"/>
    <w:pPr>
      <w:spacing w:after="240"/>
      <w:outlineLvl w:val="9"/>
    </w:pPr>
    <w:rPr>
      <w:noProof/>
    </w:rPr>
  </w:style>
  <w:style w:type="paragraph" w:styleId="Index2">
    <w:name w:val="index 2"/>
    <w:basedOn w:val="Normal"/>
    <w:next w:val="Normal"/>
    <w:semiHidden/>
    <w:rsid w:val="004868F7"/>
    <w:pPr>
      <w:tabs>
        <w:tab w:val="right" w:pos="4176"/>
      </w:tabs>
      <w:ind w:left="568" w:hanging="284"/>
    </w:pPr>
    <w:rPr>
      <w:rFonts w:ascii="Garamond" w:hAnsi="Garamond"/>
    </w:rPr>
  </w:style>
  <w:style w:type="paragraph" w:customStyle="1" w:styleId="Byline">
    <w:name w:val="Byline"/>
    <w:rsid w:val="00486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8F7"/>
    <w:pPr>
      <w:tabs>
        <w:tab w:val="clear" w:pos="3600"/>
        <w:tab w:val="clear" w:pos="3958"/>
      </w:tabs>
      <w:jc w:val="right"/>
    </w:pPr>
  </w:style>
  <w:style w:type="character" w:styleId="Emphasis">
    <w:name w:val="Emphasis"/>
    <w:qFormat/>
    <w:rsid w:val="004868F7"/>
    <w:rPr>
      <w:i/>
    </w:rPr>
  </w:style>
  <w:style w:type="paragraph" w:styleId="Caption">
    <w:name w:val="caption"/>
    <w:basedOn w:val="BodyText"/>
    <w:next w:val="Normal"/>
    <w:qFormat/>
    <w:rsid w:val="004868F7"/>
    <w:pPr>
      <w:framePr w:w="2268" w:hSpace="181" w:vSpace="181" w:wrap="around" w:vAnchor="text" w:hAnchor="page" w:x="1135" w:y="285" w:anchorLock="1"/>
    </w:pPr>
    <w:rPr>
      <w:i/>
    </w:rPr>
  </w:style>
  <w:style w:type="paragraph" w:customStyle="1" w:styleId="MiniTOCTitle">
    <w:name w:val="MiniTOCTitle"/>
    <w:basedOn w:val="Heading4"/>
    <w:rsid w:val="004868F7"/>
    <w:pPr>
      <w:spacing w:before="240"/>
      <w:outlineLvl w:val="9"/>
    </w:pPr>
    <w:rPr>
      <w:noProof/>
      <w:sz w:val="24"/>
    </w:rPr>
  </w:style>
  <w:style w:type="paragraph" w:customStyle="1" w:styleId="MiniTOCItem">
    <w:name w:val="MiniTOCItem"/>
    <w:basedOn w:val="ListBullet"/>
    <w:rsid w:val="004868F7"/>
    <w:pPr>
      <w:numPr>
        <w:numId w:val="0"/>
      </w:numPr>
      <w:tabs>
        <w:tab w:val="right" w:leader="dot" w:pos="6521"/>
      </w:tabs>
      <w:spacing w:before="0" w:after="0"/>
    </w:pPr>
  </w:style>
  <w:style w:type="paragraph" w:customStyle="1" w:styleId="TOFTitle">
    <w:name w:val="TOFTitle"/>
    <w:basedOn w:val="TOCTitle"/>
    <w:rsid w:val="004868F7"/>
  </w:style>
  <w:style w:type="paragraph" w:styleId="TableofFigures">
    <w:name w:val="table of figures"/>
    <w:basedOn w:val="Normal"/>
    <w:next w:val="Normal"/>
    <w:semiHidden/>
    <w:rsid w:val="004868F7"/>
    <w:pPr>
      <w:tabs>
        <w:tab w:val="right" w:leader="dot" w:pos="9072"/>
      </w:tabs>
      <w:ind w:left="970" w:hanging="403"/>
    </w:pPr>
    <w:rPr>
      <w:rFonts w:ascii="Times New Roman" w:hAnsi="Times New Roman"/>
      <w:b/>
    </w:rPr>
  </w:style>
  <w:style w:type="paragraph" w:styleId="ListNumber">
    <w:name w:val="List Number"/>
    <w:basedOn w:val="List"/>
    <w:rsid w:val="004868F7"/>
    <w:pPr>
      <w:numPr>
        <w:numId w:val="11"/>
      </w:numPr>
    </w:pPr>
  </w:style>
  <w:style w:type="character" w:customStyle="1" w:styleId="WingdingSymbols">
    <w:name w:val="Wingding Symbols"/>
    <w:rsid w:val="004868F7"/>
    <w:rPr>
      <w:rFonts w:ascii="Wingdings" w:hAnsi="Wingdings"/>
    </w:rPr>
  </w:style>
  <w:style w:type="paragraph" w:customStyle="1" w:styleId="TableHeading">
    <w:name w:val="Table Heading"/>
    <w:basedOn w:val="HeadingBase"/>
    <w:rsid w:val="004868F7"/>
    <w:pPr>
      <w:keepLines/>
      <w:pBdr>
        <w:bottom w:val="single" w:sz="6" w:space="1" w:color="918585"/>
      </w:pBdr>
      <w:spacing w:before="240"/>
    </w:pPr>
  </w:style>
  <w:style w:type="character" w:customStyle="1" w:styleId="HotSpot">
    <w:name w:val="HotSpot"/>
    <w:rsid w:val="004868F7"/>
    <w:rPr>
      <w:color w:val="0033CC"/>
      <w:u w:val="none"/>
    </w:rPr>
  </w:style>
  <w:style w:type="paragraph" w:customStyle="1" w:styleId="BodyTextRight">
    <w:name w:val="Body Text Right"/>
    <w:basedOn w:val="BodyText"/>
    <w:rsid w:val="004868F7"/>
    <w:pPr>
      <w:spacing w:before="0" w:after="0"/>
      <w:jc w:val="right"/>
    </w:pPr>
  </w:style>
  <w:style w:type="paragraph" w:styleId="Index3">
    <w:name w:val="index 3"/>
    <w:basedOn w:val="ListNumber2"/>
    <w:next w:val="Normal"/>
    <w:semiHidden/>
    <w:rsid w:val="004868F7"/>
    <w:pPr>
      <w:numPr>
        <w:numId w:val="0"/>
      </w:numPr>
      <w:tabs>
        <w:tab w:val="right" w:leader="dot" w:pos="4176"/>
      </w:tabs>
    </w:pPr>
  </w:style>
  <w:style w:type="paragraph" w:styleId="ListNumber2">
    <w:name w:val="List Number 2"/>
    <w:basedOn w:val="List2"/>
    <w:rsid w:val="004868F7"/>
    <w:pPr>
      <w:numPr>
        <w:numId w:val="10"/>
      </w:numPr>
      <w:tabs>
        <w:tab w:val="clear" w:pos="1060"/>
      </w:tabs>
    </w:pPr>
  </w:style>
  <w:style w:type="paragraph" w:customStyle="1" w:styleId="MarginNote">
    <w:name w:val="Margin Note"/>
    <w:basedOn w:val="BodyText"/>
    <w:rsid w:val="00486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68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8F7"/>
    <w:rPr>
      <w:sz w:val="32"/>
    </w:rPr>
  </w:style>
  <w:style w:type="paragraph" w:customStyle="1" w:styleId="HeadingProcedure">
    <w:name w:val="Heading Procedure"/>
    <w:basedOn w:val="HeadingBase"/>
    <w:next w:val="Normal"/>
    <w:rsid w:val="004868F7"/>
    <w:pPr>
      <w:tabs>
        <w:tab w:val="left" w:pos="0"/>
      </w:tabs>
      <w:spacing w:before="120" w:after="60"/>
    </w:pPr>
    <w:rPr>
      <w:i/>
      <w:color w:val="918585"/>
      <w:sz w:val="22"/>
    </w:rPr>
  </w:style>
  <w:style w:type="paragraph" w:customStyle="1" w:styleId="TableBodyText">
    <w:name w:val="Table Body Text"/>
    <w:basedOn w:val="BodyText"/>
    <w:rsid w:val="004868F7"/>
    <w:pPr>
      <w:spacing w:before="60" w:after="60"/>
    </w:pPr>
  </w:style>
  <w:style w:type="paragraph" w:styleId="ListContinue">
    <w:name w:val="List Continue"/>
    <w:basedOn w:val="List"/>
    <w:rsid w:val="004868F7"/>
    <w:pPr>
      <w:ind w:firstLine="0"/>
    </w:pPr>
  </w:style>
  <w:style w:type="paragraph" w:customStyle="1" w:styleId="ListNote">
    <w:name w:val="List Note"/>
    <w:basedOn w:val="List"/>
    <w:rsid w:val="004868F7"/>
    <w:pPr>
      <w:pBdr>
        <w:top w:val="single" w:sz="6" w:space="2" w:color="918585"/>
        <w:bottom w:val="single" w:sz="6" w:space="2" w:color="918585"/>
      </w:pBdr>
      <w:tabs>
        <w:tab w:val="left" w:pos="1021"/>
      </w:tabs>
      <w:ind w:firstLine="0"/>
    </w:pPr>
  </w:style>
  <w:style w:type="paragraph" w:customStyle="1" w:styleId="Warning">
    <w:name w:val="Warning"/>
    <w:basedOn w:val="BodyText"/>
    <w:rsid w:val="004868F7"/>
    <w:pPr>
      <w:shd w:val="clear" w:color="auto" w:fill="D9D9D9"/>
      <w:tabs>
        <w:tab w:val="left" w:pos="992"/>
      </w:tabs>
      <w:ind w:left="119" w:right="119"/>
    </w:pPr>
    <w:rPr>
      <w:sz w:val="20"/>
    </w:rPr>
  </w:style>
  <w:style w:type="paragraph" w:customStyle="1" w:styleId="MarginIcons">
    <w:name w:val="Margin Icons"/>
    <w:basedOn w:val="BodyText"/>
    <w:rsid w:val="004868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68F7"/>
    <w:rPr>
      <w:rFonts w:ascii="Courier New" w:hAnsi="Courier New"/>
    </w:rPr>
  </w:style>
  <w:style w:type="paragraph" w:customStyle="1" w:styleId="NoteBullet">
    <w:name w:val="Note Bullet"/>
    <w:basedOn w:val="Note"/>
    <w:rsid w:val="004868F7"/>
    <w:pPr>
      <w:tabs>
        <w:tab w:val="clear" w:pos="680"/>
      </w:tabs>
      <w:spacing w:before="60" w:after="60"/>
    </w:pPr>
  </w:style>
  <w:style w:type="paragraph" w:customStyle="1" w:styleId="SubHeading2">
    <w:name w:val="SubHeading2"/>
    <w:basedOn w:val="HeadingBase"/>
    <w:rsid w:val="004868F7"/>
    <w:pPr>
      <w:spacing w:before="240" w:after="60"/>
    </w:pPr>
    <w:rPr>
      <w:sz w:val="20"/>
    </w:rPr>
  </w:style>
  <w:style w:type="paragraph" w:customStyle="1" w:styleId="SubHeading1">
    <w:name w:val="SubHeading1"/>
    <w:basedOn w:val="HeadingBase"/>
    <w:rsid w:val="004868F7"/>
    <w:pPr>
      <w:spacing w:before="240" w:after="60"/>
    </w:pPr>
    <w:rPr>
      <w:color w:val="918585"/>
      <w:sz w:val="22"/>
    </w:rPr>
  </w:style>
  <w:style w:type="paragraph" w:customStyle="1" w:styleId="SideHeading">
    <w:name w:val="Side Heading"/>
    <w:basedOn w:val="HeadingBase"/>
    <w:rsid w:val="00486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8F7"/>
    <w:pPr>
      <w:numPr>
        <w:numId w:val="12"/>
      </w:numPr>
    </w:pPr>
  </w:style>
  <w:style w:type="paragraph" w:styleId="PlainText">
    <w:name w:val="Plain Text"/>
    <w:basedOn w:val="Normal"/>
    <w:link w:val="PlainTextChar"/>
    <w:rsid w:val="004868F7"/>
    <w:rPr>
      <w:sz w:val="20"/>
    </w:rPr>
  </w:style>
  <w:style w:type="character" w:customStyle="1" w:styleId="PlainTextChar">
    <w:name w:val="Plain Text Char"/>
    <w:basedOn w:val="DefaultParagraphFont"/>
    <w:link w:val="PlainText"/>
    <w:rsid w:val="004868F7"/>
    <w:rPr>
      <w:rFonts w:ascii="Courier New" w:eastAsia="Times New Roman" w:hAnsi="Courier New" w:cs="Times New Roman"/>
      <w:sz w:val="20"/>
      <w:szCs w:val="20"/>
      <w:lang w:val="en-US" w:eastAsia="en-US"/>
    </w:rPr>
  </w:style>
  <w:style w:type="character" w:customStyle="1" w:styleId="MenuOption">
    <w:name w:val="Menu Option"/>
    <w:rsid w:val="004868F7"/>
    <w:rPr>
      <w:b/>
      <w:smallCaps/>
    </w:rPr>
  </w:style>
  <w:style w:type="paragraph" w:customStyle="1" w:styleId="TableListNumber">
    <w:name w:val="Table List Number"/>
    <w:basedOn w:val="ListNumber"/>
    <w:rsid w:val="004868F7"/>
    <w:pPr>
      <w:numPr>
        <w:numId w:val="0"/>
      </w:numPr>
    </w:pPr>
  </w:style>
  <w:style w:type="paragraph" w:styleId="TOC4">
    <w:name w:val="toc 4"/>
    <w:basedOn w:val="TOCBase"/>
    <w:next w:val="Normal"/>
    <w:semiHidden/>
    <w:rsid w:val="004868F7"/>
    <w:pPr>
      <w:tabs>
        <w:tab w:val="right" w:leader="dot" w:pos="9071"/>
      </w:tabs>
      <w:ind w:left="1701"/>
    </w:pPr>
  </w:style>
  <w:style w:type="paragraph" w:customStyle="1" w:styleId="ListAlpha">
    <w:name w:val="List Alpha"/>
    <w:basedOn w:val="List"/>
    <w:rsid w:val="004868F7"/>
    <w:pPr>
      <w:numPr>
        <w:numId w:val="9"/>
      </w:numPr>
    </w:pPr>
  </w:style>
  <w:style w:type="paragraph" w:customStyle="1" w:styleId="ListAlpha2">
    <w:name w:val="List Alpha 2"/>
    <w:basedOn w:val="List2"/>
    <w:rsid w:val="004868F7"/>
    <w:pPr>
      <w:numPr>
        <w:numId w:val="8"/>
      </w:numPr>
    </w:pPr>
  </w:style>
  <w:style w:type="paragraph" w:styleId="List3">
    <w:name w:val="List 3"/>
    <w:basedOn w:val="BodyText"/>
    <w:rsid w:val="004868F7"/>
    <w:pPr>
      <w:tabs>
        <w:tab w:val="left" w:pos="1021"/>
      </w:tabs>
      <w:spacing w:before="60" w:after="60"/>
      <w:ind w:left="1020" w:hanging="340"/>
    </w:pPr>
  </w:style>
  <w:style w:type="paragraph" w:styleId="List4">
    <w:name w:val="List 4"/>
    <w:basedOn w:val="BodyText"/>
    <w:rsid w:val="004868F7"/>
    <w:pPr>
      <w:tabs>
        <w:tab w:val="left" w:pos="1361"/>
      </w:tabs>
      <w:spacing w:before="60" w:after="60"/>
      <w:ind w:left="1361" w:hanging="340"/>
    </w:pPr>
  </w:style>
  <w:style w:type="paragraph" w:styleId="List5">
    <w:name w:val="List 5"/>
    <w:basedOn w:val="BodyText"/>
    <w:rsid w:val="004868F7"/>
    <w:pPr>
      <w:tabs>
        <w:tab w:val="left" w:pos="1701"/>
      </w:tabs>
      <w:spacing w:before="60" w:after="60"/>
      <w:ind w:left="1701" w:hanging="340"/>
    </w:pPr>
  </w:style>
  <w:style w:type="paragraph" w:styleId="ListBullet3">
    <w:name w:val="List Bullet 3"/>
    <w:basedOn w:val="List3"/>
    <w:rsid w:val="004868F7"/>
    <w:pPr>
      <w:numPr>
        <w:numId w:val="15"/>
      </w:numPr>
      <w:tabs>
        <w:tab w:val="clear" w:pos="1021"/>
      </w:tabs>
      <w:ind w:left="1037" w:hanging="357"/>
    </w:pPr>
  </w:style>
  <w:style w:type="paragraph" w:styleId="ListBullet4">
    <w:name w:val="List Bullet 4"/>
    <w:basedOn w:val="List4"/>
    <w:rsid w:val="004868F7"/>
    <w:pPr>
      <w:numPr>
        <w:numId w:val="3"/>
      </w:numPr>
    </w:pPr>
  </w:style>
  <w:style w:type="paragraph" w:styleId="ListBullet5">
    <w:name w:val="List Bullet 5"/>
    <w:basedOn w:val="List5"/>
    <w:rsid w:val="004868F7"/>
    <w:pPr>
      <w:numPr>
        <w:numId w:val="4"/>
      </w:numPr>
    </w:pPr>
  </w:style>
  <w:style w:type="paragraph" w:styleId="ListContinue2">
    <w:name w:val="List Continue 2"/>
    <w:basedOn w:val="List2"/>
    <w:rsid w:val="004868F7"/>
    <w:pPr>
      <w:ind w:firstLine="0"/>
    </w:pPr>
  </w:style>
  <w:style w:type="paragraph" w:styleId="ListContinue3">
    <w:name w:val="List Continue 3"/>
    <w:basedOn w:val="List3"/>
    <w:rsid w:val="004868F7"/>
    <w:pPr>
      <w:ind w:left="1021" w:firstLine="0"/>
    </w:pPr>
  </w:style>
  <w:style w:type="paragraph" w:styleId="ListContinue4">
    <w:name w:val="List Continue 4"/>
    <w:basedOn w:val="List4"/>
    <w:rsid w:val="004868F7"/>
    <w:pPr>
      <w:ind w:firstLine="0"/>
    </w:pPr>
  </w:style>
  <w:style w:type="paragraph" w:styleId="ListContinue5">
    <w:name w:val="List Continue 5"/>
    <w:basedOn w:val="List5"/>
    <w:rsid w:val="004868F7"/>
    <w:pPr>
      <w:ind w:firstLine="0"/>
    </w:pPr>
  </w:style>
  <w:style w:type="paragraph" w:styleId="ListNumber3">
    <w:name w:val="List Number 3"/>
    <w:basedOn w:val="List3"/>
    <w:rsid w:val="004868F7"/>
    <w:pPr>
      <w:numPr>
        <w:numId w:val="5"/>
      </w:numPr>
    </w:pPr>
  </w:style>
  <w:style w:type="paragraph" w:styleId="ListNumber4">
    <w:name w:val="List Number 4"/>
    <w:basedOn w:val="List4"/>
    <w:rsid w:val="004868F7"/>
    <w:pPr>
      <w:numPr>
        <w:numId w:val="6"/>
      </w:numPr>
    </w:pPr>
  </w:style>
  <w:style w:type="paragraph" w:styleId="ListNumber5">
    <w:name w:val="List Number 5"/>
    <w:basedOn w:val="List5"/>
    <w:rsid w:val="004868F7"/>
    <w:pPr>
      <w:numPr>
        <w:numId w:val="7"/>
      </w:numPr>
    </w:pPr>
  </w:style>
  <w:style w:type="paragraph" w:styleId="BlockText">
    <w:name w:val="Block Text"/>
    <w:basedOn w:val="Normal"/>
    <w:rsid w:val="004868F7"/>
    <w:pPr>
      <w:spacing w:after="120"/>
      <w:ind w:left="1440" w:right="1440"/>
    </w:pPr>
  </w:style>
  <w:style w:type="character" w:customStyle="1" w:styleId="Subscript">
    <w:name w:val="Subscript"/>
    <w:rsid w:val="004868F7"/>
    <w:rPr>
      <w:sz w:val="16"/>
      <w:vertAlign w:val="subscript"/>
    </w:rPr>
  </w:style>
  <w:style w:type="character" w:customStyle="1" w:styleId="Superscript">
    <w:name w:val="Superscript"/>
    <w:rsid w:val="004868F7"/>
    <w:rPr>
      <w:sz w:val="16"/>
      <w:vertAlign w:val="superscript"/>
    </w:rPr>
  </w:style>
  <w:style w:type="character" w:customStyle="1" w:styleId="Symbols">
    <w:name w:val="Symbols"/>
    <w:rsid w:val="004868F7"/>
    <w:rPr>
      <w:rFonts w:ascii="Symbol" w:hAnsi="Symbol"/>
    </w:rPr>
  </w:style>
  <w:style w:type="character" w:customStyle="1" w:styleId="MenuOptions">
    <w:name w:val="Menu Options"/>
    <w:rsid w:val="004868F7"/>
    <w:rPr>
      <w:rFonts w:ascii="Arial Narrow" w:hAnsi="Arial Narrow"/>
      <w:smallCaps/>
    </w:rPr>
  </w:style>
  <w:style w:type="character" w:customStyle="1" w:styleId="Buttons">
    <w:name w:val="Buttons"/>
    <w:rsid w:val="004868F7"/>
    <w:rPr>
      <w:b/>
    </w:rPr>
  </w:style>
  <w:style w:type="character" w:customStyle="1" w:styleId="Underlined">
    <w:name w:val="Underlined"/>
    <w:rsid w:val="004868F7"/>
    <w:rPr>
      <w:u w:val="single"/>
    </w:rPr>
  </w:style>
  <w:style w:type="paragraph" w:customStyle="1" w:styleId="TableBodyTextRight">
    <w:name w:val="Table Body Text Right"/>
    <w:basedOn w:val="TableBodyText"/>
    <w:rsid w:val="004868F7"/>
    <w:pPr>
      <w:widowControl w:val="0"/>
      <w:autoSpaceDE w:val="0"/>
      <w:autoSpaceDN w:val="0"/>
      <w:adjustRightInd w:val="0"/>
      <w:jc w:val="right"/>
    </w:pPr>
    <w:rPr>
      <w:rFonts w:cs="Arial"/>
      <w:szCs w:val="18"/>
    </w:rPr>
  </w:style>
  <w:style w:type="paragraph" w:customStyle="1" w:styleId="CopyrightText">
    <w:name w:val="Copyright Text"/>
    <w:basedOn w:val="BodyText"/>
    <w:rsid w:val="004868F7"/>
    <w:rPr>
      <w:sz w:val="18"/>
    </w:rPr>
  </w:style>
  <w:style w:type="paragraph" w:customStyle="1" w:styleId="BodySmallRight">
    <w:name w:val="Body Small Right"/>
    <w:basedOn w:val="BodyTextRight"/>
    <w:rsid w:val="004868F7"/>
    <w:rPr>
      <w:sz w:val="18"/>
      <w:szCs w:val="18"/>
    </w:rPr>
  </w:style>
  <w:style w:type="paragraph" w:customStyle="1" w:styleId="MarginEdition">
    <w:name w:val="Margin Edition"/>
    <w:basedOn w:val="MarginNote"/>
    <w:rsid w:val="004868F7"/>
    <w:pPr>
      <w:spacing w:before="0" w:after="0"/>
    </w:pPr>
    <w:rPr>
      <w:rFonts w:ascii="Times New Roman" w:hAnsi="Times New Roman"/>
      <w:color w:val="999999"/>
    </w:rPr>
  </w:style>
  <w:style w:type="paragraph" w:customStyle="1" w:styleId="Spacer">
    <w:name w:val="Spacer"/>
    <w:basedOn w:val="Normal"/>
    <w:rsid w:val="004868F7"/>
    <w:rPr>
      <w:sz w:val="2"/>
      <w:szCs w:val="2"/>
    </w:rPr>
  </w:style>
  <w:style w:type="character" w:customStyle="1" w:styleId="Small">
    <w:name w:val="Small"/>
    <w:rsid w:val="004868F7"/>
    <w:rPr>
      <w:sz w:val="16"/>
    </w:rPr>
  </w:style>
  <w:style w:type="paragraph" w:customStyle="1" w:styleId="WideTable">
    <w:name w:val="Wide Table"/>
    <w:basedOn w:val="Normal"/>
    <w:rsid w:val="004868F7"/>
    <w:pPr>
      <w:ind w:left="-1418"/>
    </w:pPr>
    <w:rPr>
      <w:sz w:val="2"/>
      <w:szCs w:val="2"/>
    </w:rPr>
  </w:style>
  <w:style w:type="character" w:styleId="PageNumber">
    <w:name w:val="page number"/>
    <w:rsid w:val="004868F7"/>
  </w:style>
  <w:style w:type="paragraph" w:styleId="Quote">
    <w:name w:val="Quote"/>
    <w:basedOn w:val="Heading1"/>
    <w:link w:val="QuoteChar"/>
    <w:qFormat/>
    <w:rsid w:val="004868F7"/>
    <w:rPr>
      <w:b w:val="0"/>
      <w:sz w:val="72"/>
      <w:szCs w:val="72"/>
      <w:lang w:val="en-NZ"/>
    </w:rPr>
  </w:style>
  <w:style w:type="character" w:customStyle="1" w:styleId="QuoteChar">
    <w:name w:val="Quote Char"/>
    <w:link w:val="Quote"/>
    <w:rsid w:val="00486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8F7"/>
    <w:pPr>
      <w:pageBreakBefore/>
    </w:pPr>
  </w:style>
  <w:style w:type="paragraph" w:customStyle="1" w:styleId="Border">
    <w:name w:val="Border"/>
    <w:basedOn w:val="Normal"/>
    <w:qFormat/>
    <w:rsid w:val="004868F7"/>
    <w:pPr>
      <w:pBdr>
        <w:top w:val="single" w:sz="18" w:space="1" w:color="auto"/>
      </w:pBdr>
    </w:pPr>
    <w:rPr>
      <w:rFonts w:ascii="Times New Roman" w:hAnsi="Times New Roman"/>
      <w:color w:val="FFFFFF"/>
      <w:sz w:val="2"/>
    </w:rPr>
  </w:style>
  <w:style w:type="character" w:styleId="IntenseEmphasis">
    <w:name w:val="Intense Emphasis"/>
    <w:uiPriority w:val="21"/>
    <w:qFormat/>
    <w:rsid w:val="004868F7"/>
    <w:rPr>
      <w:b/>
      <w:bCs/>
      <w:i/>
      <w:iCs/>
      <w:color w:val="auto"/>
    </w:rPr>
  </w:style>
  <w:style w:type="paragraph" w:styleId="IntenseQuote">
    <w:name w:val="Intense Quote"/>
    <w:basedOn w:val="Normal"/>
    <w:next w:val="Normal"/>
    <w:link w:val="IntenseQuoteChar"/>
    <w:uiPriority w:val="30"/>
    <w:qFormat/>
    <w:rsid w:val="004868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68F7"/>
    <w:rPr>
      <w:rFonts w:ascii="Courier New" w:eastAsia="Times New Roman" w:hAnsi="Courier New" w:cs="Times New Roman"/>
      <w:b/>
      <w:bCs/>
      <w:i/>
      <w:iCs/>
      <w:szCs w:val="20"/>
      <w:lang w:val="en-US" w:eastAsia="en-US"/>
    </w:rPr>
  </w:style>
  <w:style w:type="character" w:styleId="SubtleReference">
    <w:name w:val="Subtle Reference"/>
    <w:uiPriority w:val="31"/>
    <w:qFormat/>
    <w:rsid w:val="004868F7"/>
    <w:rPr>
      <w:smallCaps/>
      <w:color w:val="auto"/>
      <w:u w:val="single"/>
    </w:rPr>
  </w:style>
  <w:style w:type="character" w:styleId="IntenseReference">
    <w:name w:val="Intense Reference"/>
    <w:uiPriority w:val="32"/>
    <w:qFormat/>
    <w:rsid w:val="004868F7"/>
    <w:rPr>
      <w:b/>
      <w:bCs/>
      <w:smallCaps/>
      <w:color w:val="auto"/>
      <w:spacing w:val="5"/>
      <w:u w:val="single"/>
    </w:rPr>
  </w:style>
  <w:style w:type="paragraph" w:customStyle="1" w:styleId="2ColumnHeading">
    <w:name w:val="2Column Heading"/>
    <w:basedOn w:val="BodyText"/>
    <w:qFormat/>
    <w:rsid w:val="004868F7"/>
    <w:pPr>
      <w:spacing w:after="60"/>
      <w:ind w:left="-2268"/>
    </w:pPr>
    <w:rPr>
      <w:b/>
    </w:rPr>
  </w:style>
  <w:style w:type="paragraph" w:customStyle="1" w:styleId="Heading1TOC">
    <w:name w:val="Heading1 TOC"/>
    <w:basedOn w:val="Normal"/>
    <w:qFormat/>
    <w:rsid w:val="004868F7"/>
    <w:pPr>
      <w:spacing w:before="240" w:after="120"/>
    </w:pPr>
    <w:rPr>
      <w:rFonts w:ascii="Times New Roman" w:hAnsi="Times New Roman"/>
      <w:b/>
      <w:sz w:val="32"/>
    </w:rPr>
  </w:style>
  <w:style w:type="paragraph" w:customStyle="1" w:styleId="Heading2TOC">
    <w:name w:val="Heading2 TOC"/>
    <w:basedOn w:val="Normal"/>
    <w:qFormat/>
    <w:rsid w:val="004868F7"/>
    <w:pPr>
      <w:spacing w:before="240" w:after="60"/>
    </w:pPr>
    <w:rPr>
      <w:rFonts w:ascii="Times New Roman" w:hAnsi="Times New Roman"/>
      <w:b/>
      <w:sz w:val="28"/>
    </w:rPr>
  </w:style>
  <w:style w:type="character" w:customStyle="1" w:styleId="Underline">
    <w:name w:val="Underline"/>
    <w:qFormat/>
    <w:rsid w:val="004868F7"/>
    <w:rPr>
      <w:u w:val="single"/>
    </w:rPr>
  </w:style>
  <w:style w:type="paragraph" w:styleId="BalloonText">
    <w:name w:val="Balloon Text"/>
    <w:basedOn w:val="Normal"/>
    <w:link w:val="BalloonTextChar"/>
    <w:rsid w:val="004868F7"/>
    <w:rPr>
      <w:rFonts w:ascii="Tahoma" w:hAnsi="Tahoma" w:cs="Tahoma"/>
      <w:sz w:val="16"/>
      <w:szCs w:val="16"/>
    </w:rPr>
  </w:style>
  <w:style w:type="character" w:customStyle="1" w:styleId="BalloonTextChar">
    <w:name w:val="Balloon Text Char"/>
    <w:link w:val="BalloonText"/>
    <w:rsid w:val="004868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8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68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1448</Words>
  <Characters>9164</Characters>
  <Application>Microsoft Office Word</Application>
  <DocSecurity>0</DocSecurity>
  <Lines>332</Lines>
  <Paragraphs>180</Paragraphs>
  <ScaleCrop>false</ScaleCrop>
  <Company>Author-it Software Corporation Ltd.</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FNSPRT403A Administer a complex estate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2012-05-26T16:30:00Z</dcterms:created>
  <dcterms:modified xsi:type="dcterms:W3CDTF">2012-05-26T16:30:00Z</dcterms:modified>
</cp:coreProperties>
</file>