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E72" w:rsidP="000E5E72">
      <w:pPr>
        <w:pStyle w:val="Title"/>
      </w:pPr>
      <w:r>
        <w:fldChar w:fldCharType="begin"/>
      </w:r>
      <w:r>
        <w:instrText xml:space="preserve"> TITLE   \* MERGEFORMAT </w:instrText>
      </w:r>
      <w:r>
        <w:fldChar w:fldCharType="separate"/>
      </w:r>
      <w:r>
        <w:t>FNSORG301A Administer fixed asset register</w:t>
      </w:r>
      <w:r>
        <w:fldChar w:fldCharType="end"/>
      </w:r>
    </w:p>
    <w:p w:rsidR="000E5E72" w:rsidP="000E5E72">
      <w:pPr>
        <w:pStyle w:val="Version"/>
        <w:sectPr w:rsidSect="00B65F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5F64" w:rsidP="00B65F64">
      <w:pPr>
        <w:pStyle w:val="SuperHeading"/>
      </w:pPr>
      <w:r w:rsidRPr="00B65F64">
        <w:t>FNSORG301A Administer fixed asset register</w:t>
      </w:r>
    </w:p>
    <w:p w:rsidR="00000000" w:rsidRPr="00B65F64" w:rsidP="00B65F64">
      <w:pPr>
        <w:pStyle w:val="SuperHeading"/>
      </w:pPr>
    </w:p>
    <w:p w:rsidR="00000000" w:rsidRPr="00B65F64" w:rsidP="00B65F64">
      <w:pPr>
        <w:pStyle w:val="Heading1"/>
      </w:pPr>
      <w:bookmarkStart w:id="1" w:name="O_79815"/>
      <w:bookmarkEnd w:id="1"/>
      <w:r w:rsidRPr="00B65F64">
        <w:t>Modification History</w:t>
      </w:r>
    </w:p>
    <w:p w:rsidR="00000000" w:rsidRPr="00B65F64" w:rsidP="00B65F64">
      <w:pPr>
        <w:pStyle w:val="BodyText"/>
      </w:pPr>
      <w:r w:rsidRPr="00B65F64">
        <w:t>Not applicable.</w:t>
      </w:r>
    </w:p>
    <w:p w:rsidR="00000000" w:rsidRPr="00B65F64" w:rsidP="00B65F64">
      <w:pPr>
        <w:pStyle w:val="AllowPageBreak"/>
      </w:pPr>
    </w:p>
    <w:p w:rsidR="00000000" w:rsidRPr="00B65F64" w:rsidP="00B65F64">
      <w:pPr>
        <w:pStyle w:val="Heading1"/>
      </w:pPr>
      <w:bookmarkStart w:id="2" w:name="O_79816"/>
      <w:bookmarkEnd w:id="2"/>
      <w:r w:rsidRPr="00B65F64">
        <w:t>Unit Descriptor</w:t>
      </w:r>
    </w:p>
    <w:tbl>
      <w:tblPr>
        <w:tblW w:w="0" w:type="auto"/>
        <w:tblLayout w:type="fixed"/>
        <w:tblCellMar>
          <w:left w:w="62" w:type="dxa"/>
          <w:right w:w="62" w:type="dxa"/>
        </w:tblCellMar>
        <w:tblLook w:val="0000"/>
      </w:tblPr>
      <w:tblGrid>
        <w:gridCol w:w="2646"/>
        <w:gridCol w:w="5876"/>
      </w:tblGrid>
      <w:tr w:rsidTr="000E5E72">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This unit describes the performance outcomes, skills and knowledge required to maintenance a register of capit</w:t>
            </w:r>
            <w:r w:rsidRPr="00B65F64">
              <w:t>al expenditure items.</w:t>
            </w:r>
          </w:p>
          <w:p w:rsidR="00000000" w:rsidRPr="00B65F64" w:rsidP="00B65F64">
            <w:pPr>
              <w:pStyle w:val="BodyText"/>
            </w:pPr>
          </w:p>
          <w:p w:rsidR="00000000" w:rsidRPr="00B65F64" w:rsidP="00B65F64">
            <w:pPr>
              <w:pStyle w:val="BodyText"/>
            </w:pPr>
            <w:r w:rsidRPr="00B65F64">
              <w:t>No licensing, legislative, regulatory or certification requirements apply to this unit at the time of endorsement.</w:t>
            </w: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3" w:name="O_79817"/>
      <w:bookmarkEnd w:id="3"/>
      <w:r w:rsidRPr="00B65F64">
        <w:t>Application of the Unit</w:t>
      </w:r>
    </w:p>
    <w:tbl>
      <w:tblPr>
        <w:tblW w:w="0" w:type="auto"/>
        <w:tblLayout w:type="fixed"/>
        <w:tblCellMar>
          <w:left w:w="62" w:type="dxa"/>
          <w:right w:w="62" w:type="dxa"/>
        </w:tblCellMar>
        <w:tblLook w:val="0000"/>
      </w:tblPr>
      <w:tblGrid>
        <w:gridCol w:w="2721"/>
        <w:gridCol w:w="5801"/>
      </w:tblGrid>
      <w:tr w:rsidTr="000E5E7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This unit may apply to asset control job roles in organisations of various sizes.</w:t>
            </w: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4" w:name="O_79818"/>
      <w:bookmarkEnd w:id="4"/>
      <w:r w:rsidRPr="00B65F64">
        <w:t>Licensing/Regulatory Information</w:t>
      </w:r>
    </w:p>
    <w:p w:rsidR="00000000" w:rsidRPr="00B65F64" w:rsidP="00B65F64">
      <w:pPr>
        <w:pStyle w:val="BodyText"/>
      </w:pPr>
      <w:r w:rsidRPr="00B65F64">
        <w:t>Not applicable.</w:t>
      </w:r>
    </w:p>
    <w:p w:rsidR="00000000" w:rsidRPr="00B65F64" w:rsidP="00B65F64">
      <w:pPr>
        <w:pStyle w:val="AllowPageBreak"/>
      </w:pPr>
    </w:p>
    <w:p w:rsidR="00000000" w:rsidRPr="00B65F64" w:rsidP="00B65F64">
      <w:pPr>
        <w:pStyle w:val="Heading1"/>
      </w:pPr>
      <w:bookmarkStart w:id="5" w:name="O_79819"/>
      <w:bookmarkEnd w:id="5"/>
      <w:r w:rsidRPr="00B65F64">
        <w:t>Pre-Requisites</w:t>
      </w:r>
    </w:p>
    <w:tbl>
      <w:tblPr>
        <w:tblW w:w="0" w:type="auto"/>
        <w:tblLayout w:type="fixed"/>
        <w:tblCellMar>
          <w:left w:w="62" w:type="dxa"/>
          <w:right w:w="62" w:type="dxa"/>
        </w:tblCellMar>
        <w:tblLook w:val="0000"/>
      </w:tblPr>
      <w:tblGrid>
        <w:gridCol w:w="2745"/>
        <w:gridCol w:w="1301"/>
        <w:gridCol w:w="4476"/>
      </w:tblGrid>
      <w:tr w:rsidTr="000E5E7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p>
        </w:tc>
      </w:tr>
      <w:tr w:rsidTr="000E5E7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p>
        </w:tc>
      </w:tr>
      <w:tr w:rsidTr="000E5E7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6" w:name="O_79820"/>
      <w:bookmarkEnd w:id="6"/>
      <w:r w:rsidRPr="00B65F64">
        <w:t>Employability Skills Information</w:t>
      </w:r>
    </w:p>
    <w:tbl>
      <w:tblPr>
        <w:tblW w:w="0" w:type="auto"/>
        <w:tblLayout w:type="fixed"/>
        <w:tblCellMar>
          <w:left w:w="62" w:type="dxa"/>
          <w:right w:w="62" w:type="dxa"/>
        </w:tblCellMar>
        <w:tblLook w:val="0000"/>
      </w:tblPr>
      <w:tblGrid>
        <w:gridCol w:w="2762"/>
        <w:gridCol w:w="5760"/>
      </w:tblGrid>
      <w:tr w:rsidTr="000E5E7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This unit contains employability skills.</w:t>
            </w: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7" w:name="O_79821"/>
      <w:bookmarkEnd w:id="7"/>
      <w:r w:rsidRPr="00B65F64">
        <w:t>Elements and Performance Criteria Pre-Content</w:t>
      </w:r>
    </w:p>
    <w:tbl>
      <w:tblPr>
        <w:tblW w:w="0" w:type="auto"/>
        <w:tblLayout w:type="fixed"/>
        <w:tblCellMar>
          <w:left w:w="62" w:type="dxa"/>
          <w:right w:w="62" w:type="dxa"/>
        </w:tblCellMar>
        <w:tblLook w:val="0000"/>
      </w:tblPr>
      <w:tblGrid>
        <w:gridCol w:w="2565"/>
        <w:gridCol w:w="5957"/>
      </w:tblGrid>
      <w:tr w:rsidTr="000E5E7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Performance criteria describe the performance needed to demonstrate achievement of the element. Where bold italicised text is used, further information is detailed in the required skills and knowledge section and the range statement. Assessment of performa</w:t>
            </w:r>
            <w:r w:rsidRPr="00B65F64">
              <w:t>nce is to be consistent with the evidence guide.</w:t>
            </w: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8" w:name="O_79822"/>
      <w:bookmarkEnd w:id="8"/>
      <w:r w:rsidRPr="00B65F64">
        <w:t>Elements and Performance Criteria</w:t>
      </w:r>
    </w:p>
    <w:tbl>
      <w:tblPr>
        <w:tblW w:w="0" w:type="auto"/>
        <w:tblLayout w:type="fixed"/>
        <w:tblCellMar>
          <w:left w:w="62" w:type="dxa"/>
          <w:right w:w="62" w:type="dxa"/>
        </w:tblCellMar>
        <w:tblLook w:val="0000"/>
      </w:tblPr>
      <w:tblGrid>
        <w:gridCol w:w="2565"/>
        <w:gridCol w:w="5957"/>
      </w:tblGrid>
      <w:tr w:rsidTr="000E5E72">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PERFORMANCE CRITERIA</w:t>
            </w:r>
          </w:p>
        </w:tc>
      </w:tr>
      <w:tr w:rsidTr="000E5E7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List"/>
              <w:rPr>
                <w:lang w:val="en-NZ"/>
              </w:rPr>
            </w:pPr>
            <w:r w:rsidRPr="00B65F64">
              <w:t>1.</w:t>
            </w:r>
            <w:r w:rsidRPr="00B65F64">
              <w:tab/>
              <w:t>Reconcile asset register to general ledgers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2"/>
            </w:pPr>
            <w:r w:rsidRPr="00B65F64">
              <w:t>1.1.</w:t>
            </w:r>
            <w:r w:rsidRPr="00B65F64">
              <w:tab/>
              <w:t xml:space="preserve">All </w:t>
            </w:r>
            <w:r w:rsidRPr="00B65F64">
              <w:rPr>
                <w:rStyle w:val="BoldandItalics"/>
              </w:rPr>
              <w:t>expenditure items</w:t>
            </w:r>
            <w:r w:rsidRPr="00B65F64">
              <w:t xml:space="preserve"> are reconciled in accordance </w:t>
            </w:r>
            <w:r w:rsidRPr="00B65F64">
              <w:t>with organisation's policies, procedures and practices</w:t>
            </w:r>
          </w:p>
          <w:p w:rsidR="00000000" w:rsidP="00B65F64">
            <w:pPr>
              <w:pStyle w:val="List2"/>
              <w:rPr>
                <w:lang w:val="en-NZ"/>
              </w:rPr>
            </w:pPr>
            <w:r w:rsidRPr="00B65F64">
              <w:t>1.2.</w:t>
            </w:r>
            <w:r w:rsidRPr="00B65F64">
              <w:tab/>
              <w:t xml:space="preserve">Discrepancies are identified and actioned according to </w:t>
            </w:r>
            <w:r w:rsidRPr="00B65F64">
              <w:rPr>
                <w:rStyle w:val="BoldandItalics"/>
              </w:rPr>
              <w:t>organisation policies</w:t>
            </w:r>
            <w:r w:rsidRPr="00B65F64">
              <w:t xml:space="preserve">, </w:t>
            </w:r>
            <w:r w:rsidRPr="00B65F64">
              <w:rPr>
                <w:rStyle w:val="BoldandItalics"/>
              </w:rPr>
              <w:t>procedures and practices and relevant legislation</w:t>
            </w:r>
          </w:p>
        </w:tc>
      </w:tr>
      <w:tr w:rsidTr="000E5E7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List"/>
              <w:rPr>
                <w:lang w:val="en-NZ"/>
              </w:rPr>
            </w:pPr>
            <w:r w:rsidRPr="00B65F64">
              <w:t>2.</w:t>
            </w:r>
            <w:r w:rsidRPr="00B65F64">
              <w:tab/>
              <w:t>Recognise new assets and asset categories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2"/>
            </w:pPr>
            <w:r w:rsidRPr="00B65F64">
              <w:t>2.1.</w:t>
            </w:r>
            <w:r w:rsidRPr="00B65F64">
              <w:tab/>
              <w:t>New asset categor</w:t>
            </w:r>
            <w:r w:rsidRPr="00B65F64">
              <w:t>ies are identified</w:t>
            </w:r>
          </w:p>
          <w:p w:rsidR="00000000" w:rsidP="00B65F64">
            <w:pPr>
              <w:pStyle w:val="List2"/>
              <w:rPr>
                <w:lang w:val="en-NZ"/>
              </w:rPr>
            </w:pPr>
            <w:r w:rsidRPr="00B65F64">
              <w:t>2.2.</w:t>
            </w:r>
            <w:r w:rsidRPr="00B65F64">
              <w:tab/>
              <w:t>Pro-forma for input of asset details is prepared and processed within the month of purchase</w:t>
            </w:r>
          </w:p>
        </w:tc>
      </w:tr>
      <w:tr w:rsidTr="000E5E7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List"/>
              <w:rPr>
                <w:lang w:val="en-NZ"/>
              </w:rPr>
            </w:pPr>
            <w:r w:rsidRPr="00B65F64">
              <w:t>3.</w:t>
            </w:r>
            <w:r w:rsidRPr="00B65F64">
              <w:tab/>
              <w:t>Prepare schedules and ad hoc reports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2"/>
            </w:pPr>
            <w:r w:rsidRPr="00B65F64">
              <w:t>3.1.</w:t>
            </w:r>
            <w:r w:rsidRPr="00B65F64">
              <w:tab/>
              <w:t>Depreciation expense is updated regularly according to depreciation schedule</w:t>
            </w:r>
          </w:p>
          <w:p w:rsidR="00000000" w:rsidRPr="00B65F64" w:rsidP="00B65F64">
            <w:pPr>
              <w:pStyle w:val="List2"/>
            </w:pPr>
            <w:r w:rsidRPr="00B65F64">
              <w:t>3.2.</w:t>
            </w:r>
            <w:r w:rsidRPr="00B65F64">
              <w:tab/>
            </w:r>
            <w:r w:rsidRPr="00B65F64">
              <w:rPr>
                <w:rStyle w:val="BoldandItalics"/>
              </w:rPr>
              <w:t>Spreadsheets</w:t>
            </w:r>
            <w:r w:rsidRPr="00B65F64">
              <w:t xml:space="preserve"> and reconciliations are prepared in accordance with annual tax schedule, with allowance made for permanent differences</w:t>
            </w:r>
          </w:p>
          <w:p w:rsidR="00000000" w:rsidRPr="00B65F64" w:rsidP="00B65F64">
            <w:pPr>
              <w:pStyle w:val="List2"/>
            </w:pPr>
            <w:r w:rsidRPr="00B65F64">
              <w:t>3.3.</w:t>
            </w:r>
            <w:r w:rsidRPr="00B65F64">
              <w:tab/>
              <w:t xml:space="preserve">Spreadsheets and </w:t>
            </w:r>
            <w:r w:rsidRPr="00B65F64">
              <w:rPr>
                <w:rStyle w:val="BoldandItalics"/>
              </w:rPr>
              <w:t>ad hoc reports</w:t>
            </w:r>
            <w:r w:rsidRPr="00B65F64">
              <w:t xml:space="preserve"> are prepared as requested</w:t>
            </w: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9" w:name="O_79823"/>
      <w:bookmarkEnd w:id="9"/>
      <w:r w:rsidRPr="00B65F64">
        <w:t>Required Skills and Knowledge</w:t>
      </w:r>
    </w:p>
    <w:tbl>
      <w:tblPr>
        <w:tblW w:w="0" w:type="auto"/>
        <w:tblLayout w:type="fixed"/>
        <w:tblCellMar>
          <w:left w:w="62" w:type="dxa"/>
          <w:right w:w="62" w:type="dxa"/>
        </w:tblCellMar>
        <w:tblLook w:val="0000"/>
      </w:tblPr>
      <w:tblGrid>
        <w:gridCol w:w="8522"/>
      </w:tblGrid>
      <w:tr w:rsidTr="000E5E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REQUIRED SKILLS AND KNOWLEDGE</w:t>
            </w:r>
          </w:p>
        </w:tc>
      </w:tr>
      <w:tr w:rsidTr="000E5E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t>This section describes the skills and knowledge required for this unit.</w:t>
            </w:r>
          </w:p>
        </w:tc>
      </w:tr>
      <w:tr w:rsidTr="000E5E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Required skills</w:t>
            </w:r>
          </w:p>
        </w:tc>
      </w:tr>
      <w:tr w:rsidTr="000E5E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Bullet"/>
            </w:pPr>
            <w:r w:rsidRPr="00B65F64">
              <w:t>communication skills to:</w:t>
            </w:r>
          </w:p>
          <w:p w:rsidR="00000000" w:rsidRPr="00B65F64" w:rsidP="00B65F64">
            <w:pPr>
              <w:pStyle w:val="ListBullet2"/>
            </w:pPr>
            <w:r w:rsidRPr="00B65F64">
              <w:t>determine and confirm work requirements, using questioning and active listening as required</w:t>
            </w:r>
          </w:p>
          <w:p w:rsidR="00000000" w:rsidRPr="00B65F64" w:rsidP="00B65F64">
            <w:pPr>
              <w:pStyle w:val="ListBullet2"/>
            </w:pPr>
            <w:r w:rsidRPr="00B65F64">
              <w:t>liaise with others, share information, listen and understand</w:t>
            </w:r>
          </w:p>
          <w:p w:rsidR="00000000" w:rsidRPr="00B65F64" w:rsidP="00B65F64">
            <w:pPr>
              <w:pStyle w:val="ListBullet2"/>
            </w:pPr>
            <w:r w:rsidRPr="00B65F64">
              <w:t>use language and concepts appropriate to cultural differences</w:t>
            </w:r>
          </w:p>
          <w:p w:rsidR="00000000" w:rsidRPr="00B65F64" w:rsidP="00B65F64">
            <w:pPr>
              <w:pStyle w:val="ListBullet"/>
            </w:pPr>
            <w:r w:rsidRPr="00B65F64">
              <w:t>numeracy skills to:</w:t>
            </w:r>
          </w:p>
          <w:p w:rsidR="00000000" w:rsidRPr="00B65F64" w:rsidP="00B65F64">
            <w:pPr>
              <w:pStyle w:val="ListBullet2"/>
            </w:pPr>
            <w:r w:rsidRPr="00B65F64">
              <w:t>accurately analyse, record and store data in accordance with organisational requirements</w:t>
            </w:r>
          </w:p>
          <w:p w:rsidR="00000000" w:rsidRPr="00B65F64" w:rsidP="00B65F64">
            <w:pPr>
              <w:pStyle w:val="ListBullet2"/>
            </w:pPr>
            <w:r w:rsidRPr="00B65F64">
              <w:t>calculate capital purc</w:t>
            </w:r>
            <w:r w:rsidRPr="00B65F64">
              <w:t>hases, deprecation and related data</w:t>
            </w:r>
          </w:p>
          <w:p w:rsidR="00000000" w:rsidRPr="00B65F64" w:rsidP="00B65F64">
            <w:pPr>
              <w:pStyle w:val="ListBullet"/>
            </w:pPr>
            <w:r w:rsidRPr="00B65F64">
              <w:t>research and analysis for accessing, interpreting and managing capital purchase and depreciation information</w:t>
            </w:r>
          </w:p>
          <w:p w:rsidR="00000000" w:rsidRPr="00B65F64" w:rsidP="00B65F64">
            <w:pPr>
              <w:pStyle w:val="ListBullet"/>
            </w:pPr>
            <w:r w:rsidRPr="00B65F64">
              <w:t>IT skills for accessing and using appropriate specialist software, spreadsheets and databases and using intern</w:t>
            </w:r>
            <w:r w:rsidRPr="00B65F64">
              <w:t>et information</w:t>
            </w:r>
          </w:p>
          <w:p w:rsidR="00000000" w:rsidRPr="00B65F64" w:rsidP="00B65F64">
            <w:pPr>
              <w:pStyle w:val="ListBullet"/>
            </w:pPr>
            <w:r w:rsidRPr="00B65F64">
              <w:t>problem solving skills to address asset information issues</w:t>
            </w:r>
          </w:p>
          <w:p w:rsidR="00000000" w:rsidP="00B65F64">
            <w:pPr>
              <w:pStyle w:val="ListBullet"/>
              <w:rPr>
                <w:lang w:val="en-NZ"/>
              </w:rPr>
            </w:pPr>
            <w:r w:rsidRPr="00B65F64">
              <w:t>organisational skills, including the ability to plan and sequence work</w:t>
            </w:r>
          </w:p>
        </w:tc>
      </w:tr>
      <w:tr w:rsidTr="000E5E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Required knowledge</w:t>
            </w:r>
          </w:p>
        </w:tc>
      </w:tr>
      <w:tr w:rsidTr="000E5E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Bullet"/>
            </w:pPr>
            <w:r w:rsidRPr="00B65F64">
              <w:t>basic accounting principles</w:t>
            </w:r>
          </w:p>
          <w:p w:rsidR="00000000" w:rsidRPr="00B65F64" w:rsidP="00B65F64">
            <w:pPr>
              <w:pStyle w:val="ListBullet"/>
            </w:pPr>
            <w:r w:rsidRPr="00B65F64">
              <w:t>basic finance industry administration processes and procedures</w:t>
            </w:r>
          </w:p>
          <w:p w:rsidR="00000000" w:rsidRPr="00B65F64" w:rsidP="00B65F64">
            <w:pPr>
              <w:pStyle w:val="ListBullet"/>
            </w:pPr>
            <w:r w:rsidRPr="00B65F64">
              <w:t>features of fixed asset registers</w:t>
            </w:r>
          </w:p>
          <w:p w:rsidR="00000000" w:rsidRPr="00B65F64" w:rsidP="00B65F64">
            <w:pPr>
              <w:pStyle w:val="ListBullet"/>
            </w:pPr>
            <w:r w:rsidRPr="00B65F64">
              <w:t>role and structure of general ledgers</w:t>
            </w:r>
          </w:p>
          <w:p w:rsidR="00000000" w:rsidRPr="00B65F64" w:rsidP="00B65F64">
            <w:pPr>
              <w:pStyle w:val="ListBullet"/>
            </w:pPr>
            <w:r w:rsidRPr="00B65F64">
              <w:t>legalisation requirements regarding capital purchase and depreciation</w:t>
            </w:r>
          </w:p>
          <w:p w:rsidR="00000000" w:rsidRPr="00B65F64" w:rsidP="00B65F64">
            <w:pPr>
              <w:pStyle w:val="ListBullet"/>
            </w:pPr>
            <w:r w:rsidRPr="00B65F64">
              <w:t>banking processes</w:t>
            </w: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10" w:name="O_79824"/>
      <w:bookmarkEnd w:id="10"/>
      <w:r w:rsidRPr="00B65F64">
        <w:t>Evidence Guide</w:t>
      </w:r>
    </w:p>
    <w:tbl>
      <w:tblPr>
        <w:tblW w:w="9570" w:type="dxa"/>
        <w:tblLayout w:type="fixed"/>
        <w:tblCellMar>
          <w:left w:w="62" w:type="dxa"/>
          <w:right w:w="62" w:type="dxa"/>
        </w:tblCellMar>
        <w:tblLook w:val="0000"/>
      </w:tblPr>
      <w:tblGrid>
        <w:gridCol w:w="2808"/>
        <w:gridCol w:w="6762"/>
      </w:tblGrid>
      <w:tr w:rsidTr="000E5E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E</w:t>
            </w:r>
            <w:r w:rsidRPr="00B65F64">
              <w:rPr>
                <w:rStyle w:val="SpecialBold"/>
              </w:rPr>
              <w:t>VIDENCE GUIDE</w:t>
            </w:r>
          </w:p>
        </w:tc>
      </w:tr>
      <w:tr w:rsidTr="000E5E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t>The Evidence Guide provides advice on assessment and must be read in conjunction with the performance criteria, required skills and knowledge, range statement and the Assessment Guidelines for the Training Package.</w:t>
            </w:r>
          </w:p>
        </w:tc>
      </w:tr>
      <w:tr w:rsidTr="000E5E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p>
        </w:tc>
      </w:tr>
      <w:tr w:rsidTr="000E5E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Evidence of the ability to:</w:t>
            </w:r>
          </w:p>
          <w:p w:rsidR="00000000" w:rsidRPr="00B65F64" w:rsidP="00B65F64">
            <w:pPr>
              <w:pStyle w:val="ListBullet"/>
            </w:pPr>
            <w:r w:rsidRPr="00B65F64">
              <w:t>accurate lT record transaction details and producing reconciliation reports</w:t>
            </w:r>
          </w:p>
          <w:p w:rsidR="00000000" w:rsidP="00B65F64">
            <w:pPr>
              <w:pStyle w:val="ListBullet"/>
              <w:rPr>
                <w:lang w:val="en-NZ"/>
              </w:rPr>
            </w:pPr>
            <w:r w:rsidRPr="00B65F64">
              <w:t>apply relevant reconciliation processes and manage depreciation schedules.</w:t>
            </w:r>
          </w:p>
        </w:tc>
      </w:tr>
      <w:tr w:rsidTr="000E5E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Assessment must ensure:</w:t>
            </w:r>
          </w:p>
          <w:p w:rsidR="00000000" w:rsidRPr="00B65F64" w:rsidP="00B65F64">
            <w:pPr>
              <w:pStyle w:val="ListBullet"/>
            </w:pPr>
            <w:r w:rsidRPr="00B65F64">
              <w:t>competency is demonstrated in the context of the financial services work environment and conditions specif</w:t>
            </w:r>
            <w:r w:rsidRPr="00B65F64">
              <w:t>ied in the range statement either in a relevant workplace or a closely simulated work environment</w:t>
            </w:r>
          </w:p>
          <w:p w:rsidR="00000000" w:rsidRPr="00B65F64" w:rsidP="00B65F64">
            <w:pPr>
              <w:pStyle w:val="ListBullet"/>
            </w:pPr>
            <w:r w:rsidRPr="00B65F64">
              <w:t>access to and the use of a range of common office equipment, technology, software and consumables</w:t>
            </w:r>
          </w:p>
          <w:p w:rsidR="00000000" w:rsidP="00B65F64">
            <w:pPr>
              <w:pStyle w:val="ListBullet"/>
              <w:rPr>
                <w:lang w:val="en-NZ"/>
              </w:rPr>
            </w:pPr>
            <w:r w:rsidRPr="00B65F64">
              <w:t>access to organisation policies and practices and asset regi</w:t>
            </w:r>
            <w:r w:rsidRPr="00B65F64">
              <w:t>ster systems and data.</w:t>
            </w:r>
          </w:p>
        </w:tc>
      </w:tr>
      <w:tr w:rsidTr="000E5E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A range of assessment methods should be used to assess practical skills and knowledge. The following examples, in combination, are appropriate for this unit:</w:t>
            </w:r>
          </w:p>
          <w:p w:rsidR="00000000" w:rsidRPr="00B65F64" w:rsidP="00B65F64">
            <w:pPr>
              <w:pStyle w:val="ListBullet"/>
            </w:pPr>
            <w:r w:rsidRPr="00B65F64">
              <w:t>evaluating an integrated activity which combines the</w:t>
            </w:r>
            <w:r w:rsidRPr="00B65F64">
              <w:t xml:space="preserve"> elements of competency for the unit or a cluster of related units of competency</w:t>
            </w:r>
          </w:p>
          <w:p w:rsidR="00000000" w:rsidRPr="00B65F64" w:rsidP="00B65F64">
            <w:pPr>
              <w:pStyle w:val="ListBullet"/>
            </w:pPr>
            <w:r w:rsidRPr="00B65F64">
              <w:t>verbal or written questioning on underpinning knowledge and skills</w:t>
            </w:r>
          </w:p>
          <w:p w:rsidR="00000000" w:rsidRPr="00B65F64" w:rsidP="00B65F64">
            <w:pPr>
              <w:pStyle w:val="ListBullet"/>
            </w:pPr>
            <w:r w:rsidRPr="00B65F64">
              <w:t>evaluating samples of work</w:t>
            </w:r>
          </w:p>
          <w:p w:rsidR="00000000" w:rsidP="00B65F64">
            <w:pPr>
              <w:pStyle w:val="ListBullet"/>
              <w:rPr>
                <w:lang w:val="en-NZ"/>
              </w:rPr>
            </w:pPr>
            <w:r w:rsidRPr="00B65F64">
              <w:t>accessing and validating third party reports.</w:t>
            </w:r>
          </w:p>
        </w:tc>
      </w:tr>
      <w:tr w:rsidTr="000E5E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11" w:name="O_79825"/>
      <w:bookmarkEnd w:id="11"/>
      <w:r w:rsidRPr="00B65F64">
        <w:t>Range Statement</w:t>
      </w:r>
    </w:p>
    <w:tbl>
      <w:tblPr>
        <w:tblW w:w="0" w:type="auto"/>
        <w:tblLayout w:type="fixed"/>
        <w:tblCellMar>
          <w:left w:w="62" w:type="dxa"/>
          <w:right w:w="62" w:type="dxa"/>
        </w:tblCellMar>
        <w:tblLook w:val="0000"/>
      </w:tblPr>
      <w:tblGrid>
        <w:gridCol w:w="2503"/>
        <w:gridCol w:w="6019"/>
      </w:tblGrid>
      <w:tr w:rsidTr="000E5E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RANGE STATEMENT</w:t>
            </w:r>
          </w:p>
        </w:tc>
      </w:tr>
      <w:tr w:rsidTr="000E5E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t xml:space="preserve">The range statement relates to the unit of competency as a whole. It allows for different work environments and situations that may affect </w:t>
            </w:r>
            <w:r w:rsidRPr="00B65F64">
              <w:t>performance. Bold italicised wording, if used in the performance criteria, is detailed below. Essential operating conditions that may be present with training and assessment (depending on the work situation, needs of the candidate, accessibility of the ite</w:t>
            </w:r>
            <w:r w:rsidRPr="00B65F64">
              <w:t>m, and local industry and regional contexts) may also be included.</w:t>
            </w:r>
          </w:p>
        </w:tc>
      </w:tr>
      <w:tr w:rsidTr="000E5E72">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BoldandItalics"/>
              </w:rPr>
              <w:t>Expenditure items</w:t>
            </w:r>
            <w:r w:rsidRPr="00B65F64">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Bullet"/>
            </w:pPr>
            <w:r w:rsidRPr="00B65F64">
              <w:t>accumulated department expense items</w:t>
            </w:r>
          </w:p>
          <w:p w:rsidR="00000000" w:rsidP="00B65F64">
            <w:pPr>
              <w:pStyle w:val="ListBullet"/>
              <w:rPr>
                <w:lang w:val="en-NZ"/>
              </w:rPr>
            </w:pPr>
            <w:r w:rsidRPr="00B65F64">
              <w:t>assets at cost.</w:t>
            </w:r>
          </w:p>
        </w:tc>
      </w:tr>
      <w:tr w:rsidTr="000E5E72">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BoldandItalics"/>
              </w:rPr>
              <w:t>Organisation policies</w:t>
            </w:r>
            <w:r w:rsidRPr="00B65F64">
              <w:t xml:space="preserve">, </w:t>
            </w:r>
            <w:r w:rsidRPr="00B65F64">
              <w:rPr>
                <w:rStyle w:val="BoldandItalics"/>
              </w:rPr>
              <w:t>procedures and practice</w:t>
            </w:r>
            <w:r w:rsidRPr="00B65F64">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Bullet"/>
            </w:pPr>
            <w:r w:rsidRPr="00B65F64">
              <w:t>established policies, procedures and practices relating to:</w:t>
            </w:r>
          </w:p>
          <w:p w:rsidR="00000000" w:rsidRPr="00B65F64" w:rsidP="00B65F64">
            <w:pPr>
              <w:pStyle w:val="ListBullet2"/>
            </w:pPr>
            <w:r w:rsidRPr="00B65F64">
              <w:t xml:space="preserve">maintenance of capital expenditure items </w:t>
            </w:r>
          </w:p>
          <w:p w:rsidR="00000000" w:rsidP="00B65F64">
            <w:pPr>
              <w:pStyle w:val="ListBullet2"/>
              <w:rPr>
                <w:lang w:val="en-NZ"/>
              </w:rPr>
            </w:pPr>
            <w:r w:rsidRPr="00B65F64">
              <w:t>preparation of reconciliation reports.</w:t>
            </w:r>
          </w:p>
        </w:tc>
      </w:tr>
      <w:tr w:rsidTr="000E5E72">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BoldandItalics"/>
              </w:rPr>
              <w:t>Relevant legislation</w:t>
            </w:r>
            <w:r w:rsidRPr="00B65F64">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Bullet"/>
            </w:pPr>
            <w:r w:rsidRPr="00B65F64">
              <w:t>consumer</w:t>
            </w:r>
          </w:p>
          <w:p w:rsidR="00000000" w:rsidRPr="00B65F64" w:rsidP="00B65F64">
            <w:pPr>
              <w:pStyle w:val="ListBullet2"/>
            </w:pPr>
            <w:r w:rsidRPr="00B65F64">
              <w:t>Consumer Credit Code</w:t>
            </w:r>
          </w:p>
          <w:p w:rsidR="00000000" w:rsidRPr="00B65F64" w:rsidP="00B65F64">
            <w:pPr>
              <w:pStyle w:val="ListBullet2"/>
            </w:pPr>
            <w:r w:rsidRPr="00B65F64">
              <w:t>Privacy Act</w:t>
            </w:r>
          </w:p>
          <w:p w:rsidR="00000000" w:rsidRPr="00B65F64" w:rsidP="00B65F64">
            <w:pPr>
              <w:pStyle w:val="ListBullet"/>
            </w:pPr>
            <w:r w:rsidRPr="00B65F64">
              <w:t>prudential</w:t>
            </w:r>
          </w:p>
          <w:p w:rsidR="00000000" w:rsidRPr="00B65F64" w:rsidP="00B65F64">
            <w:pPr>
              <w:pStyle w:val="ListBullet2"/>
            </w:pPr>
            <w:r w:rsidRPr="00B65F64">
              <w:t>Electronic Funds Transfer (EFT) Code of Conduct</w:t>
            </w:r>
          </w:p>
          <w:p w:rsidR="00000000" w:rsidRPr="00B65F64" w:rsidP="00B65F64">
            <w:pPr>
              <w:pStyle w:val="ListBullet2"/>
            </w:pPr>
            <w:r w:rsidRPr="00B65F64">
              <w:t>Financial Transaction Reports Act</w:t>
            </w:r>
          </w:p>
          <w:p w:rsidR="00000000" w:rsidRPr="00B65F64" w:rsidP="00B65F64">
            <w:pPr>
              <w:pStyle w:val="ListBullet2"/>
            </w:pPr>
            <w:r w:rsidRPr="00B65F64">
              <w:t>Cheques and Payment Orders Act</w:t>
            </w:r>
          </w:p>
          <w:p w:rsidR="00000000" w:rsidRPr="00B65F64" w:rsidP="00B65F64">
            <w:pPr>
              <w:pStyle w:val="ListBullet2"/>
            </w:pPr>
            <w:r w:rsidRPr="00B65F64">
              <w:t>Commercial Tenancies Act</w:t>
            </w:r>
          </w:p>
          <w:p w:rsidR="00000000" w:rsidRPr="00B65F64" w:rsidP="00B65F64">
            <w:pPr>
              <w:pStyle w:val="ListBullet2"/>
            </w:pPr>
            <w:r w:rsidRPr="00B65F64">
              <w:t>Land Tax Assessment Act</w:t>
            </w:r>
          </w:p>
          <w:p w:rsidR="00000000" w:rsidRPr="00B65F64" w:rsidP="00B65F64">
            <w:pPr>
              <w:pStyle w:val="ListBullet2"/>
            </w:pPr>
            <w:r w:rsidRPr="00B65F64">
              <w:t>Prescribed Payments Act</w:t>
            </w:r>
          </w:p>
          <w:p w:rsidR="00000000" w:rsidRPr="00B65F64" w:rsidP="00B65F64">
            <w:pPr>
              <w:pStyle w:val="ListBullet2"/>
            </w:pPr>
            <w:r w:rsidRPr="00B65F64">
              <w:t>Payroll Tax Assessment Act</w:t>
            </w:r>
          </w:p>
          <w:p w:rsidR="00000000" w:rsidRPr="00B65F64" w:rsidP="00B65F64">
            <w:pPr>
              <w:pStyle w:val="ListBullet2"/>
            </w:pPr>
            <w:r w:rsidRPr="00B65F64">
              <w:t>Stamp Duties Act</w:t>
            </w:r>
          </w:p>
          <w:p w:rsidR="00000000" w:rsidRPr="00B65F64" w:rsidP="00B65F64">
            <w:pPr>
              <w:pStyle w:val="ListBullet2"/>
            </w:pPr>
            <w:r w:rsidRPr="00B65F64">
              <w:t>Taxation Assessment Act</w:t>
            </w:r>
          </w:p>
          <w:p w:rsidR="00000000" w:rsidP="00B65F64">
            <w:pPr>
              <w:pStyle w:val="ListBullet2"/>
              <w:rPr>
                <w:lang w:val="en-NZ"/>
              </w:rPr>
            </w:pPr>
            <w:r w:rsidRPr="00B65F64">
              <w:t>Bi</w:t>
            </w:r>
            <w:r w:rsidRPr="00B65F64">
              <w:t>lls of Exchange Act.</w:t>
            </w:r>
          </w:p>
        </w:tc>
      </w:tr>
      <w:tr w:rsidTr="000E5E72">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BoldandItalics"/>
              </w:rPr>
              <w:t>Spreadsheets</w:t>
            </w:r>
            <w:r w:rsidRPr="00B65F64">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ListBullet"/>
            </w:pPr>
            <w:r w:rsidRPr="00B65F64">
              <w:t>those prepared in relation to a range of capital expenditure items such as:</w:t>
            </w:r>
          </w:p>
          <w:p w:rsidR="00000000" w:rsidRPr="00B65F64" w:rsidP="00B65F64">
            <w:pPr>
              <w:pStyle w:val="ListBullet2"/>
            </w:pPr>
            <w:r w:rsidRPr="00B65F64">
              <w:t>Fringe Benefits Tax (FBT)</w:t>
            </w:r>
          </w:p>
          <w:p w:rsidR="00000000" w:rsidRPr="00B65F64" w:rsidP="00B65F64">
            <w:pPr>
              <w:pStyle w:val="ListBullet2"/>
            </w:pPr>
            <w:r w:rsidRPr="00B65F64">
              <w:t>salary sacrifice</w:t>
            </w:r>
          </w:p>
          <w:p w:rsidR="00000000" w:rsidRPr="00B65F64" w:rsidP="00B65F64">
            <w:pPr>
              <w:pStyle w:val="ListBullet2"/>
            </w:pPr>
            <w:r w:rsidRPr="00B65F64">
              <w:t>total purchases and disposals for a period.</w:t>
            </w:r>
          </w:p>
        </w:tc>
      </w:tr>
    </w:tbl>
    <w:p w:rsidR="000E5E72" w:rsidP="00B65F64">
      <w:pPr>
        <w:pStyle w:val="BodyText"/>
      </w:pPr>
    </w:p>
    <w:p w:rsidR="000E5E72" w:rsidP="00B65F64">
      <w:pPr>
        <w:pStyle w:val="BodyText"/>
      </w:pPr>
    </w:p>
    <w:p w:rsidR="00000000" w:rsidRPr="00B65F64" w:rsidP="00B65F64">
      <w:pPr>
        <w:pStyle w:val="Heading1"/>
      </w:pPr>
      <w:bookmarkStart w:id="12" w:name="O_79826"/>
      <w:bookmarkEnd w:id="12"/>
      <w:r w:rsidRPr="00B65F64">
        <w:t>Unit Sector(s)</w:t>
      </w:r>
    </w:p>
    <w:tbl>
      <w:tblPr>
        <w:tblW w:w="0" w:type="auto"/>
        <w:tblLayout w:type="fixed"/>
        <w:tblCellMar>
          <w:left w:w="62" w:type="dxa"/>
          <w:right w:w="62" w:type="dxa"/>
        </w:tblCellMar>
        <w:tblLook w:val="0000"/>
      </w:tblPr>
      <w:tblGrid>
        <w:gridCol w:w="2577"/>
        <w:gridCol w:w="5945"/>
      </w:tblGrid>
      <w:tr w:rsidTr="000E5E72">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r w:rsidRPr="00B65F64">
              <w:t>Organisational skills</w:t>
            </w: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13" w:name="O_156537"/>
      <w:bookmarkEnd w:id="13"/>
      <w:r w:rsidRPr="00B65F64">
        <w:t>Competency field</w:t>
      </w:r>
    </w:p>
    <w:tbl>
      <w:tblPr>
        <w:tblW w:w="0" w:type="auto"/>
        <w:tblLayout w:type="fixed"/>
        <w:tblCellMar>
          <w:left w:w="62" w:type="dxa"/>
          <w:right w:w="62" w:type="dxa"/>
        </w:tblCellMar>
        <w:tblLook w:val="0000"/>
      </w:tblPr>
      <w:tblGrid>
        <w:gridCol w:w="2754"/>
        <w:gridCol w:w="5768"/>
      </w:tblGrid>
      <w:tr w:rsidTr="000E5E7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p>
        </w:tc>
      </w:tr>
    </w:tbl>
    <w:p w:rsidR="00000000" w:rsidRPr="00B65F64" w:rsidP="00B65F64">
      <w:pPr>
        <w:pStyle w:val="BodyText"/>
      </w:pPr>
    </w:p>
    <w:p w:rsidR="00000000" w:rsidRPr="00B65F64" w:rsidP="00B65F64">
      <w:pPr>
        <w:pStyle w:val="AllowPageBreak"/>
      </w:pPr>
    </w:p>
    <w:p w:rsidR="00000000" w:rsidRPr="00B65F64" w:rsidP="00B65F64">
      <w:pPr>
        <w:pStyle w:val="Heading1"/>
      </w:pPr>
      <w:bookmarkStart w:id="14" w:name="O_156536"/>
      <w:bookmarkEnd w:id="14"/>
      <w:r w:rsidRPr="00B65F64">
        <w:t>Co-requisite units</w:t>
      </w:r>
    </w:p>
    <w:tbl>
      <w:tblPr>
        <w:tblW w:w="0" w:type="auto"/>
        <w:tblLayout w:type="fixed"/>
        <w:tblCellMar>
          <w:left w:w="62" w:type="dxa"/>
          <w:right w:w="62" w:type="dxa"/>
        </w:tblCellMar>
        <w:tblLook w:val="0000"/>
      </w:tblPr>
      <w:tblGrid>
        <w:gridCol w:w="2629"/>
        <w:gridCol w:w="1324"/>
        <w:gridCol w:w="4569"/>
      </w:tblGrid>
      <w:tr w:rsidTr="000E5E7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r w:rsidRPr="00B65F6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F64">
            <w:pPr>
              <w:pStyle w:val="BodyText"/>
              <w:rPr>
                <w:lang w:val="en-NZ"/>
              </w:rPr>
            </w:pPr>
          </w:p>
        </w:tc>
      </w:tr>
      <w:tr w:rsidTr="000E5E7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F64" w:rsidP="00B65F64">
            <w:pPr>
              <w:pStyle w:val="BodyText"/>
            </w:pPr>
          </w:p>
        </w:tc>
      </w:tr>
    </w:tbl>
    <w:p w:rsidR="00000000" w:rsidRPr="00B65F64" w:rsidP="00B65F64">
      <w:pPr>
        <w:pStyle w:val="BodyText"/>
      </w:pPr>
    </w:p>
    <w:p w:rsidR="00000000" w:rsidRPr="00B65F64" w:rsidP="00B65F64"/>
    <w:sectPr w:rsidSect="00B65F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E72" w:rsidP="000E5E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E72" w:rsidP="00B65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5E72" w:rsidP="00B65F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5E72" w:rsidP="00B65F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E72" w:rsidP="000E5E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E72" w:rsidP="00B65F64">
    <w:pPr>
      <w:pStyle w:val="Header"/>
      <w:framePr w:wrap="around"/>
    </w:pPr>
    <w:r>
      <w:fldChar w:fldCharType="begin"/>
    </w:r>
    <w:r>
      <w:instrText xml:space="preserve"> TITLE   \* MERGEFORMAT </w:instrText>
    </w:r>
    <w:r>
      <w:fldChar w:fldCharType="separate"/>
    </w:r>
    <w:r>
      <w:t>FNSORG301A Administer fixed asset register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5E72" w:rsidP="00B65F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67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62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E6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F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F64"/>
    <w:pPr>
      <w:spacing w:before="360" w:after="60"/>
      <w:outlineLvl w:val="0"/>
    </w:pPr>
    <w:rPr>
      <w:sz w:val="32"/>
    </w:rPr>
  </w:style>
  <w:style w:type="paragraph" w:styleId="Heading2">
    <w:name w:val="heading 2"/>
    <w:basedOn w:val="HeadingBase"/>
    <w:next w:val="BodyText"/>
    <w:link w:val="Heading2Char"/>
    <w:qFormat/>
    <w:rsid w:val="00B65F64"/>
    <w:pPr>
      <w:keepLines/>
      <w:spacing w:before="240" w:after="120"/>
      <w:outlineLvl w:val="1"/>
    </w:pPr>
    <w:rPr>
      <w:sz w:val="28"/>
      <w:szCs w:val="40"/>
    </w:rPr>
  </w:style>
  <w:style w:type="paragraph" w:styleId="Heading3">
    <w:name w:val="heading 3"/>
    <w:basedOn w:val="HeadingBase"/>
    <w:next w:val="BodyText"/>
    <w:link w:val="Heading3Char"/>
    <w:qFormat/>
    <w:rsid w:val="00B65F64"/>
    <w:pPr>
      <w:spacing w:before="180" w:after="120"/>
      <w:outlineLvl w:val="2"/>
    </w:pPr>
    <w:rPr>
      <w:spacing w:val="-10"/>
      <w:kern w:val="32"/>
    </w:rPr>
  </w:style>
  <w:style w:type="paragraph" w:styleId="Heading4">
    <w:name w:val="heading 4"/>
    <w:basedOn w:val="HeadingBase"/>
    <w:next w:val="BodyText"/>
    <w:link w:val="Heading4Char"/>
    <w:qFormat/>
    <w:rsid w:val="00B65F64"/>
    <w:pPr>
      <w:spacing w:before="160" w:after="120"/>
      <w:outlineLvl w:val="3"/>
    </w:pPr>
    <w:rPr>
      <w:sz w:val="22"/>
    </w:rPr>
  </w:style>
  <w:style w:type="paragraph" w:styleId="Heading5">
    <w:name w:val="heading 5"/>
    <w:basedOn w:val="HeadingBase"/>
    <w:next w:val="Normal"/>
    <w:link w:val="Heading5Char"/>
    <w:qFormat/>
    <w:rsid w:val="00B65F64"/>
    <w:pPr>
      <w:spacing w:before="80"/>
      <w:outlineLvl w:val="4"/>
    </w:pPr>
    <w:rPr>
      <w:color w:val="918585"/>
      <w:sz w:val="20"/>
    </w:rPr>
  </w:style>
  <w:style w:type="paragraph" w:styleId="Heading6">
    <w:name w:val="heading 6"/>
    <w:basedOn w:val="HeadingBase"/>
    <w:next w:val="Normal"/>
    <w:link w:val="Heading6Char"/>
    <w:qFormat/>
    <w:rsid w:val="00B65F64"/>
    <w:pPr>
      <w:spacing w:before="60"/>
      <w:outlineLvl w:val="5"/>
    </w:pPr>
    <w:rPr>
      <w:color w:val="918585"/>
      <w:sz w:val="20"/>
    </w:rPr>
  </w:style>
  <w:style w:type="paragraph" w:styleId="Heading7">
    <w:name w:val="heading 7"/>
    <w:basedOn w:val="Normal"/>
    <w:next w:val="Normal"/>
    <w:link w:val="Heading7Char"/>
    <w:qFormat/>
    <w:rsid w:val="00B65F64"/>
    <w:pPr>
      <w:ind w:left="720"/>
      <w:outlineLvl w:val="6"/>
    </w:pPr>
    <w:rPr>
      <w:i/>
    </w:rPr>
  </w:style>
  <w:style w:type="paragraph" w:styleId="Heading8">
    <w:name w:val="heading 8"/>
    <w:basedOn w:val="Normal"/>
    <w:next w:val="Normal"/>
    <w:link w:val="Heading8Char"/>
    <w:qFormat/>
    <w:rsid w:val="00B65F64"/>
    <w:pPr>
      <w:ind w:left="720"/>
      <w:outlineLvl w:val="7"/>
    </w:pPr>
    <w:rPr>
      <w:i/>
    </w:rPr>
  </w:style>
  <w:style w:type="paragraph" w:styleId="Heading9">
    <w:name w:val="heading 9"/>
    <w:basedOn w:val="Normal"/>
    <w:next w:val="Normal"/>
    <w:link w:val="Heading9Char"/>
    <w:qFormat/>
    <w:rsid w:val="00B65F64"/>
    <w:pPr>
      <w:ind w:left="720"/>
      <w:outlineLvl w:val="8"/>
    </w:pPr>
    <w:rPr>
      <w:i/>
    </w:rPr>
  </w:style>
  <w:style w:type="character" w:default="1" w:styleId="DefaultParagraphFont">
    <w:name w:val="Default Paragraph Font"/>
    <w:uiPriority w:val="1"/>
    <w:unhideWhenUsed/>
    <w:rsid w:val="00B65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F64"/>
  </w:style>
  <w:style w:type="character" w:customStyle="1" w:styleId="Heading1Char">
    <w:name w:val="Heading 1 Char"/>
    <w:basedOn w:val="DefaultParagraphFont"/>
    <w:link w:val="Heading1"/>
    <w:rsid w:val="00B65F64"/>
    <w:rPr>
      <w:rFonts w:ascii="Times New Roman" w:eastAsia="Times New Roman" w:hAnsi="Times New Roman" w:cs="Times New Roman"/>
      <w:b/>
      <w:sz w:val="32"/>
      <w:szCs w:val="20"/>
      <w:lang w:eastAsia="en-US"/>
    </w:rPr>
  </w:style>
  <w:style w:type="paragraph" w:styleId="BodyText">
    <w:name w:val="Body Text"/>
    <w:basedOn w:val="Normal"/>
    <w:link w:val="BodyTextChar"/>
    <w:rsid w:val="00B65F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F64"/>
    <w:rPr>
      <w:rFonts w:ascii="Times New Roman" w:eastAsia="Times New Roman" w:hAnsi="Times New Roman" w:cs="Times New Roman"/>
      <w:sz w:val="24"/>
      <w:lang w:val="en-US" w:eastAsia="en-US"/>
    </w:rPr>
  </w:style>
  <w:style w:type="paragraph" w:styleId="Footer">
    <w:name w:val="footer"/>
    <w:basedOn w:val="Normal"/>
    <w:link w:val="FooterChar"/>
    <w:rsid w:val="00B65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F64"/>
    <w:rPr>
      <w:rFonts w:ascii="Times New Roman" w:eastAsia="Times New Roman" w:hAnsi="Times New Roman" w:cs="Times New Roman"/>
      <w:sz w:val="16"/>
      <w:lang w:val="en-US" w:eastAsia="en-US"/>
    </w:rPr>
  </w:style>
  <w:style w:type="paragraph" w:styleId="List">
    <w:name w:val="List"/>
    <w:basedOn w:val="BodyText"/>
    <w:next w:val="BodyText"/>
    <w:rsid w:val="00B65F64"/>
    <w:pPr>
      <w:tabs>
        <w:tab w:val="left" w:pos="340"/>
      </w:tabs>
      <w:spacing w:before="60" w:after="60"/>
      <w:ind w:left="340" w:hanging="340"/>
    </w:pPr>
  </w:style>
  <w:style w:type="paragraph" w:styleId="ListBullet">
    <w:name w:val="List Bullet"/>
    <w:basedOn w:val="List"/>
    <w:rsid w:val="00B65F64"/>
    <w:pPr>
      <w:numPr>
        <w:numId w:val="13"/>
      </w:numPr>
      <w:tabs>
        <w:tab w:val="clear" w:pos="340"/>
      </w:tabs>
      <w:spacing w:before="40" w:after="40"/>
    </w:pPr>
  </w:style>
  <w:style w:type="character" w:customStyle="1" w:styleId="SpecialBold">
    <w:name w:val="Special Bold"/>
    <w:basedOn w:val="DefaultParagraphFont"/>
    <w:rsid w:val="00B65F64"/>
    <w:rPr>
      <w:b/>
      <w:spacing w:val="0"/>
    </w:rPr>
  </w:style>
  <w:style w:type="paragraph" w:styleId="ListBullet2">
    <w:name w:val="List Bullet 2"/>
    <w:basedOn w:val="List2"/>
    <w:rsid w:val="00B65F64"/>
    <w:pPr>
      <w:numPr>
        <w:numId w:val="14"/>
      </w:numPr>
      <w:tabs>
        <w:tab w:val="clear" w:pos="680"/>
      </w:tabs>
    </w:pPr>
  </w:style>
  <w:style w:type="paragraph" w:styleId="Header">
    <w:name w:val="header"/>
    <w:basedOn w:val="Normal"/>
    <w:link w:val="HeaderChar"/>
    <w:rsid w:val="00B65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F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F64"/>
    <w:pPr>
      <w:spacing w:before="240" w:after="120"/>
      <w:outlineLvl w:val="0"/>
    </w:pPr>
    <w:rPr>
      <w:rFonts w:ascii="Times New Roman" w:hAnsi="Times New Roman"/>
      <w:b/>
      <w:sz w:val="28"/>
    </w:rPr>
  </w:style>
  <w:style w:type="paragraph" w:customStyle="1" w:styleId="AllowPageBreak">
    <w:name w:val="AllowPageBreak"/>
    <w:rsid w:val="00B65F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F64"/>
    <w:pPr>
      <w:tabs>
        <w:tab w:val="left" w:pos="680"/>
      </w:tabs>
      <w:spacing w:before="60" w:after="60"/>
      <w:ind w:left="680" w:hanging="340"/>
    </w:pPr>
  </w:style>
  <w:style w:type="character" w:customStyle="1" w:styleId="BoldandItalics">
    <w:name w:val="Bold and Italics"/>
    <w:qFormat/>
    <w:rsid w:val="00B65F64"/>
    <w:rPr>
      <w:b/>
      <w:i/>
      <w:u w:val="none"/>
    </w:rPr>
  </w:style>
  <w:style w:type="character" w:customStyle="1" w:styleId="Heading2Char">
    <w:name w:val="Heading 2 Char"/>
    <w:basedOn w:val="DefaultParagraphFont"/>
    <w:link w:val="Heading2"/>
    <w:rsid w:val="00B65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F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F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F64"/>
    <w:rPr>
      <w:rFonts w:ascii="Courier New" w:eastAsia="Times New Roman" w:hAnsi="Courier New" w:cs="Times New Roman"/>
      <w:i/>
      <w:szCs w:val="20"/>
      <w:lang w:val="en-US" w:eastAsia="en-US"/>
    </w:rPr>
  </w:style>
  <w:style w:type="paragraph" w:customStyle="1" w:styleId="HeadingBase">
    <w:name w:val="Heading Base"/>
    <w:rsid w:val="00B65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F64"/>
    <w:pPr>
      <w:tabs>
        <w:tab w:val="right" w:leader="dot" w:pos="9072"/>
      </w:tabs>
      <w:ind w:left="567"/>
    </w:pPr>
    <w:rPr>
      <w:szCs w:val="22"/>
    </w:rPr>
  </w:style>
  <w:style w:type="paragraph" w:customStyle="1" w:styleId="TOCBase">
    <w:name w:val="TOC Base"/>
    <w:rsid w:val="00B65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F64"/>
    <w:pPr>
      <w:tabs>
        <w:tab w:val="right" w:leader="dot" w:pos="9072"/>
      </w:tabs>
      <w:spacing w:before="40" w:after="40"/>
      <w:ind w:left="284"/>
    </w:pPr>
    <w:rPr>
      <w:rFonts w:ascii="Times New Roman" w:hAnsi="Times New Roman"/>
    </w:rPr>
  </w:style>
  <w:style w:type="paragraph" w:styleId="TOC1">
    <w:name w:val="toc 1"/>
    <w:basedOn w:val="TOCBase"/>
    <w:next w:val="Normal"/>
    <w:rsid w:val="00B65F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F64"/>
    <w:pPr>
      <w:spacing w:before="5040"/>
      <w:jc w:val="center"/>
    </w:pPr>
    <w:rPr>
      <w:sz w:val="48"/>
      <w:szCs w:val="72"/>
      <w:lang w:val="en-US"/>
    </w:rPr>
  </w:style>
  <w:style w:type="character" w:customStyle="1" w:styleId="TitleChar">
    <w:name w:val="Title Char"/>
    <w:basedOn w:val="DefaultParagraphFont"/>
    <w:link w:val="Title"/>
    <w:rsid w:val="00B65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F64"/>
    <w:pPr>
      <w:tabs>
        <w:tab w:val="left" w:pos="3600"/>
        <w:tab w:val="left" w:pos="3958"/>
      </w:tabs>
    </w:pPr>
  </w:style>
  <w:style w:type="paragraph" w:customStyle="1" w:styleId="Note">
    <w:name w:val="Note"/>
    <w:basedOn w:val="BodyText"/>
    <w:rsid w:val="00B65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F64"/>
    <w:pPr>
      <w:framePr w:wrap="auto" w:hAnchor="text" w:y="6049"/>
    </w:pPr>
    <w:rPr>
      <w:color w:val="000000"/>
      <w:sz w:val="40"/>
    </w:rPr>
  </w:style>
  <w:style w:type="paragraph" w:customStyle="1" w:styleId="TOCTitle">
    <w:name w:val="TOCTitle"/>
    <w:basedOn w:val="Heading1"/>
    <w:rsid w:val="00B65F64"/>
    <w:pPr>
      <w:spacing w:after="240"/>
      <w:jc w:val="center"/>
      <w:outlineLvl w:val="9"/>
    </w:pPr>
    <w:rPr>
      <w:caps/>
    </w:rPr>
  </w:style>
  <w:style w:type="paragraph" w:customStyle="1" w:styleId="Version">
    <w:name w:val="Version"/>
    <w:rsid w:val="00B65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F64"/>
    <w:pPr>
      <w:keepNext w:val="0"/>
      <w:tabs>
        <w:tab w:val="right" w:pos="4176"/>
      </w:tabs>
      <w:ind w:left="198" w:hanging="198"/>
    </w:pPr>
    <w:rPr>
      <w:rFonts w:ascii="Garamond" w:hAnsi="Garamond"/>
    </w:rPr>
  </w:style>
  <w:style w:type="paragraph" w:styleId="IndexHeading">
    <w:name w:val="index heading"/>
    <w:basedOn w:val="Normal"/>
    <w:next w:val="Index1"/>
    <w:semiHidden/>
    <w:rsid w:val="00B65F64"/>
    <w:pPr>
      <w:spacing w:before="120" w:after="120"/>
    </w:pPr>
    <w:rPr>
      <w:rFonts w:ascii="Arial" w:hAnsi="Arial"/>
      <w:b/>
      <w:color w:val="918585"/>
      <w:sz w:val="24"/>
    </w:rPr>
  </w:style>
  <w:style w:type="paragraph" w:customStyle="1" w:styleId="Chapter">
    <w:name w:val="Chapter"/>
    <w:basedOn w:val="Normal"/>
    <w:rsid w:val="00B65F64"/>
    <w:pPr>
      <w:spacing w:before="240"/>
    </w:pPr>
    <w:rPr>
      <w:rFonts w:ascii="Times New Roman" w:hAnsi="Times New Roman"/>
      <w:smallCaps/>
      <w:spacing w:val="80"/>
      <w:sz w:val="28"/>
    </w:rPr>
  </w:style>
  <w:style w:type="paragraph" w:customStyle="1" w:styleId="InChapter">
    <w:name w:val="InChapter"/>
    <w:basedOn w:val="Heading3"/>
    <w:rsid w:val="00B65F64"/>
    <w:pPr>
      <w:spacing w:after="240"/>
      <w:outlineLvl w:val="9"/>
    </w:pPr>
    <w:rPr>
      <w:noProof/>
    </w:rPr>
  </w:style>
  <w:style w:type="paragraph" w:styleId="Index2">
    <w:name w:val="index 2"/>
    <w:basedOn w:val="Normal"/>
    <w:next w:val="Normal"/>
    <w:semiHidden/>
    <w:rsid w:val="00B65F64"/>
    <w:pPr>
      <w:tabs>
        <w:tab w:val="right" w:pos="4176"/>
      </w:tabs>
      <w:ind w:left="568" w:hanging="284"/>
    </w:pPr>
    <w:rPr>
      <w:rFonts w:ascii="Garamond" w:hAnsi="Garamond"/>
    </w:rPr>
  </w:style>
  <w:style w:type="paragraph" w:customStyle="1" w:styleId="Byline">
    <w:name w:val="Byline"/>
    <w:rsid w:val="00B65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F64"/>
    <w:pPr>
      <w:tabs>
        <w:tab w:val="clear" w:pos="3600"/>
        <w:tab w:val="clear" w:pos="3958"/>
      </w:tabs>
      <w:jc w:val="right"/>
    </w:pPr>
  </w:style>
  <w:style w:type="character" w:styleId="Emphasis">
    <w:name w:val="Emphasis"/>
    <w:basedOn w:val="DefaultParagraphFont"/>
    <w:qFormat/>
    <w:rsid w:val="00B65F64"/>
    <w:rPr>
      <w:i/>
    </w:rPr>
  </w:style>
  <w:style w:type="paragraph" w:styleId="Caption">
    <w:name w:val="caption"/>
    <w:basedOn w:val="BodyText"/>
    <w:next w:val="Normal"/>
    <w:qFormat/>
    <w:rsid w:val="00B65F64"/>
    <w:pPr>
      <w:framePr w:w="2268" w:hSpace="181" w:vSpace="181" w:wrap="around" w:vAnchor="text" w:hAnchor="page" w:x="1135" w:y="285" w:anchorLock="1"/>
    </w:pPr>
    <w:rPr>
      <w:i/>
    </w:rPr>
  </w:style>
  <w:style w:type="paragraph" w:customStyle="1" w:styleId="MiniTOCTitle">
    <w:name w:val="MiniTOCTitle"/>
    <w:basedOn w:val="Heading4"/>
    <w:rsid w:val="00B65F64"/>
    <w:pPr>
      <w:spacing w:before="240"/>
      <w:outlineLvl w:val="9"/>
    </w:pPr>
    <w:rPr>
      <w:noProof/>
      <w:sz w:val="24"/>
    </w:rPr>
  </w:style>
  <w:style w:type="paragraph" w:customStyle="1" w:styleId="MiniTOCItem">
    <w:name w:val="MiniTOCItem"/>
    <w:basedOn w:val="ListBullet"/>
    <w:rsid w:val="00B65F64"/>
    <w:pPr>
      <w:numPr>
        <w:numId w:val="0"/>
      </w:numPr>
      <w:tabs>
        <w:tab w:val="right" w:leader="dot" w:pos="6521"/>
      </w:tabs>
      <w:spacing w:before="0" w:after="0"/>
    </w:pPr>
  </w:style>
  <w:style w:type="paragraph" w:customStyle="1" w:styleId="TOFTitle">
    <w:name w:val="TOFTitle"/>
    <w:basedOn w:val="TOCTitle"/>
    <w:rsid w:val="00B65F64"/>
  </w:style>
  <w:style w:type="paragraph" w:styleId="TableofFigures">
    <w:name w:val="table of figures"/>
    <w:basedOn w:val="Normal"/>
    <w:next w:val="Normal"/>
    <w:semiHidden/>
    <w:rsid w:val="00B65F64"/>
    <w:pPr>
      <w:tabs>
        <w:tab w:val="right" w:leader="dot" w:pos="9072"/>
      </w:tabs>
      <w:ind w:left="970" w:hanging="403"/>
    </w:pPr>
    <w:rPr>
      <w:rFonts w:ascii="Times New Roman" w:hAnsi="Times New Roman"/>
      <w:b/>
    </w:rPr>
  </w:style>
  <w:style w:type="paragraph" w:styleId="ListNumber">
    <w:name w:val="List Number"/>
    <w:basedOn w:val="List"/>
    <w:rsid w:val="00B65F64"/>
    <w:pPr>
      <w:numPr>
        <w:numId w:val="11"/>
      </w:numPr>
    </w:pPr>
  </w:style>
  <w:style w:type="character" w:customStyle="1" w:styleId="WingdingSymbols">
    <w:name w:val="Wingding Symbols"/>
    <w:rsid w:val="00B65F64"/>
    <w:rPr>
      <w:rFonts w:ascii="Wingdings" w:hAnsi="Wingdings"/>
    </w:rPr>
  </w:style>
  <w:style w:type="paragraph" w:customStyle="1" w:styleId="TableHeading">
    <w:name w:val="Table Heading"/>
    <w:basedOn w:val="HeadingBase"/>
    <w:rsid w:val="00B65F64"/>
    <w:pPr>
      <w:keepLines/>
      <w:pBdr>
        <w:bottom w:val="single" w:sz="6" w:space="1" w:color="918585"/>
      </w:pBdr>
      <w:spacing w:before="240"/>
    </w:pPr>
  </w:style>
  <w:style w:type="character" w:customStyle="1" w:styleId="HotSpot">
    <w:name w:val="HotSpot"/>
    <w:rsid w:val="00B65F64"/>
    <w:rPr>
      <w:color w:val="0033CC"/>
      <w:u w:val="none"/>
    </w:rPr>
  </w:style>
  <w:style w:type="paragraph" w:customStyle="1" w:styleId="BodyTextRight">
    <w:name w:val="Body Text Right"/>
    <w:basedOn w:val="BodyText"/>
    <w:rsid w:val="00B65F64"/>
    <w:pPr>
      <w:spacing w:before="0" w:after="0"/>
      <w:jc w:val="right"/>
    </w:pPr>
  </w:style>
  <w:style w:type="paragraph" w:styleId="Index3">
    <w:name w:val="index 3"/>
    <w:basedOn w:val="ListNumber2"/>
    <w:next w:val="Normal"/>
    <w:semiHidden/>
    <w:rsid w:val="00B65F64"/>
    <w:pPr>
      <w:numPr>
        <w:numId w:val="0"/>
      </w:numPr>
      <w:tabs>
        <w:tab w:val="right" w:leader="dot" w:pos="4176"/>
      </w:tabs>
    </w:pPr>
  </w:style>
  <w:style w:type="paragraph" w:styleId="ListNumber2">
    <w:name w:val="List Number 2"/>
    <w:basedOn w:val="List2"/>
    <w:rsid w:val="00B65F64"/>
    <w:pPr>
      <w:numPr>
        <w:numId w:val="10"/>
      </w:numPr>
      <w:tabs>
        <w:tab w:val="clear" w:pos="1060"/>
      </w:tabs>
    </w:pPr>
  </w:style>
  <w:style w:type="paragraph" w:customStyle="1" w:styleId="MarginNote">
    <w:name w:val="Margin Note"/>
    <w:basedOn w:val="BodyText"/>
    <w:rsid w:val="00B65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F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F64"/>
    <w:rPr>
      <w:sz w:val="32"/>
    </w:rPr>
  </w:style>
  <w:style w:type="paragraph" w:customStyle="1" w:styleId="HeadingProcedure">
    <w:name w:val="Heading Procedure"/>
    <w:basedOn w:val="HeadingBase"/>
    <w:next w:val="Normal"/>
    <w:rsid w:val="00B65F64"/>
    <w:pPr>
      <w:tabs>
        <w:tab w:val="left" w:pos="0"/>
      </w:tabs>
      <w:spacing w:before="120" w:after="60"/>
    </w:pPr>
    <w:rPr>
      <w:i/>
      <w:color w:val="918585"/>
      <w:sz w:val="22"/>
    </w:rPr>
  </w:style>
  <w:style w:type="paragraph" w:customStyle="1" w:styleId="TableBodyText">
    <w:name w:val="Table Body Text"/>
    <w:basedOn w:val="BodyText"/>
    <w:rsid w:val="00B65F64"/>
    <w:pPr>
      <w:spacing w:before="60" w:after="60"/>
    </w:pPr>
  </w:style>
  <w:style w:type="paragraph" w:styleId="ListContinue">
    <w:name w:val="List Continue"/>
    <w:basedOn w:val="List"/>
    <w:rsid w:val="00B65F64"/>
    <w:pPr>
      <w:ind w:firstLine="0"/>
    </w:pPr>
  </w:style>
  <w:style w:type="paragraph" w:customStyle="1" w:styleId="ListNote">
    <w:name w:val="List Note"/>
    <w:basedOn w:val="List"/>
    <w:rsid w:val="00B65F64"/>
    <w:pPr>
      <w:pBdr>
        <w:top w:val="single" w:sz="6" w:space="2" w:color="918585"/>
        <w:bottom w:val="single" w:sz="6" w:space="2" w:color="918585"/>
      </w:pBdr>
      <w:tabs>
        <w:tab w:val="left" w:pos="1021"/>
      </w:tabs>
      <w:ind w:firstLine="0"/>
    </w:pPr>
  </w:style>
  <w:style w:type="paragraph" w:customStyle="1" w:styleId="Warning">
    <w:name w:val="Warning"/>
    <w:basedOn w:val="BodyText"/>
    <w:rsid w:val="00B65F64"/>
    <w:pPr>
      <w:shd w:val="clear" w:color="auto" w:fill="D9D9D9"/>
      <w:tabs>
        <w:tab w:val="left" w:pos="992"/>
      </w:tabs>
      <w:ind w:left="119" w:right="119"/>
    </w:pPr>
    <w:rPr>
      <w:sz w:val="20"/>
    </w:rPr>
  </w:style>
  <w:style w:type="paragraph" w:customStyle="1" w:styleId="MarginIcons">
    <w:name w:val="Margin Icons"/>
    <w:basedOn w:val="BodyText"/>
    <w:rsid w:val="00B65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F64"/>
    <w:rPr>
      <w:rFonts w:ascii="Courier New" w:hAnsi="Courier New"/>
    </w:rPr>
  </w:style>
  <w:style w:type="paragraph" w:customStyle="1" w:styleId="NoteBullet">
    <w:name w:val="Note Bullet"/>
    <w:basedOn w:val="Note"/>
    <w:rsid w:val="00B65F64"/>
    <w:pPr>
      <w:tabs>
        <w:tab w:val="clear" w:pos="680"/>
      </w:tabs>
      <w:spacing w:before="60" w:after="60"/>
    </w:pPr>
  </w:style>
  <w:style w:type="paragraph" w:customStyle="1" w:styleId="SubHeading2">
    <w:name w:val="SubHeading2"/>
    <w:basedOn w:val="HeadingBase"/>
    <w:rsid w:val="00B65F64"/>
    <w:pPr>
      <w:spacing w:before="240" w:after="60"/>
    </w:pPr>
    <w:rPr>
      <w:sz w:val="20"/>
    </w:rPr>
  </w:style>
  <w:style w:type="paragraph" w:customStyle="1" w:styleId="SubHeading1">
    <w:name w:val="SubHeading1"/>
    <w:basedOn w:val="HeadingBase"/>
    <w:rsid w:val="00B65F64"/>
    <w:pPr>
      <w:spacing w:before="240" w:after="60"/>
    </w:pPr>
    <w:rPr>
      <w:color w:val="918585"/>
      <w:sz w:val="22"/>
    </w:rPr>
  </w:style>
  <w:style w:type="paragraph" w:customStyle="1" w:styleId="SideHeading">
    <w:name w:val="Side Heading"/>
    <w:basedOn w:val="HeadingBase"/>
    <w:rsid w:val="00B65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F64"/>
    <w:pPr>
      <w:numPr>
        <w:numId w:val="12"/>
      </w:numPr>
    </w:pPr>
  </w:style>
  <w:style w:type="paragraph" w:styleId="PlainText">
    <w:name w:val="Plain Text"/>
    <w:basedOn w:val="Normal"/>
    <w:link w:val="PlainTextChar"/>
    <w:rsid w:val="00B65F64"/>
    <w:rPr>
      <w:sz w:val="20"/>
    </w:rPr>
  </w:style>
  <w:style w:type="character" w:customStyle="1" w:styleId="PlainTextChar">
    <w:name w:val="Plain Text Char"/>
    <w:basedOn w:val="DefaultParagraphFont"/>
    <w:link w:val="PlainText"/>
    <w:rsid w:val="00B65F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F64"/>
    <w:rPr>
      <w:b/>
      <w:smallCaps/>
    </w:rPr>
  </w:style>
  <w:style w:type="paragraph" w:customStyle="1" w:styleId="TableListNumber">
    <w:name w:val="Table List Number"/>
    <w:basedOn w:val="ListNumber"/>
    <w:rsid w:val="00B65F64"/>
    <w:pPr>
      <w:numPr>
        <w:numId w:val="0"/>
      </w:numPr>
    </w:pPr>
  </w:style>
  <w:style w:type="paragraph" w:styleId="TOC4">
    <w:name w:val="toc 4"/>
    <w:basedOn w:val="TOCBase"/>
    <w:next w:val="Normal"/>
    <w:semiHidden/>
    <w:rsid w:val="00B65F64"/>
    <w:pPr>
      <w:tabs>
        <w:tab w:val="right" w:leader="dot" w:pos="9071"/>
      </w:tabs>
      <w:ind w:left="1701"/>
    </w:pPr>
  </w:style>
  <w:style w:type="paragraph" w:customStyle="1" w:styleId="ListAlpha">
    <w:name w:val="List Alpha"/>
    <w:basedOn w:val="List"/>
    <w:rsid w:val="00B65F64"/>
    <w:pPr>
      <w:numPr>
        <w:numId w:val="9"/>
      </w:numPr>
    </w:pPr>
  </w:style>
  <w:style w:type="paragraph" w:customStyle="1" w:styleId="ListAlpha2">
    <w:name w:val="List Alpha 2"/>
    <w:basedOn w:val="List2"/>
    <w:rsid w:val="00B65F64"/>
    <w:pPr>
      <w:numPr>
        <w:numId w:val="8"/>
      </w:numPr>
    </w:pPr>
  </w:style>
  <w:style w:type="paragraph" w:styleId="List3">
    <w:name w:val="List 3"/>
    <w:basedOn w:val="BodyText"/>
    <w:rsid w:val="00B65F64"/>
    <w:pPr>
      <w:tabs>
        <w:tab w:val="left" w:pos="1021"/>
      </w:tabs>
      <w:spacing w:before="60" w:after="60"/>
      <w:ind w:left="1020" w:hanging="340"/>
    </w:pPr>
  </w:style>
  <w:style w:type="paragraph" w:styleId="List4">
    <w:name w:val="List 4"/>
    <w:basedOn w:val="BodyText"/>
    <w:rsid w:val="00B65F64"/>
    <w:pPr>
      <w:tabs>
        <w:tab w:val="left" w:pos="1361"/>
      </w:tabs>
      <w:spacing w:before="60" w:after="60"/>
      <w:ind w:left="1361" w:hanging="340"/>
    </w:pPr>
  </w:style>
  <w:style w:type="paragraph" w:styleId="List5">
    <w:name w:val="List 5"/>
    <w:basedOn w:val="BodyText"/>
    <w:rsid w:val="00B65F64"/>
    <w:pPr>
      <w:tabs>
        <w:tab w:val="left" w:pos="1701"/>
      </w:tabs>
      <w:spacing w:before="60" w:after="60"/>
      <w:ind w:left="1701" w:hanging="340"/>
    </w:pPr>
  </w:style>
  <w:style w:type="paragraph" w:styleId="ListBullet3">
    <w:name w:val="List Bullet 3"/>
    <w:basedOn w:val="List3"/>
    <w:rsid w:val="00B65F64"/>
    <w:pPr>
      <w:numPr>
        <w:numId w:val="15"/>
      </w:numPr>
      <w:tabs>
        <w:tab w:val="clear" w:pos="1021"/>
      </w:tabs>
      <w:ind w:left="1037" w:hanging="357"/>
    </w:pPr>
  </w:style>
  <w:style w:type="paragraph" w:styleId="ListBullet4">
    <w:name w:val="List Bullet 4"/>
    <w:basedOn w:val="List4"/>
    <w:rsid w:val="00B65F64"/>
    <w:pPr>
      <w:numPr>
        <w:numId w:val="3"/>
      </w:numPr>
    </w:pPr>
  </w:style>
  <w:style w:type="paragraph" w:styleId="ListBullet5">
    <w:name w:val="List Bullet 5"/>
    <w:basedOn w:val="List5"/>
    <w:rsid w:val="00B65F64"/>
    <w:pPr>
      <w:numPr>
        <w:numId w:val="4"/>
      </w:numPr>
    </w:pPr>
  </w:style>
  <w:style w:type="paragraph" w:styleId="ListContinue2">
    <w:name w:val="List Continue 2"/>
    <w:basedOn w:val="List2"/>
    <w:rsid w:val="00B65F64"/>
    <w:pPr>
      <w:ind w:firstLine="0"/>
    </w:pPr>
  </w:style>
  <w:style w:type="paragraph" w:styleId="ListContinue3">
    <w:name w:val="List Continue 3"/>
    <w:basedOn w:val="List3"/>
    <w:rsid w:val="00B65F64"/>
    <w:pPr>
      <w:ind w:left="1021" w:firstLine="0"/>
    </w:pPr>
  </w:style>
  <w:style w:type="paragraph" w:styleId="ListContinue4">
    <w:name w:val="List Continue 4"/>
    <w:basedOn w:val="List4"/>
    <w:rsid w:val="00B65F64"/>
    <w:pPr>
      <w:ind w:firstLine="0"/>
    </w:pPr>
  </w:style>
  <w:style w:type="paragraph" w:styleId="ListContinue5">
    <w:name w:val="List Continue 5"/>
    <w:basedOn w:val="List5"/>
    <w:rsid w:val="00B65F64"/>
    <w:pPr>
      <w:ind w:firstLine="0"/>
    </w:pPr>
  </w:style>
  <w:style w:type="paragraph" w:styleId="ListNumber3">
    <w:name w:val="List Number 3"/>
    <w:basedOn w:val="List3"/>
    <w:rsid w:val="00B65F64"/>
    <w:pPr>
      <w:numPr>
        <w:numId w:val="5"/>
      </w:numPr>
    </w:pPr>
  </w:style>
  <w:style w:type="paragraph" w:styleId="ListNumber4">
    <w:name w:val="List Number 4"/>
    <w:basedOn w:val="List4"/>
    <w:rsid w:val="00B65F64"/>
    <w:pPr>
      <w:numPr>
        <w:numId w:val="6"/>
      </w:numPr>
    </w:pPr>
  </w:style>
  <w:style w:type="paragraph" w:styleId="ListNumber5">
    <w:name w:val="List Number 5"/>
    <w:basedOn w:val="List5"/>
    <w:rsid w:val="00B65F64"/>
    <w:pPr>
      <w:numPr>
        <w:numId w:val="7"/>
      </w:numPr>
    </w:pPr>
  </w:style>
  <w:style w:type="paragraph" w:styleId="BlockText">
    <w:name w:val="Block Text"/>
    <w:basedOn w:val="Normal"/>
    <w:rsid w:val="00B65F64"/>
    <w:pPr>
      <w:spacing w:after="120"/>
      <w:ind w:left="1440" w:right="1440"/>
    </w:pPr>
  </w:style>
  <w:style w:type="character" w:customStyle="1" w:styleId="Subscript">
    <w:name w:val="Subscript"/>
    <w:basedOn w:val="DefaultParagraphFont"/>
    <w:rsid w:val="00B65F64"/>
    <w:rPr>
      <w:sz w:val="16"/>
      <w:vertAlign w:val="subscript"/>
    </w:rPr>
  </w:style>
  <w:style w:type="character" w:customStyle="1" w:styleId="Superscript">
    <w:name w:val="Superscript"/>
    <w:basedOn w:val="DefaultParagraphFont"/>
    <w:rsid w:val="00B65F64"/>
    <w:rPr>
      <w:sz w:val="16"/>
      <w:vertAlign w:val="superscript"/>
    </w:rPr>
  </w:style>
  <w:style w:type="character" w:customStyle="1" w:styleId="Symbols">
    <w:name w:val="Symbols"/>
    <w:basedOn w:val="DefaultParagraphFont"/>
    <w:rsid w:val="00B65F64"/>
    <w:rPr>
      <w:rFonts w:ascii="Symbol" w:hAnsi="Symbol"/>
    </w:rPr>
  </w:style>
  <w:style w:type="character" w:customStyle="1" w:styleId="MenuOptions">
    <w:name w:val="Menu Options"/>
    <w:basedOn w:val="DefaultParagraphFont"/>
    <w:rsid w:val="00B65F64"/>
    <w:rPr>
      <w:rFonts w:ascii="Arial Narrow" w:hAnsi="Arial Narrow"/>
      <w:smallCaps/>
    </w:rPr>
  </w:style>
  <w:style w:type="character" w:customStyle="1" w:styleId="Buttons">
    <w:name w:val="Buttons"/>
    <w:basedOn w:val="DefaultParagraphFont"/>
    <w:rsid w:val="00B65F64"/>
    <w:rPr>
      <w:b/>
    </w:rPr>
  </w:style>
  <w:style w:type="character" w:customStyle="1" w:styleId="Underlined">
    <w:name w:val="Underlined"/>
    <w:basedOn w:val="DefaultParagraphFont"/>
    <w:rsid w:val="00B65F64"/>
    <w:rPr>
      <w:u w:val="single"/>
    </w:rPr>
  </w:style>
  <w:style w:type="paragraph" w:customStyle="1" w:styleId="TableBodyTextRight">
    <w:name w:val="Table Body Text Right"/>
    <w:basedOn w:val="TableBodyText"/>
    <w:rsid w:val="00B65F64"/>
    <w:pPr>
      <w:widowControl w:val="0"/>
      <w:autoSpaceDE w:val="0"/>
      <w:autoSpaceDN w:val="0"/>
      <w:adjustRightInd w:val="0"/>
      <w:jc w:val="right"/>
    </w:pPr>
    <w:rPr>
      <w:rFonts w:cs="Arial"/>
      <w:szCs w:val="18"/>
    </w:rPr>
  </w:style>
  <w:style w:type="paragraph" w:customStyle="1" w:styleId="CopyrightText">
    <w:name w:val="Copyright Text"/>
    <w:basedOn w:val="BodyText"/>
    <w:rsid w:val="00B65F64"/>
    <w:rPr>
      <w:sz w:val="18"/>
    </w:rPr>
  </w:style>
  <w:style w:type="paragraph" w:customStyle="1" w:styleId="BodySmallRight">
    <w:name w:val="Body Small Right"/>
    <w:basedOn w:val="BodyTextRight"/>
    <w:rsid w:val="00B65F64"/>
    <w:rPr>
      <w:sz w:val="18"/>
      <w:szCs w:val="18"/>
    </w:rPr>
  </w:style>
  <w:style w:type="paragraph" w:customStyle="1" w:styleId="MarginEdition">
    <w:name w:val="Margin Edition"/>
    <w:basedOn w:val="MarginNote"/>
    <w:rsid w:val="00B65F64"/>
    <w:pPr>
      <w:spacing w:before="0" w:after="0"/>
    </w:pPr>
    <w:rPr>
      <w:rFonts w:ascii="Times New Roman" w:hAnsi="Times New Roman"/>
      <w:color w:val="999999"/>
    </w:rPr>
  </w:style>
  <w:style w:type="paragraph" w:customStyle="1" w:styleId="Spacer">
    <w:name w:val="Spacer"/>
    <w:basedOn w:val="Normal"/>
    <w:rsid w:val="00B65F64"/>
    <w:rPr>
      <w:sz w:val="2"/>
      <w:szCs w:val="2"/>
    </w:rPr>
  </w:style>
  <w:style w:type="character" w:customStyle="1" w:styleId="Small">
    <w:name w:val="Small"/>
    <w:basedOn w:val="DefaultParagraphFont"/>
    <w:rsid w:val="00B65F64"/>
    <w:rPr>
      <w:sz w:val="16"/>
    </w:rPr>
  </w:style>
  <w:style w:type="paragraph" w:customStyle="1" w:styleId="WideTable">
    <w:name w:val="Wide Table"/>
    <w:basedOn w:val="Normal"/>
    <w:rsid w:val="00B65F64"/>
    <w:pPr>
      <w:ind w:left="-1418"/>
    </w:pPr>
    <w:rPr>
      <w:sz w:val="2"/>
      <w:szCs w:val="2"/>
    </w:rPr>
  </w:style>
  <w:style w:type="character" w:styleId="PageNumber">
    <w:name w:val="page number"/>
    <w:basedOn w:val="DefaultParagraphFont"/>
    <w:rsid w:val="00B65F64"/>
  </w:style>
  <w:style w:type="paragraph" w:styleId="Quote">
    <w:name w:val="Quote"/>
    <w:basedOn w:val="Heading1"/>
    <w:link w:val="QuoteChar"/>
    <w:qFormat/>
    <w:rsid w:val="00B65F64"/>
    <w:rPr>
      <w:b w:val="0"/>
      <w:sz w:val="72"/>
      <w:szCs w:val="72"/>
      <w:lang w:val="en-NZ"/>
    </w:rPr>
  </w:style>
  <w:style w:type="character" w:customStyle="1" w:styleId="QuoteChar">
    <w:name w:val="Quote Char"/>
    <w:basedOn w:val="DefaultParagraphFont"/>
    <w:link w:val="Quote"/>
    <w:rsid w:val="00B65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F64"/>
    <w:pPr>
      <w:pageBreakBefore/>
    </w:pPr>
  </w:style>
  <w:style w:type="paragraph" w:customStyle="1" w:styleId="Border">
    <w:name w:val="Border"/>
    <w:basedOn w:val="Normal"/>
    <w:qFormat/>
    <w:rsid w:val="00B65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F64"/>
    <w:rPr>
      <w:b/>
      <w:bCs/>
      <w:i/>
      <w:iCs/>
      <w:color w:val="auto"/>
    </w:rPr>
  </w:style>
  <w:style w:type="paragraph" w:styleId="IntenseQuote">
    <w:name w:val="Intense Quote"/>
    <w:basedOn w:val="Normal"/>
    <w:next w:val="Normal"/>
    <w:link w:val="IntenseQuoteChar"/>
    <w:uiPriority w:val="30"/>
    <w:qFormat/>
    <w:rsid w:val="00B65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F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F64"/>
    <w:rPr>
      <w:smallCaps/>
      <w:color w:val="auto"/>
      <w:u w:val="single"/>
    </w:rPr>
  </w:style>
  <w:style w:type="character" w:styleId="IntenseReference">
    <w:name w:val="Intense Reference"/>
    <w:basedOn w:val="DefaultParagraphFont"/>
    <w:uiPriority w:val="32"/>
    <w:qFormat/>
    <w:rsid w:val="00B65F64"/>
    <w:rPr>
      <w:b/>
      <w:bCs/>
      <w:smallCaps/>
      <w:color w:val="auto"/>
      <w:spacing w:val="5"/>
      <w:u w:val="single"/>
    </w:rPr>
  </w:style>
  <w:style w:type="paragraph" w:customStyle="1" w:styleId="2ColumnHeading">
    <w:name w:val="2Column Heading"/>
    <w:basedOn w:val="BodyText"/>
    <w:qFormat/>
    <w:rsid w:val="00B65F64"/>
    <w:pPr>
      <w:spacing w:after="60"/>
      <w:ind w:left="-2268"/>
    </w:pPr>
    <w:rPr>
      <w:b/>
    </w:rPr>
  </w:style>
  <w:style w:type="paragraph" w:customStyle="1" w:styleId="Heading1TOC">
    <w:name w:val="Heading1 TOC"/>
    <w:basedOn w:val="Normal"/>
    <w:qFormat/>
    <w:rsid w:val="00B65F64"/>
    <w:pPr>
      <w:spacing w:before="240" w:after="120"/>
    </w:pPr>
    <w:rPr>
      <w:rFonts w:ascii="Times New Roman" w:hAnsi="Times New Roman"/>
      <w:b/>
      <w:sz w:val="32"/>
    </w:rPr>
  </w:style>
  <w:style w:type="paragraph" w:customStyle="1" w:styleId="Heading2TOC">
    <w:name w:val="Heading2 TOC"/>
    <w:basedOn w:val="Normal"/>
    <w:qFormat/>
    <w:rsid w:val="00B65F64"/>
    <w:pPr>
      <w:spacing w:before="240" w:after="60"/>
    </w:pPr>
    <w:rPr>
      <w:rFonts w:ascii="Times New Roman" w:hAnsi="Times New Roman"/>
      <w:b/>
      <w:sz w:val="28"/>
    </w:rPr>
  </w:style>
  <w:style w:type="character" w:customStyle="1" w:styleId="Underline">
    <w:name w:val="Underline"/>
    <w:basedOn w:val="DefaultParagraphFont"/>
    <w:qFormat/>
    <w:rsid w:val="00B65F64"/>
    <w:rPr>
      <w:u w:val="single"/>
    </w:rPr>
  </w:style>
  <w:style w:type="paragraph" w:styleId="BalloonText">
    <w:name w:val="Balloon Text"/>
    <w:basedOn w:val="Normal"/>
    <w:link w:val="BalloonTextChar"/>
    <w:rsid w:val="00B65F64"/>
    <w:rPr>
      <w:rFonts w:ascii="Tahoma" w:hAnsi="Tahoma" w:cs="Tahoma"/>
      <w:sz w:val="16"/>
      <w:szCs w:val="16"/>
    </w:rPr>
  </w:style>
  <w:style w:type="character" w:customStyle="1" w:styleId="BalloonTextChar">
    <w:name w:val="Balloon Text Char"/>
    <w:basedOn w:val="DefaultParagraphFont"/>
    <w:link w:val="BalloonText"/>
    <w:rsid w:val="00B65F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F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F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837</Words>
  <Characters>5344</Characters>
  <Application>Microsoft Office Word</Application>
  <DocSecurity>0</DocSecurity>
  <Lines>215</Lines>
  <Paragraphs>114</Paragraphs>
  <ScaleCrop>false</ScaleCrop>
  <Company>Author-it Software Corporation Ltd.</Company>
  <LinksUpToDate>false</LinksUpToDate>
  <CharactersWithSpaces>6116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FNSORG301A Administer fixed asset register</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2012-05-26T16:27:00Z</dcterms:created>
  <dcterms:modified xsi:type="dcterms:W3CDTF">2012-05-26T16:27:00Z</dcterms:modified>
</cp:coreProperties>
</file>