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45BE" w:rsidP="007D45BE">
      <w:pPr>
        <w:pStyle w:val="Title"/>
      </w:pPr>
      <w:r>
        <w:fldChar w:fldCharType="begin"/>
      </w:r>
      <w:r>
        <w:instrText xml:space="preserve"> TITLE   \* MERGEFORMAT </w:instrText>
      </w:r>
      <w:r>
        <w:fldChar w:fldCharType="separate"/>
      </w:r>
      <w:r>
        <w:t>FNSISV516A Allocate authorities and guidelines for distribution</w:t>
      </w:r>
      <w:r>
        <w:fldChar w:fldCharType="end"/>
      </w:r>
    </w:p>
    <w:p w:rsidR="007D45BE" w:rsidP="007D45BE">
      <w:pPr>
        <w:pStyle w:val="Version"/>
        <w:sectPr w:rsidSect="00AF6D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F6D3C" w:rsidP="00AF6D3C">
      <w:pPr>
        <w:pStyle w:val="SuperHeading"/>
      </w:pPr>
      <w:r w:rsidRPr="00AF6D3C">
        <w:t>FNSISV516A Allocate authorities and guidelines for distribution</w:t>
      </w:r>
    </w:p>
    <w:p w:rsidR="00000000" w:rsidRPr="00AF6D3C" w:rsidP="00AF6D3C">
      <w:pPr>
        <w:pStyle w:val="SuperHeading"/>
      </w:pPr>
    </w:p>
    <w:p w:rsidR="00000000" w:rsidRPr="00AF6D3C" w:rsidP="00AF6D3C">
      <w:pPr>
        <w:pStyle w:val="Heading1"/>
      </w:pPr>
      <w:bookmarkStart w:id="1" w:name="O_79731"/>
      <w:bookmarkEnd w:id="1"/>
      <w:r w:rsidRPr="00AF6D3C">
        <w:t>Modification History</w:t>
      </w:r>
    </w:p>
    <w:p w:rsidR="00000000" w:rsidRPr="00AF6D3C" w:rsidP="00AF6D3C">
      <w:pPr>
        <w:pStyle w:val="BodyText"/>
      </w:pPr>
      <w:r w:rsidRPr="00AF6D3C">
        <w:t>Not applicable.</w:t>
      </w:r>
    </w:p>
    <w:p w:rsidR="00000000" w:rsidRPr="00AF6D3C" w:rsidP="00AF6D3C">
      <w:pPr>
        <w:pStyle w:val="AllowPageBreak"/>
      </w:pPr>
    </w:p>
    <w:p w:rsidR="00000000" w:rsidRPr="00AF6D3C" w:rsidP="00AF6D3C">
      <w:pPr>
        <w:pStyle w:val="Heading1"/>
      </w:pPr>
      <w:bookmarkStart w:id="2" w:name="O_79732"/>
      <w:bookmarkEnd w:id="2"/>
      <w:r w:rsidRPr="00AF6D3C">
        <w:t>Unit Descriptor</w:t>
      </w:r>
    </w:p>
    <w:tbl>
      <w:tblPr>
        <w:tblW w:w="0" w:type="auto"/>
        <w:tblLayout w:type="fixed"/>
        <w:tblCellMar>
          <w:left w:w="62" w:type="dxa"/>
          <w:right w:w="62" w:type="dxa"/>
        </w:tblCellMar>
        <w:tblLook w:val="0000"/>
      </w:tblPr>
      <w:tblGrid>
        <w:gridCol w:w="2640"/>
        <w:gridCol w:w="5882"/>
      </w:tblGrid>
      <w:tr w:rsidTr="007D45BE">
        <w:tblPrEx>
          <w:tblW w:w="0" w:type="auto"/>
          <w:tblLayout w:type="fixed"/>
          <w:tblCellMar>
            <w:left w:w="62" w:type="dxa"/>
            <w:right w:w="62" w:type="dxa"/>
          </w:tblCellMar>
          <w:tblLook w:val="0000"/>
        </w:tblPrEx>
        <w:tc>
          <w:tcPr>
            <w:tcW w:w="26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D3C">
            <w:pPr>
              <w:pStyle w:val="BodyText"/>
              <w:rPr>
                <w:lang w:val="en-NZ"/>
              </w:rPr>
            </w:pPr>
            <w:r w:rsidRPr="00AF6D3C">
              <w:rPr>
                <w:rStyle w:val="SpecialBold"/>
              </w:rPr>
              <w:t>Unit descriptor</w:t>
            </w:r>
          </w:p>
        </w:tc>
        <w:tc>
          <w:tcPr>
            <w:tcW w:w="5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D3C" w:rsidP="00AF6D3C">
            <w:pPr>
              <w:pStyle w:val="BodyText"/>
            </w:pPr>
            <w:r w:rsidRPr="00AF6D3C">
              <w:t xml:space="preserve">This unit describes the performance outcomes, skills and knowledge required to determine </w:t>
            </w:r>
            <w:r w:rsidRPr="00AF6D3C">
              <w:t>and allocate distribution authorities and guidelines. It encompasses application of criteria for selection of distribution authorities, reaching agreement, monitoring performance and evaluating the effectiveness of the agreement.</w:t>
            </w:r>
          </w:p>
          <w:p w:rsidR="00000000" w:rsidRPr="00AF6D3C" w:rsidP="00AF6D3C">
            <w:pPr>
              <w:pStyle w:val="BodyText"/>
            </w:pPr>
          </w:p>
          <w:p w:rsidR="00000000" w:rsidRPr="00AF6D3C" w:rsidP="00AF6D3C">
            <w:pPr>
              <w:pStyle w:val="BodyText"/>
            </w:pPr>
            <w:r w:rsidRPr="00AF6D3C">
              <w:t>This unit is applicable t</w:t>
            </w:r>
            <w:r w:rsidRPr="00AF6D3C">
              <w:t>o individuals working within enterprises and job roles subject to licensing, legislative, regulatory or certification requirements including legislation administered by the Australian Securities and Investments Commission (ASIC).</w:t>
            </w:r>
          </w:p>
        </w:tc>
      </w:tr>
    </w:tbl>
    <w:p w:rsidR="00000000" w:rsidRPr="00AF6D3C" w:rsidP="00AF6D3C">
      <w:pPr>
        <w:pStyle w:val="BodyText"/>
      </w:pPr>
    </w:p>
    <w:p w:rsidR="00000000" w:rsidRPr="00AF6D3C" w:rsidP="00AF6D3C">
      <w:pPr>
        <w:pStyle w:val="AllowPageBreak"/>
      </w:pPr>
    </w:p>
    <w:p w:rsidR="00000000" w:rsidRPr="00AF6D3C" w:rsidP="00AF6D3C">
      <w:pPr>
        <w:pStyle w:val="Heading1"/>
      </w:pPr>
      <w:bookmarkStart w:id="3" w:name="O_79733"/>
      <w:bookmarkEnd w:id="3"/>
      <w:r w:rsidRPr="00AF6D3C">
        <w:t>Application of the Unit</w:t>
      </w:r>
    </w:p>
    <w:tbl>
      <w:tblPr>
        <w:tblW w:w="0" w:type="auto"/>
        <w:tblLayout w:type="fixed"/>
        <w:tblCellMar>
          <w:left w:w="62" w:type="dxa"/>
          <w:right w:w="62" w:type="dxa"/>
        </w:tblCellMar>
        <w:tblLook w:val="0000"/>
      </w:tblPr>
      <w:tblGrid>
        <w:gridCol w:w="2721"/>
        <w:gridCol w:w="5801"/>
      </w:tblGrid>
      <w:tr w:rsidTr="007D45BE">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D3C">
            <w:pPr>
              <w:pStyle w:val="BodyText"/>
              <w:rPr>
                <w:lang w:val="en-NZ"/>
              </w:rPr>
            </w:pPr>
            <w:r w:rsidRPr="00AF6D3C">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D3C" w:rsidP="00AF6D3C">
            <w:pPr>
              <w:pStyle w:val="BodyText"/>
            </w:pPr>
            <w:r w:rsidRPr="00AF6D3C">
              <w:t>This unit applies to job roles involving specialist knowledge and functions in a range of insurance sectors and may be applied within organisations of various sizes and across a range of customer bases.</w:t>
            </w:r>
          </w:p>
        </w:tc>
      </w:tr>
    </w:tbl>
    <w:p w:rsidR="00000000" w:rsidRPr="00AF6D3C" w:rsidP="00AF6D3C">
      <w:pPr>
        <w:pStyle w:val="BodyText"/>
      </w:pPr>
    </w:p>
    <w:p w:rsidR="00000000" w:rsidRPr="00AF6D3C" w:rsidP="00AF6D3C">
      <w:pPr>
        <w:pStyle w:val="AllowPageBreak"/>
      </w:pPr>
    </w:p>
    <w:p w:rsidR="00000000" w:rsidRPr="00AF6D3C" w:rsidP="00AF6D3C">
      <w:pPr>
        <w:pStyle w:val="Heading1"/>
      </w:pPr>
      <w:bookmarkStart w:id="4" w:name="O_79734"/>
      <w:bookmarkEnd w:id="4"/>
      <w:r w:rsidRPr="00AF6D3C">
        <w:t>Licensing/Regulatory Information</w:t>
      </w:r>
    </w:p>
    <w:p w:rsidR="00000000" w:rsidRPr="00AF6D3C" w:rsidP="00AF6D3C">
      <w:pPr>
        <w:pStyle w:val="BodyText"/>
      </w:pPr>
      <w:r w:rsidRPr="00AF6D3C">
        <w:t>Not applicable.</w:t>
      </w:r>
    </w:p>
    <w:p w:rsidR="00000000" w:rsidRPr="00AF6D3C" w:rsidP="00AF6D3C">
      <w:pPr>
        <w:pStyle w:val="AllowPageBreak"/>
      </w:pPr>
    </w:p>
    <w:p w:rsidR="00000000" w:rsidRPr="00AF6D3C" w:rsidP="00AF6D3C">
      <w:pPr>
        <w:pStyle w:val="Heading1"/>
      </w:pPr>
      <w:bookmarkStart w:id="5" w:name="O_79736"/>
      <w:bookmarkEnd w:id="5"/>
      <w:r w:rsidRPr="00AF6D3C">
        <w:t>Pre-Requisites</w:t>
      </w:r>
    </w:p>
    <w:tbl>
      <w:tblPr>
        <w:tblW w:w="0" w:type="auto"/>
        <w:tblLayout w:type="fixed"/>
        <w:tblCellMar>
          <w:left w:w="62" w:type="dxa"/>
          <w:right w:w="62" w:type="dxa"/>
        </w:tblCellMar>
        <w:tblLook w:val="0000"/>
      </w:tblPr>
      <w:tblGrid>
        <w:gridCol w:w="2745"/>
        <w:gridCol w:w="1301"/>
        <w:gridCol w:w="4476"/>
      </w:tblGrid>
      <w:tr w:rsidTr="007D45BE">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D3C">
            <w:pPr>
              <w:pStyle w:val="BodyText"/>
              <w:rPr>
                <w:lang w:val="en-NZ"/>
              </w:rPr>
            </w:pPr>
            <w:r w:rsidRPr="00AF6D3C">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D3C">
            <w:pPr>
              <w:pStyle w:val="BodyText"/>
              <w:rPr>
                <w:lang w:val="en-NZ"/>
              </w:rPr>
            </w:pPr>
          </w:p>
        </w:tc>
      </w:tr>
      <w:tr w:rsidTr="007D45BE">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D3C">
            <w:pPr>
              <w:pStyle w:val="BodyText"/>
              <w:rPr>
                <w:lang w:val="en-NZ"/>
              </w:rPr>
            </w:pPr>
          </w:p>
        </w:tc>
      </w:tr>
      <w:tr w:rsidTr="007D45BE">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D3C" w:rsidP="00AF6D3C">
            <w:pPr>
              <w:pStyle w:val="BodyText"/>
            </w:pPr>
          </w:p>
        </w:tc>
      </w:tr>
    </w:tbl>
    <w:p w:rsidR="00000000" w:rsidRPr="00AF6D3C" w:rsidP="00AF6D3C">
      <w:pPr>
        <w:pStyle w:val="BodyText"/>
      </w:pPr>
    </w:p>
    <w:p w:rsidR="00000000" w:rsidRPr="00AF6D3C" w:rsidP="00AF6D3C">
      <w:pPr>
        <w:pStyle w:val="AllowPageBreak"/>
      </w:pPr>
    </w:p>
    <w:p w:rsidR="00000000" w:rsidRPr="00AF6D3C" w:rsidP="00AF6D3C">
      <w:pPr>
        <w:pStyle w:val="Heading1"/>
      </w:pPr>
      <w:bookmarkStart w:id="6" w:name="O_79735"/>
      <w:bookmarkEnd w:id="6"/>
      <w:r w:rsidRPr="00AF6D3C">
        <w:t>Employability Skills Information</w:t>
      </w:r>
    </w:p>
    <w:tbl>
      <w:tblPr>
        <w:tblW w:w="0" w:type="auto"/>
        <w:tblLayout w:type="fixed"/>
        <w:tblCellMar>
          <w:left w:w="62" w:type="dxa"/>
          <w:right w:w="62" w:type="dxa"/>
        </w:tblCellMar>
        <w:tblLook w:val="0000"/>
      </w:tblPr>
      <w:tblGrid>
        <w:gridCol w:w="2762"/>
        <w:gridCol w:w="5760"/>
      </w:tblGrid>
      <w:tr w:rsidTr="007D45BE">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D3C">
            <w:pPr>
              <w:pStyle w:val="BodyText"/>
              <w:rPr>
                <w:lang w:val="en-NZ"/>
              </w:rPr>
            </w:pPr>
            <w:r w:rsidRPr="00AF6D3C">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D3C" w:rsidP="00AF6D3C">
            <w:pPr>
              <w:pStyle w:val="BodyText"/>
            </w:pPr>
            <w:r w:rsidRPr="00AF6D3C">
              <w:t>This unit contains employability skills.</w:t>
            </w:r>
          </w:p>
        </w:tc>
      </w:tr>
    </w:tbl>
    <w:p w:rsidR="00000000" w:rsidRPr="00AF6D3C" w:rsidP="00AF6D3C">
      <w:pPr>
        <w:pStyle w:val="BodyText"/>
      </w:pPr>
    </w:p>
    <w:p w:rsidR="00000000" w:rsidRPr="00AF6D3C" w:rsidP="00AF6D3C">
      <w:pPr>
        <w:pStyle w:val="AllowPageBreak"/>
      </w:pPr>
    </w:p>
    <w:p w:rsidR="00000000" w:rsidRPr="00AF6D3C" w:rsidP="00AF6D3C">
      <w:pPr>
        <w:pStyle w:val="Heading1"/>
      </w:pPr>
      <w:bookmarkStart w:id="7" w:name="O_79737"/>
      <w:bookmarkEnd w:id="7"/>
      <w:r w:rsidRPr="00AF6D3C">
        <w:t>Elements and Performance Criteria Pre-Content</w:t>
      </w:r>
    </w:p>
    <w:tbl>
      <w:tblPr>
        <w:tblW w:w="0" w:type="auto"/>
        <w:tblLayout w:type="fixed"/>
        <w:tblCellMar>
          <w:left w:w="62" w:type="dxa"/>
          <w:right w:w="62" w:type="dxa"/>
        </w:tblCellMar>
        <w:tblLook w:val="0000"/>
      </w:tblPr>
      <w:tblGrid>
        <w:gridCol w:w="2558"/>
        <w:gridCol w:w="5964"/>
      </w:tblGrid>
      <w:tr w:rsidTr="007D45BE">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D3C">
            <w:pPr>
              <w:pStyle w:val="BodyText"/>
              <w:rPr>
                <w:lang w:val="en-NZ"/>
              </w:rPr>
            </w:pPr>
            <w:r w:rsidRPr="00AF6D3C">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D3C" w:rsidP="00AF6D3C">
            <w:pPr>
              <w:pStyle w:val="BodyText"/>
            </w:pPr>
            <w:r w:rsidRPr="00AF6D3C">
              <w:t>Performance criteria describe the performance needed to demonstrate achievement of the element. Where bold italicised text is used, further info</w:t>
            </w:r>
            <w:r w:rsidRPr="00AF6D3C">
              <w:t>rmation is detailed in the required skills and knowledge section and the range statement. Assessment of performance is to be consistent with the evidence guide.</w:t>
            </w:r>
          </w:p>
        </w:tc>
      </w:tr>
    </w:tbl>
    <w:p w:rsidR="00000000" w:rsidRPr="00AF6D3C" w:rsidP="00AF6D3C">
      <w:pPr>
        <w:pStyle w:val="BodyText"/>
      </w:pPr>
    </w:p>
    <w:p w:rsidR="00000000" w:rsidRPr="00AF6D3C" w:rsidP="00AF6D3C">
      <w:pPr>
        <w:pStyle w:val="AllowPageBreak"/>
      </w:pPr>
    </w:p>
    <w:p w:rsidR="00000000" w:rsidRPr="00AF6D3C" w:rsidP="00AF6D3C">
      <w:pPr>
        <w:pStyle w:val="Heading1"/>
      </w:pPr>
      <w:bookmarkStart w:id="8" w:name="O_79738"/>
      <w:bookmarkEnd w:id="8"/>
      <w:r w:rsidRPr="00AF6D3C">
        <w:t>Elements and Performance Criteria</w:t>
      </w:r>
    </w:p>
    <w:tbl>
      <w:tblPr>
        <w:tblW w:w="0" w:type="auto"/>
        <w:tblLayout w:type="fixed"/>
        <w:tblCellMar>
          <w:left w:w="62" w:type="dxa"/>
          <w:right w:w="62" w:type="dxa"/>
        </w:tblCellMar>
        <w:tblLook w:val="0000"/>
      </w:tblPr>
      <w:tblGrid>
        <w:gridCol w:w="2558"/>
        <w:gridCol w:w="5964"/>
      </w:tblGrid>
      <w:tr w:rsidTr="007D45BE">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D3C" w:rsidP="00AF6D3C">
            <w:pPr>
              <w:pStyle w:val="BodyText"/>
            </w:pPr>
            <w:r w:rsidRPr="00AF6D3C">
              <w:rPr>
                <w:rStyle w:val="SpecialBold"/>
              </w:rPr>
              <w:t>ELEMENT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D3C">
            <w:pPr>
              <w:pStyle w:val="BodyText"/>
              <w:rPr>
                <w:lang w:val="en-NZ"/>
              </w:rPr>
            </w:pPr>
            <w:r w:rsidRPr="00AF6D3C">
              <w:rPr>
                <w:rStyle w:val="SpecialBold"/>
              </w:rPr>
              <w:t>PERFORMANCE CRITERIA</w:t>
            </w:r>
          </w:p>
        </w:tc>
      </w:tr>
      <w:tr w:rsidTr="007D45BE">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D3C">
            <w:pPr>
              <w:pStyle w:val="List"/>
              <w:rPr>
                <w:lang w:val="en-NZ"/>
              </w:rPr>
            </w:pPr>
            <w:r w:rsidRPr="00AF6D3C">
              <w:t>1.</w:t>
            </w:r>
            <w:r w:rsidRPr="00AF6D3C">
              <w:tab/>
            </w:r>
            <w:r w:rsidRPr="00AF6D3C">
              <w:t>Provide feedback on and/or confirm authorities and guidelines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D3C" w:rsidP="00AF6D3C">
            <w:pPr>
              <w:pStyle w:val="List2"/>
            </w:pPr>
            <w:r w:rsidRPr="00AF6D3C">
              <w:t>1.1.</w:t>
            </w:r>
            <w:r w:rsidRPr="00AF6D3C">
              <w:tab/>
              <w:t xml:space="preserve">Draft </w:t>
            </w:r>
            <w:r w:rsidRPr="00AF6D3C">
              <w:rPr>
                <w:rStyle w:val="BoldandItalics"/>
              </w:rPr>
              <w:t>authorities</w:t>
            </w:r>
            <w:r w:rsidRPr="00AF6D3C">
              <w:t xml:space="preserve"> and </w:t>
            </w:r>
            <w:r w:rsidRPr="00AF6D3C">
              <w:rPr>
                <w:rStyle w:val="BoldandItalics"/>
              </w:rPr>
              <w:t>guidelines</w:t>
            </w:r>
            <w:r w:rsidRPr="00AF6D3C">
              <w:t xml:space="preserve"> are read and interpreted</w:t>
            </w:r>
          </w:p>
          <w:p w:rsidR="00000000" w:rsidRPr="00AF6D3C" w:rsidP="00AF6D3C">
            <w:pPr>
              <w:pStyle w:val="List2"/>
            </w:pPr>
            <w:r w:rsidRPr="00AF6D3C">
              <w:t>1.2.</w:t>
            </w:r>
            <w:r w:rsidRPr="00AF6D3C">
              <w:tab/>
              <w:t xml:space="preserve">Practical application of authorities and guidelines are identified through market testing to determine the need for </w:t>
            </w:r>
            <w:r w:rsidRPr="00AF6D3C">
              <w:rPr>
                <w:rStyle w:val="BoldandItalics"/>
              </w:rPr>
              <w:t>variance</w:t>
            </w:r>
          </w:p>
          <w:p w:rsidR="00000000" w:rsidRPr="00AF6D3C" w:rsidP="00AF6D3C">
            <w:pPr>
              <w:pStyle w:val="List2"/>
            </w:pPr>
            <w:r w:rsidRPr="00AF6D3C">
              <w:t>1</w:t>
            </w:r>
            <w:r w:rsidRPr="00AF6D3C">
              <w:t>.3.</w:t>
            </w:r>
            <w:r w:rsidRPr="00AF6D3C">
              <w:tab/>
              <w:t>The final form of the authorities and guidelines are negotiated with relevant parties to ensure they accommodate variations in workplace requirements and are within organisation policy and procedures</w:t>
            </w:r>
          </w:p>
          <w:p w:rsidR="00000000" w:rsidP="00AF6D3C">
            <w:pPr>
              <w:pStyle w:val="List2"/>
              <w:rPr>
                <w:lang w:val="en-NZ"/>
              </w:rPr>
            </w:pPr>
            <w:r w:rsidRPr="00AF6D3C">
              <w:t>1.4.</w:t>
            </w:r>
            <w:r w:rsidRPr="00AF6D3C">
              <w:tab/>
              <w:t>Authorised authorities and guidelines are obtai</w:t>
            </w:r>
            <w:r w:rsidRPr="00AF6D3C">
              <w:t>ned and confirmed in writing</w:t>
            </w:r>
          </w:p>
        </w:tc>
      </w:tr>
      <w:tr w:rsidTr="007D45BE">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D3C">
            <w:pPr>
              <w:pStyle w:val="List"/>
              <w:rPr>
                <w:lang w:val="en-NZ"/>
              </w:rPr>
            </w:pPr>
            <w:r w:rsidRPr="00AF6D3C">
              <w:t>2.</w:t>
            </w:r>
            <w:r w:rsidRPr="00AF6D3C">
              <w:tab/>
              <w:t>Determine allocation of authorities and guidelines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D3C" w:rsidP="00AF6D3C">
            <w:pPr>
              <w:pStyle w:val="List2"/>
            </w:pPr>
            <w:r w:rsidRPr="00AF6D3C">
              <w:t>2.1.</w:t>
            </w:r>
            <w:r w:rsidRPr="00AF6D3C">
              <w:tab/>
              <w:t xml:space="preserve">Criteria to be used as a basis for </w:t>
            </w:r>
            <w:r w:rsidRPr="00AF6D3C">
              <w:rPr>
                <w:rStyle w:val="BoldandItalics"/>
              </w:rPr>
              <w:t>allocation</w:t>
            </w:r>
            <w:r w:rsidRPr="00AF6D3C">
              <w:t xml:space="preserve"> are determined</w:t>
            </w:r>
          </w:p>
          <w:p w:rsidR="00000000" w:rsidRPr="00AF6D3C" w:rsidP="00AF6D3C">
            <w:pPr>
              <w:pStyle w:val="List2"/>
            </w:pPr>
            <w:r w:rsidRPr="00AF6D3C">
              <w:t>2.2.</w:t>
            </w:r>
            <w:r w:rsidRPr="00AF6D3C">
              <w:tab/>
              <w:t xml:space="preserve">Allocation is consistent with existing or updated </w:t>
            </w:r>
            <w:r w:rsidRPr="00AF6D3C">
              <w:rPr>
                <w:rStyle w:val="BoldandItalics"/>
              </w:rPr>
              <w:t>distribution</w:t>
            </w:r>
            <w:r w:rsidRPr="00AF6D3C">
              <w:t xml:space="preserve"> agreements</w:t>
            </w:r>
          </w:p>
          <w:p w:rsidR="00000000" w:rsidRPr="00AF6D3C" w:rsidP="00AF6D3C">
            <w:pPr>
              <w:pStyle w:val="List2"/>
            </w:pPr>
            <w:r w:rsidRPr="00AF6D3C">
              <w:t>2.3.</w:t>
            </w:r>
            <w:r w:rsidRPr="00AF6D3C">
              <w:tab/>
              <w:t>Allocations are determ</w:t>
            </w:r>
            <w:r w:rsidRPr="00AF6D3C">
              <w:t xml:space="preserve">ined within industry code of practice and relevant </w:t>
            </w:r>
            <w:r w:rsidRPr="00AF6D3C">
              <w:rPr>
                <w:rStyle w:val="BoldandItalics"/>
              </w:rPr>
              <w:t>legislative requirements</w:t>
            </w:r>
          </w:p>
          <w:p w:rsidR="00000000" w:rsidP="00AF6D3C">
            <w:pPr>
              <w:pStyle w:val="List2"/>
              <w:rPr>
                <w:lang w:val="en-NZ"/>
              </w:rPr>
            </w:pPr>
            <w:r w:rsidRPr="00AF6D3C">
              <w:t>2.4.</w:t>
            </w:r>
            <w:r w:rsidRPr="00AF6D3C">
              <w:tab/>
              <w:t>Allocation enables the achievement of the desired result in accordance with the business plan</w:t>
            </w:r>
          </w:p>
        </w:tc>
      </w:tr>
      <w:tr w:rsidTr="007D45BE">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D3C">
            <w:pPr>
              <w:pStyle w:val="List"/>
              <w:rPr>
                <w:lang w:val="en-NZ"/>
              </w:rPr>
            </w:pPr>
            <w:r w:rsidRPr="00AF6D3C">
              <w:t>3.</w:t>
            </w:r>
            <w:r w:rsidRPr="00AF6D3C">
              <w:tab/>
              <w:t>Negotiate variations to allocated authorities and guidelines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D3C" w:rsidP="00AF6D3C">
            <w:pPr>
              <w:pStyle w:val="List2"/>
            </w:pPr>
            <w:r w:rsidRPr="00AF6D3C">
              <w:t>3.1.</w:t>
            </w:r>
            <w:r w:rsidRPr="00AF6D3C">
              <w:tab/>
            </w:r>
            <w:r w:rsidRPr="00AF6D3C">
              <w:rPr>
                <w:rStyle w:val="BoldandItalics"/>
              </w:rPr>
              <w:t>Variations</w:t>
            </w:r>
            <w:r w:rsidRPr="00AF6D3C">
              <w:t xml:space="preserve"> </w:t>
            </w:r>
            <w:r w:rsidRPr="00AF6D3C">
              <w:t>are negotiated where the opportunities to maximise or adjust business returns are identified</w:t>
            </w:r>
          </w:p>
          <w:p w:rsidR="00000000" w:rsidRPr="00AF6D3C" w:rsidP="00AF6D3C">
            <w:pPr>
              <w:pStyle w:val="List2"/>
            </w:pPr>
            <w:r w:rsidRPr="00AF6D3C">
              <w:t>3.2.</w:t>
            </w:r>
            <w:r w:rsidRPr="00AF6D3C">
              <w:tab/>
              <w:t>Negotiation is based on all relevant information</w:t>
            </w:r>
          </w:p>
          <w:p w:rsidR="00000000" w:rsidP="00AF6D3C">
            <w:pPr>
              <w:pStyle w:val="List2"/>
              <w:rPr>
                <w:lang w:val="en-NZ"/>
              </w:rPr>
            </w:pPr>
            <w:r w:rsidRPr="00AF6D3C">
              <w:t>3.3.</w:t>
            </w:r>
            <w:r w:rsidRPr="00AF6D3C">
              <w:tab/>
              <w:t>Outcome of negotiation is accepted by the parties</w:t>
            </w:r>
          </w:p>
        </w:tc>
      </w:tr>
      <w:tr w:rsidTr="007D45BE">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D3C">
            <w:pPr>
              <w:pStyle w:val="List"/>
              <w:rPr>
                <w:lang w:val="en-NZ"/>
              </w:rPr>
            </w:pPr>
            <w:r w:rsidRPr="00AF6D3C">
              <w:t>4.</w:t>
            </w:r>
            <w:r w:rsidRPr="00AF6D3C">
              <w:tab/>
              <w:t>Allocate authorities and guidelines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D3C" w:rsidP="00AF6D3C">
            <w:pPr>
              <w:pStyle w:val="List2"/>
            </w:pPr>
            <w:r w:rsidRPr="00AF6D3C">
              <w:t>4.1.</w:t>
            </w:r>
            <w:r w:rsidRPr="00AF6D3C">
              <w:tab/>
            </w:r>
            <w:r w:rsidRPr="00AF6D3C">
              <w:t>Allocations are advised in writing in a clear, concise and timely manner</w:t>
            </w:r>
          </w:p>
          <w:p w:rsidR="00000000" w:rsidRPr="00AF6D3C" w:rsidP="00AF6D3C">
            <w:pPr>
              <w:pStyle w:val="List2"/>
            </w:pPr>
            <w:r w:rsidRPr="00AF6D3C">
              <w:t>4.2.</w:t>
            </w:r>
            <w:r w:rsidRPr="00AF6D3C">
              <w:tab/>
              <w:t>Training is provided as appropriate and its effectiveness assessed</w:t>
            </w:r>
          </w:p>
          <w:p w:rsidR="00000000" w:rsidRPr="00AF6D3C" w:rsidP="00AF6D3C">
            <w:pPr>
              <w:pStyle w:val="List2"/>
            </w:pPr>
            <w:r w:rsidRPr="00AF6D3C">
              <w:t>4.3.</w:t>
            </w:r>
            <w:r w:rsidRPr="00AF6D3C">
              <w:tab/>
              <w:t>Allocation of authorities and guidelines are recorded promptly and accurately to ensure records are curren</w:t>
            </w:r>
            <w:r w:rsidRPr="00AF6D3C">
              <w:t>t</w:t>
            </w:r>
          </w:p>
          <w:p w:rsidR="00000000" w:rsidRPr="00AF6D3C" w:rsidP="00AF6D3C">
            <w:pPr>
              <w:pStyle w:val="List2"/>
            </w:pPr>
            <w:r w:rsidRPr="00AF6D3C">
              <w:t>4.4.</w:t>
            </w:r>
            <w:r w:rsidRPr="00AF6D3C">
              <w:tab/>
              <w:t>Understanding of authorities and guidelines is verified and recorded where appropriate</w:t>
            </w:r>
          </w:p>
          <w:p w:rsidR="00000000" w:rsidRPr="00AF6D3C" w:rsidP="00AF6D3C">
            <w:pPr>
              <w:pStyle w:val="List2"/>
            </w:pPr>
            <w:r w:rsidRPr="00AF6D3C">
              <w:t>4.5.</w:t>
            </w:r>
            <w:r w:rsidRPr="00AF6D3C">
              <w:tab/>
              <w:t>Variations to authorities and guidelines are updated in accordance with organisation policy to ensure currency of operational procedures</w:t>
            </w:r>
          </w:p>
          <w:p w:rsidR="00000000" w:rsidP="00AF6D3C">
            <w:pPr>
              <w:pStyle w:val="List2"/>
              <w:rPr>
                <w:lang w:val="en-NZ"/>
              </w:rPr>
            </w:pPr>
            <w:r w:rsidRPr="00AF6D3C">
              <w:t>4.6.</w:t>
            </w:r>
            <w:r w:rsidRPr="00AF6D3C">
              <w:tab/>
              <w:t xml:space="preserve">Implementation </w:t>
            </w:r>
            <w:r w:rsidRPr="00AF6D3C">
              <w:t>procedures are undertaken within relevant industry code of practice and legislative requirements</w:t>
            </w:r>
          </w:p>
        </w:tc>
      </w:tr>
      <w:tr w:rsidTr="007D45BE">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D3C">
            <w:pPr>
              <w:pStyle w:val="List"/>
              <w:rPr>
                <w:lang w:val="en-NZ"/>
              </w:rPr>
            </w:pPr>
            <w:r w:rsidRPr="00AF6D3C">
              <w:t>5.</w:t>
            </w:r>
            <w:r w:rsidRPr="00AF6D3C">
              <w:tab/>
              <w:t>Monitor and review authorities and guidelines compliance</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D3C" w:rsidP="00AF6D3C">
            <w:pPr>
              <w:pStyle w:val="List2"/>
            </w:pPr>
            <w:r w:rsidRPr="00AF6D3C">
              <w:t>5.1.</w:t>
            </w:r>
            <w:r w:rsidRPr="00AF6D3C">
              <w:tab/>
              <w:t>Submissions received are checked for compliance with authorities and guidelines</w:t>
            </w:r>
          </w:p>
          <w:p w:rsidR="00000000" w:rsidRPr="00AF6D3C" w:rsidP="00AF6D3C">
            <w:pPr>
              <w:pStyle w:val="List2"/>
            </w:pPr>
            <w:r w:rsidRPr="00AF6D3C">
              <w:t>5.2.</w:t>
            </w:r>
            <w:r w:rsidRPr="00AF6D3C">
              <w:tab/>
              <w:t>Business</w:t>
            </w:r>
            <w:r w:rsidRPr="00AF6D3C">
              <w:t xml:space="preserve"> trends and compliance variations are monitored to determine the effectiveness of authorities and guidelines</w:t>
            </w:r>
          </w:p>
          <w:p w:rsidR="00000000" w:rsidP="00AF6D3C">
            <w:pPr>
              <w:pStyle w:val="List2"/>
              <w:rPr>
                <w:lang w:val="en-NZ"/>
              </w:rPr>
            </w:pPr>
            <w:r w:rsidRPr="00AF6D3C">
              <w:t>5.3.</w:t>
            </w:r>
            <w:r w:rsidRPr="00AF6D3C">
              <w:tab/>
              <w:t>Non-compliance with authorities and guidelines is rectified promptly to maintain business plan objectives</w:t>
            </w:r>
          </w:p>
        </w:tc>
      </w:tr>
      <w:tr w:rsidTr="007D45BE">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D3C">
            <w:pPr>
              <w:pStyle w:val="List"/>
              <w:rPr>
                <w:lang w:val="en-NZ"/>
              </w:rPr>
            </w:pPr>
            <w:r w:rsidRPr="00AF6D3C">
              <w:t>6.</w:t>
            </w:r>
            <w:r w:rsidRPr="00AF6D3C">
              <w:tab/>
              <w:t>Evaluate effectiveness of author</w:t>
            </w:r>
            <w:r w:rsidRPr="00AF6D3C">
              <w:t>ities and guidelines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D3C" w:rsidP="00AF6D3C">
            <w:pPr>
              <w:pStyle w:val="List2"/>
            </w:pPr>
            <w:r w:rsidRPr="00AF6D3C">
              <w:t>6.1.</w:t>
            </w:r>
            <w:r w:rsidRPr="00AF6D3C">
              <w:tab/>
              <w:t>Market trends are identified to ensure evaluation is based on reliable information</w:t>
            </w:r>
          </w:p>
          <w:p w:rsidR="00000000" w:rsidRPr="00AF6D3C" w:rsidP="00AF6D3C">
            <w:pPr>
              <w:pStyle w:val="List2"/>
            </w:pPr>
            <w:r w:rsidRPr="00AF6D3C">
              <w:t>6.2.</w:t>
            </w:r>
            <w:r w:rsidRPr="00AF6D3C">
              <w:tab/>
              <w:t>Trends are assessed to quantify the impact on expected business</w:t>
            </w:r>
          </w:p>
          <w:p w:rsidR="00000000" w:rsidRPr="00AF6D3C" w:rsidP="00AF6D3C">
            <w:pPr>
              <w:pStyle w:val="List2"/>
            </w:pPr>
            <w:r w:rsidRPr="00AF6D3C">
              <w:t>6.3.</w:t>
            </w:r>
            <w:r w:rsidRPr="00AF6D3C">
              <w:tab/>
            </w:r>
            <w:r w:rsidRPr="00AF6D3C">
              <w:t>Allocations are revised in accordance with changes to code of practice, legislative and organisation policy requirements</w:t>
            </w:r>
          </w:p>
        </w:tc>
      </w:tr>
    </w:tbl>
    <w:p w:rsidR="00000000" w:rsidRPr="00AF6D3C" w:rsidP="00AF6D3C">
      <w:pPr>
        <w:pStyle w:val="BodyText"/>
      </w:pPr>
    </w:p>
    <w:p w:rsidR="00000000" w:rsidRPr="00AF6D3C" w:rsidP="00AF6D3C">
      <w:pPr>
        <w:pStyle w:val="AllowPageBreak"/>
      </w:pPr>
    </w:p>
    <w:p w:rsidR="00000000" w:rsidRPr="00AF6D3C" w:rsidP="00AF6D3C">
      <w:pPr>
        <w:pStyle w:val="Heading1"/>
      </w:pPr>
      <w:bookmarkStart w:id="9" w:name="O_79739"/>
      <w:bookmarkEnd w:id="9"/>
      <w:r w:rsidRPr="00AF6D3C">
        <w:t>Required Skills and Knowledge</w:t>
      </w:r>
    </w:p>
    <w:tbl>
      <w:tblPr>
        <w:tblW w:w="0" w:type="auto"/>
        <w:tblLayout w:type="fixed"/>
        <w:tblCellMar>
          <w:left w:w="62" w:type="dxa"/>
          <w:right w:w="62" w:type="dxa"/>
        </w:tblCellMar>
        <w:tblLook w:val="0000"/>
      </w:tblPr>
      <w:tblGrid>
        <w:gridCol w:w="8522"/>
      </w:tblGrid>
      <w:tr w:rsidTr="007D45B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F6D3C">
            <w:pPr>
              <w:pStyle w:val="BodyText"/>
              <w:rPr>
                <w:lang w:val="en-NZ"/>
              </w:rPr>
            </w:pPr>
            <w:r w:rsidRPr="00AF6D3C">
              <w:rPr>
                <w:rStyle w:val="SpecialBold"/>
              </w:rPr>
              <w:t>REQUIRED SKILLS AND KNOWLEDGE</w:t>
            </w:r>
          </w:p>
        </w:tc>
      </w:tr>
      <w:tr w:rsidTr="007D45B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F6D3C">
            <w:pPr>
              <w:pStyle w:val="BodyText"/>
              <w:rPr>
                <w:lang w:val="en-NZ"/>
              </w:rPr>
            </w:pPr>
            <w:r w:rsidRPr="00AF6D3C">
              <w:t xml:space="preserve">This section describes the skills and knowledge required </w:t>
            </w:r>
            <w:r w:rsidRPr="00AF6D3C">
              <w:t>for this unit.</w:t>
            </w:r>
          </w:p>
        </w:tc>
      </w:tr>
      <w:tr w:rsidTr="007D45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D3C">
            <w:pPr>
              <w:pStyle w:val="BodyText"/>
              <w:rPr>
                <w:lang w:val="en-NZ"/>
              </w:rPr>
            </w:pPr>
            <w:r w:rsidRPr="00AF6D3C">
              <w:rPr>
                <w:rStyle w:val="SpecialBold"/>
              </w:rPr>
              <w:t>Required skills</w:t>
            </w:r>
          </w:p>
        </w:tc>
      </w:tr>
      <w:tr w:rsidTr="007D45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D3C" w:rsidP="00AF6D3C">
            <w:pPr>
              <w:pStyle w:val="ListBullet"/>
            </w:pPr>
            <w:r w:rsidRPr="00AF6D3C">
              <w:t>highly developed communication skills to:</w:t>
            </w:r>
          </w:p>
          <w:p w:rsidR="00000000" w:rsidRPr="00AF6D3C" w:rsidP="00AF6D3C">
            <w:pPr>
              <w:pStyle w:val="ListBullet2"/>
            </w:pPr>
            <w:r w:rsidRPr="00AF6D3C">
              <w:t>determine and confirm information, using questioning and active listening as required</w:t>
            </w:r>
          </w:p>
          <w:p w:rsidR="00000000" w:rsidRPr="00AF6D3C" w:rsidP="00AF6D3C">
            <w:pPr>
              <w:pStyle w:val="ListBullet2"/>
            </w:pPr>
            <w:r w:rsidRPr="00AF6D3C">
              <w:t>relate effectively to customers</w:t>
            </w:r>
          </w:p>
          <w:p w:rsidR="00000000" w:rsidRPr="00AF6D3C" w:rsidP="00AF6D3C">
            <w:pPr>
              <w:pStyle w:val="ListBullet2"/>
            </w:pPr>
            <w:r w:rsidRPr="00AF6D3C">
              <w:t>liaise with others, share information, listen and understand</w:t>
            </w:r>
          </w:p>
          <w:p w:rsidR="00000000" w:rsidRPr="00AF6D3C" w:rsidP="00AF6D3C">
            <w:pPr>
              <w:pStyle w:val="ListBullet2"/>
            </w:pPr>
            <w:r w:rsidRPr="00AF6D3C">
              <w:t>use language and concepts appropriate to cultural differences</w:t>
            </w:r>
          </w:p>
          <w:p w:rsidR="00000000" w:rsidRPr="00AF6D3C" w:rsidP="00AF6D3C">
            <w:pPr>
              <w:pStyle w:val="ListBullet"/>
            </w:pPr>
            <w:r w:rsidRPr="00AF6D3C">
              <w:t>well-developed numeracy and IT skills to:</w:t>
            </w:r>
          </w:p>
          <w:p w:rsidR="00000000" w:rsidRPr="00AF6D3C" w:rsidP="00AF6D3C">
            <w:pPr>
              <w:pStyle w:val="ListBullet2"/>
            </w:pPr>
            <w:r w:rsidRPr="00AF6D3C">
              <w:t>perform calculations related to achieving required outcomes</w:t>
            </w:r>
          </w:p>
          <w:p w:rsidR="00000000" w:rsidRPr="00AF6D3C" w:rsidP="00AF6D3C">
            <w:pPr>
              <w:pStyle w:val="ListBullet2"/>
            </w:pPr>
            <w:r w:rsidRPr="00AF6D3C">
              <w:t>use computer applications (word processing, spreadsheet, database, specific purpose comput</w:t>
            </w:r>
            <w:r w:rsidRPr="00AF6D3C">
              <w:t>er systems) to assist in achieving required outcomes</w:t>
            </w:r>
          </w:p>
          <w:p w:rsidR="00000000" w:rsidRPr="00AF6D3C" w:rsidP="00AF6D3C">
            <w:pPr>
              <w:pStyle w:val="ListBullet2"/>
            </w:pPr>
            <w:r w:rsidRPr="00AF6D3C">
              <w:t>access and update records electronically</w:t>
            </w:r>
          </w:p>
          <w:p w:rsidR="00000000" w:rsidRPr="00AF6D3C" w:rsidP="00AF6D3C">
            <w:pPr>
              <w:pStyle w:val="ListBullet2"/>
            </w:pPr>
            <w:r w:rsidRPr="00AF6D3C">
              <w:t>access web-based information services</w:t>
            </w:r>
          </w:p>
          <w:p w:rsidR="00000000" w:rsidRPr="00AF6D3C" w:rsidP="00AF6D3C">
            <w:pPr>
              <w:pStyle w:val="ListBullet"/>
            </w:pPr>
            <w:r w:rsidRPr="00AF6D3C">
              <w:t>well-developed literacy skills to read and interpret documentation from a variety of sources and record and consolidate rel</w:t>
            </w:r>
            <w:r w:rsidRPr="00AF6D3C">
              <w:t>evant related information</w:t>
            </w:r>
          </w:p>
          <w:p w:rsidR="00000000" w:rsidRPr="00AF6D3C" w:rsidP="00AF6D3C">
            <w:pPr>
              <w:pStyle w:val="ListBullet"/>
            </w:pPr>
            <w:r w:rsidRPr="00AF6D3C">
              <w:t>learning skills to maintain knowledge of changes to compliance legislation and requirements</w:t>
            </w:r>
          </w:p>
          <w:p w:rsidR="00000000" w:rsidRPr="00AF6D3C" w:rsidP="00AF6D3C">
            <w:pPr>
              <w:pStyle w:val="ListBullet"/>
            </w:pPr>
            <w:r w:rsidRPr="00AF6D3C">
              <w:t>problem solving skills to identify any issues that have the potential to impact on work outcomes and to develop options to resolve these i</w:t>
            </w:r>
            <w:r w:rsidRPr="00AF6D3C">
              <w:t>ssues when they arise</w:t>
            </w:r>
          </w:p>
          <w:p w:rsidR="00000000" w:rsidRPr="00AF6D3C" w:rsidP="00AF6D3C">
            <w:pPr>
              <w:pStyle w:val="ListBullet"/>
            </w:pPr>
            <w:r w:rsidRPr="00AF6D3C">
              <w:t>self-management skills for complying with ethical, legal and procedural requirements research and analysis skills for accessing and interpreting relevant information</w:t>
            </w:r>
          </w:p>
          <w:p w:rsidR="00000000" w:rsidP="00AF6D3C">
            <w:pPr>
              <w:pStyle w:val="ListBullet"/>
              <w:rPr>
                <w:lang w:val="en-NZ"/>
              </w:rPr>
            </w:pPr>
            <w:r w:rsidRPr="00AF6D3C">
              <w:t>organisational skills, including the ability to plan and sequence wo</w:t>
            </w:r>
            <w:r w:rsidRPr="00AF6D3C">
              <w:t>rk</w:t>
            </w:r>
          </w:p>
        </w:tc>
      </w:tr>
      <w:tr w:rsidTr="007D45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D3C">
            <w:pPr>
              <w:pStyle w:val="BodyText"/>
              <w:rPr>
                <w:lang w:val="en-NZ"/>
              </w:rPr>
            </w:pPr>
            <w:r w:rsidRPr="00AF6D3C">
              <w:rPr>
                <w:rStyle w:val="SpecialBold"/>
              </w:rPr>
              <w:t>Required knowledge</w:t>
            </w:r>
          </w:p>
        </w:tc>
      </w:tr>
      <w:tr w:rsidTr="007D45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D3C" w:rsidP="00AF6D3C">
            <w:pPr>
              <w:pStyle w:val="ListBullet"/>
            </w:pPr>
            <w:r w:rsidRPr="00AF6D3C">
              <w:t>organisation and industry products and services</w:t>
            </w:r>
          </w:p>
          <w:p w:rsidR="00000000" w:rsidRPr="00AF6D3C" w:rsidP="00AF6D3C">
            <w:pPr>
              <w:pStyle w:val="ListBullet"/>
            </w:pPr>
            <w:r w:rsidRPr="00AF6D3C">
              <w:t>organisation distribution requirements and channels</w:t>
            </w:r>
          </w:p>
          <w:p w:rsidR="00000000" w:rsidRPr="00AF6D3C" w:rsidP="00AF6D3C">
            <w:pPr>
              <w:pStyle w:val="ListBullet"/>
            </w:pPr>
            <w:r w:rsidRPr="00AF6D3C">
              <w:t>organisation income and expenditure forecasting</w:t>
            </w:r>
          </w:p>
          <w:p w:rsidR="00000000" w:rsidRPr="00AF6D3C" w:rsidP="00AF6D3C">
            <w:pPr>
              <w:pStyle w:val="ListBullet"/>
            </w:pPr>
            <w:r w:rsidRPr="00AF6D3C">
              <w:t>organisation marketing, administration, systems, performance measures and training needs</w:t>
            </w:r>
          </w:p>
          <w:p w:rsidR="00000000" w:rsidRPr="00AF6D3C" w:rsidP="00AF6D3C">
            <w:pPr>
              <w:pStyle w:val="ListBullet"/>
            </w:pPr>
            <w:r w:rsidRPr="00AF6D3C">
              <w:t>organisation resources and budgeting</w:t>
            </w:r>
          </w:p>
          <w:p w:rsidR="00000000" w:rsidRPr="00AF6D3C" w:rsidP="00AF6D3C">
            <w:pPr>
              <w:pStyle w:val="ListBullet"/>
            </w:pPr>
            <w:r w:rsidRPr="00AF6D3C">
              <w:t>regulatory and legislative framework</w:t>
            </w:r>
          </w:p>
        </w:tc>
      </w:tr>
    </w:tbl>
    <w:p w:rsidR="00000000" w:rsidRPr="00AF6D3C" w:rsidP="00AF6D3C">
      <w:pPr>
        <w:pStyle w:val="BodyText"/>
      </w:pPr>
    </w:p>
    <w:p w:rsidR="00000000" w:rsidRPr="00AF6D3C" w:rsidP="00AF6D3C">
      <w:pPr>
        <w:pStyle w:val="AllowPageBreak"/>
      </w:pPr>
    </w:p>
    <w:p w:rsidR="00000000" w:rsidRPr="00AF6D3C" w:rsidP="00AF6D3C">
      <w:pPr>
        <w:pStyle w:val="Heading1"/>
      </w:pPr>
      <w:bookmarkStart w:id="10" w:name="O_79740"/>
      <w:bookmarkEnd w:id="10"/>
      <w:r w:rsidRPr="00AF6D3C">
        <w:t>Evidence Guide</w:t>
      </w:r>
    </w:p>
    <w:tbl>
      <w:tblPr>
        <w:tblW w:w="9570" w:type="dxa"/>
        <w:tblLayout w:type="fixed"/>
        <w:tblCellMar>
          <w:left w:w="62" w:type="dxa"/>
          <w:right w:w="62" w:type="dxa"/>
        </w:tblCellMar>
        <w:tblLook w:val="0000"/>
      </w:tblPr>
      <w:tblGrid>
        <w:gridCol w:w="2808"/>
        <w:gridCol w:w="6762"/>
      </w:tblGrid>
      <w:tr w:rsidTr="007D45B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D3C">
            <w:pPr>
              <w:pStyle w:val="BodyText"/>
              <w:rPr>
                <w:lang w:val="en-NZ"/>
              </w:rPr>
            </w:pPr>
            <w:r w:rsidRPr="00AF6D3C">
              <w:rPr>
                <w:rStyle w:val="SpecialBold"/>
              </w:rPr>
              <w:t>EVIDENCE GUIDE</w:t>
            </w:r>
          </w:p>
        </w:tc>
      </w:tr>
      <w:tr w:rsidTr="007D45B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D3C">
            <w:pPr>
              <w:pStyle w:val="BodyText"/>
              <w:rPr>
                <w:lang w:val="en-NZ"/>
              </w:rPr>
            </w:pPr>
            <w:r w:rsidRPr="00AF6D3C">
              <w:t>The Evidence Guide prov</w:t>
            </w:r>
            <w:r w:rsidRPr="00AF6D3C">
              <w:t>ides advice on assessment and must be read in conjunction with the performance criteria, required skills and knowledge, range statement and the Assessment Guidelines for the Training Package.</w:t>
            </w:r>
          </w:p>
        </w:tc>
      </w:tr>
      <w:tr w:rsidTr="007D45B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D3C">
            <w:pPr>
              <w:pStyle w:val="BodyText"/>
              <w:rPr>
                <w:lang w:val="en-NZ"/>
              </w:rPr>
            </w:pPr>
            <w:r w:rsidRPr="00AF6D3C">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D3C">
            <w:pPr>
              <w:pStyle w:val="BodyText"/>
              <w:rPr>
                <w:lang w:val="en-NZ"/>
              </w:rPr>
            </w:pPr>
          </w:p>
        </w:tc>
      </w:tr>
      <w:tr w:rsidTr="007D45B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D3C">
            <w:pPr>
              <w:pStyle w:val="BodyText"/>
              <w:rPr>
                <w:lang w:val="en-NZ"/>
              </w:rPr>
            </w:pPr>
            <w:r w:rsidRPr="00AF6D3C">
              <w:rPr>
                <w:rStyle w:val="SpecialBold"/>
              </w:rPr>
              <w:t>Critical aspects for assessment and e</w:t>
            </w:r>
            <w:r w:rsidRPr="00AF6D3C">
              <w:rPr>
                <w:rStyle w:val="SpecialBold"/>
              </w:rPr>
              <w:t>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D3C" w:rsidP="00AF6D3C">
            <w:pPr>
              <w:pStyle w:val="BodyText"/>
            </w:pPr>
            <w:r w:rsidRPr="00AF6D3C">
              <w:t>Evidence of the ability to:</w:t>
            </w:r>
          </w:p>
          <w:p w:rsidR="00000000" w:rsidRPr="00AF6D3C" w:rsidP="00AF6D3C">
            <w:pPr>
              <w:pStyle w:val="ListBullet"/>
            </w:pPr>
            <w:r w:rsidRPr="00AF6D3C">
              <w:t>accurately apply the criteria for selection of distribution authorities</w:t>
            </w:r>
          </w:p>
          <w:p w:rsidR="00000000" w:rsidP="00AF6D3C">
            <w:pPr>
              <w:pStyle w:val="ListBullet"/>
              <w:rPr>
                <w:lang w:val="en-NZ"/>
              </w:rPr>
            </w:pPr>
            <w:r w:rsidRPr="00AF6D3C">
              <w:t>monitor and evaluate the effectiveness of the distribution authorities based on the organisation's policies.</w:t>
            </w:r>
          </w:p>
        </w:tc>
      </w:tr>
      <w:tr w:rsidTr="007D45B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D3C">
            <w:pPr>
              <w:pStyle w:val="BodyText"/>
              <w:rPr>
                <w:lang w:val="en-NZ"/>
              </w:rPr>
            </w:pPr>
            <w:r w:rsidRPr="00AF6D3C">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D3C" w:rsidP="00AF6D3C">
            <w:pPr>
              <w:pStyle w:val="BodyText"/>
            </w:pPr>
            <w:r w:rsidRPr="00AF6D3C">
              <w:t>Assessment must ensure:</w:t>
            </w:r>
          </w:p>
          <w:p w:rsidR="00000000" w:rsidRPr="00AF6D3C" w:rsidP="00AF6D3C">
            <w:pPr>
              <w:pStyle w:val="ListBullet"/>
            </w:pPr>
            <w:r w:rsidRPr="00AF6D3C">
              <w:t>competency is demonstrated in the context of the work environment and co</w:t>
            </w:r>
            <w:r w:rsidRPr="00AF6D3C">
              <w:t>nditions specified in the range statement either in a relevant workplace or a closely simulated work environment</w:t>
            </w:r>
          </w:p>
          <w:p w:rsidR="00000000" w:rsidRPr="00AF6D3C" w:rsidP="00AF6D3C">
            <w:pPr>
              <w:pStyle w:val="ListBullet"/>
            </w:pPr>
            <w:r w:rsidRPr="00AF6D3C">
              <w:t>access to and the use of a range of common office equipment, technology, software and consumables</w:t>
            </w:r>
          </w:p>
          <w:p w:rsidR="00000000" w:rsidRPr="00AF6D3C" w:rsidP="00AF6D3C">
            <w:pPr>
              <w:pStyle w:val="ListBullet"/>
            </w:pPr>
            <w:r w:rsidRPr="00AF6D3C">
              <w:t>access to organisation records</w:t>
            </w:r>
          </w:p>
          <w:p w:rsidR="00000000" w:rsidP="00AF6D3C">
            <w:pPr>
              <w:pStyle w:val="ListBullet"/>
              <w:rPr>
                <w:lang w:val="en-NZ"/>
              </w:rPr>
            </w:pPr>
            <w:r w:rsidRPr="00AF6D3C">
              <w:t>access to orga</w:t>
            </w:r>
            <w:r w:rsidRPr="00AF6D3C">
              <w:t>nisation policies and procedures.</w:t>
            </w:r>
          </w:p>
        </w:tc>
      </w:tr>
      <w:tr w:rsidTr="007D45B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D3C">
            <w:pPr>
              <w:pStyle w:val="BodyText"/>
              <w:rPr>
                <w:lang w:val="en-NZ"/>
              </w:rPr>
            </w:pPr>
            <w:r w:rsidRPr="00AF6D3C">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D3C" w:rsidP="00AF6D3C">
            <w:pPr>
              <w:pStyle w:val="BodyText"/>
            </w:pPr>
            <w:r w:rsidRPr="00AF6D3C">
              <w:t>A range of assessment methods should be used to assess practical skills and knowledge. The following examples, in combination, are appropriate for this unit:</w:t>
            </w:r>
          </w:p>
          <w:p w:rsidR="00000000" w:rsidRPr="00AF6D3C" w:rsidP="00AF6D3C">
            <w:pPr>
              <w:pStyle w:val="ListBullet"/>
            </w:pPr>
            <w:r w:rsidRPr="00AF6D3C">
              <w:t xml:space="preserve">evaluating an integrated activity, which </w:t>
            </w:r>
            <w:r w:rsidRPr="00AF6D3C">
              <w:t>combines the elements of competency for the unit, or a cluster of related units of competency</w:t>
            </w:r>
          </w:p>
          <w:p w:rsidR="00000000" w:rsidRPr="00AF6D3C" w:rsidP="00AF6D3C">
            <w:pPr>
              <w:pStyle w:val="ListBullet"/>
            </w:pPr>
            <w:r w:rsidRPr="00AF6D3C">
              <w:t>observing processes and procedures in workplaces</w:t>
            </w:r>
          </w:p>
          <w:p w:rsidR="00000000" w:rsidRPr="00AF6D3C" w:rsidP="00AF6D3C">
            <w:pPr>
              <w:pStyle w:val="ListBullet"/>
            </w:pPr>
            <w:r w:rsidRPr="00AF6D3C">
              <w:t>verbal or written questioning on underpinning knowledge and skills</w:t>
            </w:r>
          </w:p>
          <w:p w:rsidR="00000000" w:rsidRPr="00AF6D3C" w:rsidP="00AF6D3C">
            <w:pPr>
              <w:pStyle w:val="ListBullet"/>
            </w:pPr>
            <w:r w:rsidRPr="00AF6D3C">
              <w:t>evaluating samples of work</w:t>
            </w:r>
          </w:p>
          <w:p w:rsidR="00000000" w:rsidRPr="00AF6D3C" w:rsidP="00AF6D3C">
            <w:pPr>
              <w:pStyle w:val="ListBullet"/>
            </w:pPr>
            <w:r w:rsidRPr="00AF6D3C">
              <w:t>accessing and validating third party reports</w:t>
            </w:r>
          </w:p>
          <w:p w:rsidR="00000000" w:rsidP="00AF6D3C">
            <w:pPr>
              <w:pStyle w:val="ListBullet"/>
              <w:rPr>
                <w:lang w:val="en-NZ"/>
              </w:rPr>
            </w:pPr>
            <w:r w:rsidRPr="00AF6D3C">
              <w:t>setting and reviewing workplace projects and business simulations or scenarios.</w:t>
            </w:r>
          </w:p>
        </w:tc>
      </w:tr>
      <w:tr w:rsidTr="007D45B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D3C">
            <w:pPr>
              <w:pStyle w:val="BodyText"/>
              <w:rPr>
                <w:lang w:val="en-NZ"/>
              </w:rPr>
            </w:pPr>
            <w:r w:rsidRPr="00AF6D3C">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D3C" w:rsidP="00AF6D3C">
            <w:pPr>
              <w:pStyle w:val="BodyText"/>
            </w:pPr>
          </w:p>
        </w:tc>
      </w:tr>
    </w:tbl>
    <w:p w:rsidR="00000000" w:rsidRPr="00AF6D3C" w:rsidP="00AF6D3C">
      <w:pPr>
        <w:pStyle w:val="BodyText"/>
      </w:pPr>
    </w:p>
    <w:p w:rsidR="00000000" w:rsidRPr="00AF6D3C" w:rsidP="00AF6D3C">
      <w:pPr>
        <w:pStyle w:val="AllowPageBreak"/>
      </w:pPr>
    </w:p>
    <w:p w:rsidR="00000000" w:rsidRPr="00AF6D3C" w:rsidP="00AF6D3C">
      <w:pPr>
        <w:pStyle w:val="Heading1"/>
      </w:pPr>
      <w:bookmarkStart w:id="11" w:name="O_79741"/>
      <w:bookmarkEnd w:id="11"/>
      <w:r w:rsidRPr="00AF6D3C">
        <w:t>Range Statement</w:t>
      </w:r>
    </w:p>
    <w:tbl>
      <w:tblPr>
        <w:tblW w:w="0" w:type="auto"/>
        <w:tblLayout w:type="fixed"/>
        <w:tblCellMar>
          <w:left w:w="62" w:type="dxa"/>
          <w:right w:w="62" w:type="dxa"/>
        </w:tblCellMar>
        <w:tblLook w:val="0000"/>
      </w:tblPr>
      <w:tblGrid>
        <w:gridCol w:w="2520"/>
        <w:gridCol w:w="6002"/>
      </w:tblGrid>
      <w:tr w:rsidTr="007D45B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D3C">
            <w:pPr>
              <w:pStyle w:val="BodyText"/>
              <w:rPr>
                <w:lang w:val="en-NZ"/>
              </w:rPr>
            </w:pPr>
            <w:r w:rsidRPr="00AF6D3C">
              <w:rPr>
                <w:rStyle w:val="SpecialBold"/>
              </w:rPr>
              <w:t>RANGE STATEMENT</w:t>
            </w:r>
          </w:p>
        </w:tc>
      </w:tr>
      <w:tr w:rsidTr="007D45B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D3C">
            <w:pPr>
              <w:pStyle w:val="BodyText"/>
              <w:rPr>
                <w:lang w:val="en-NZ"/>
              </w:rPr>
            </w:pPr>
            <w:r w:rsidRPr="00AF6D3C">
              <w:t>The range statement relates to the unit of competency as a whole. It allows for different work environments and situations that may affect performance. Bold italicised wording, if used in the performance criteria, is detailed below. Essential operating con</w:t>
            </w:r>
            <w:r w:rsidRPr="00AF6D3C">
              <w:t>ditions that may be present with training and assessment (depending on the work situation, needs of the candidate, accessibility of the item, and local industry and regional contexts) may also be included.</w:t>
            </w:r>
          </w:p>
        </w:tc>
      </w:tr>
      <w:tr w:rsidTr="007D45B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D3C">
            <w:pPr>
              <w:pStyle w:val="BodyText"/>
              <w:rPr>
                <w:lang w:val="en-NZ"/>
              </w:rPr>
            </w:pPr>
            <w:r w:rsidRPr="00AF6D3C">
              <w:rPr>
                <w:rStyle w:val="BoldandItalics"/>
              </w:rPr>
              <w:t>Authorities</w:t>
            </w:r>
            <w:r w:rsidRPr="00AF6D3C">
              <w:t xml:space="preserve"> may include: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D3C" w:rsidP="00AF6D3C">
            <w:pPr>
              <w:pStyle w:val="ListBullet"/>
            </w:pPr>
            <w:r w:rsidRPr="00AF6D3C">
              <w:t>hazard/risk limits</w:t>
            </w:r>
          </w:p>
          <w:p w:rsidR="00000000" w:rsidP="00AF6D3C">
            <w:pPr>
              <w:pStyle w:val="ListBullet"/>
              <w:rPr>
                <w:lang w:val="en-NZ"/>
              </w:rPr>
            </w:pPr>
            <w:r w:rsidRPr="00AF6D3C">
              <w:t>mon</w:t>
            </w:r>
            <w:r w:rsidRPr="00AF6D3C">
              <w:t>etary limits.</w:t>
            </w:r>
          </w:p>
        </w:tc>
      </w:tr>
      <w:tr w:rsidTr="007D45B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D3C">
            <w:pPr>
              <w:pStyle w:val="BodyText"/>
              <w:rPr>
                <w:lang w:val="en-NZ"/>
              </w:rPr>
            </w:pPr>
            <w:r w:rsidRPr="00AF6D3C">
              <w:rPr>
                <w:rStyle w:val="BoldandItalics"/>
              </w:rPr>
              <w:t>Guidelines</w:t>
            </w:r>
            <w:r w:rsidRPr="00AF6D3C">
              <w:t xml:space="preserve"> may include: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D3C" w:rsidP="00AF6D3C">
            <w:pPr>
              <w:pStyle w:val="ListBullet"/>
            </w:pPr>
            <w:r w:rsidRPr="00AF6D3C">
              <w:t>conditions of business</w:t>
            </w:r>
          </w:p>
          <w:p w:rsidR="00000000" w:rsidRPr="00AF6D3C" w:rsidP="00AF6D3C">
            <w:pPr>
              <w:pStyle w:val="ListBullet"/>
            </w:pPr>
            <w:r w:rsidRPr="00AF6D3C">
              <w:t>criteria and requirements</w:t>
            </w:r>
          </w:p>
          <w:p w:rsidR="00000000" w:rsidP="00AF6D3C">
            <w:pPr>
              <w:pStyle w:val="ListBullet"/>
              <w:rPr>
                <w:lang w:val="en-NZ"/>
              </w:rPr>
            </w:pPr>
            <w:r w:rsidRPr="00AF6D3C">
              <w:t>rules for acceptance.</w:t>
            </w:r>
          </w:p>
        </w:tc>
      </w:tr>
      <w:tr w:rsidTr="007D45B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D3C">
            <w:pPr>
              <w:pStyle w:val="BodyText"/>
              <w:rPr>
                <w:lang w:val="en-NZ"/>
              </w:rPr>
            </w:pPr>
            <w:r w:rsidRPr="00AF6D3C">
              <w:rPr>
                <w:rStyle w:val="BoldandItalics"/>
              </w:rPr>
              <w:t>Variance</w:t>
            </w:r>
            <w:r w:rsidRPr="00AF6D3C">
              <w:t xml:space="preserve"> may include: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D3C" w:rsidP="00AF6D3C">
            <w:pPr>
              <w:pStyle w:val="ListBullet"/>
            </w:pPr>
            <w:r w:rsidRPr="00AF6D3C">
              <w:t>authority levels</w:t>
            </w:r>
          </w:p>
          <w:p w:rsidR="00000000" w:rsidRPr="00AF6D3C" w:rsidP="00AF6D3C">
            <w:pPr>
              <w:pStyle w:val="ListBullet"/>
            </w:pPr>
            <w:r w:rsidRPr="00AF6D3C">
              <w:t>product delivery method to underwriter</w:t>
            </w:r>
          </w:p>
          <w:p w:rsidR="00000000" w:rsidRPr="00AF6D3C" w:rsidP="00AF6D3C">
            <w:pPr>
              <w:pStyle w:val="ListBullet"/>
            </w:pPr>
            <w:r w:rsidRPr="00AF6D3C">
              <w:t>type of hazards/risk</w:t>
            </w:r>
          </w:p>
          <w:p w:rsidR="00000000" w:rsidP="00AF6D3C">
            <w:pPr>
              <w:pStyle w:val="ListBullet"/>
              <w:rPr>
                <w:lang w:val="en-NZ"/>
              </w:rPr>
            </w:pPr>
            <w:r w:rsidRPr="00AF6D3C">
              <w:t>underwriting procedures.</w:t>
            </w:r>
          </w:p>
        </w:tc>
      </w:tr>
      <w:tr w:rsidTr="007D45B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D3C">
            <w:pPr>
              <w:pStyle w:val="BodyText"/>
              <w:rPr>
                <w:lang w:val="en-NZ"/>
              </w:rPr>
            </w:pPr>
            <w:r w:rsidRPr="00AF6D3C">
              <w:rPr>
                <w:rStyle w:val="BoldandItalics"/>
              </w:rPr>
              <w:t>Allocation</w:t>
            </w:r>
            <w:r w:rsidRPr="00AF6D3C">
              <w:t xml:space="preserve"> criter</w:t>
            </w:r>
            <w:r w:rsidRPr="00AF6D3C">
              <w:t>ia may include: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D3C" w:rsidP="00AF6D3C">
            <w:pPr>
              <w:pStyle w:val="ListBullet"/>
            </w:pPr>
            <w:r w:rsidRPr="00AF6D3C">
              <w:t>business arrangements</w:t>
            </w:r>
          </w:p>
          <w:p w:rsidR="00000000" w:rsidRPr="00AF6D3C" w:rsidP="00AF6D3C">
            <w:pPr>
              <w:pStyle w:val="ListBullet"/>
            </w:pPr>
            <w:r w:rsidRPr="00AF6D3C">
              <w:t>focus of market</w:t>
            </w:r>
          </w:p>
          <w:p w:rsidR="00000000" w:rsidRPr="00AF6D3C" w:rsidP="00AF6D3C">
            <w:pPr>
              <w:pStyle w:val="ListBullet"/>
            </w:pPr>
            <w:r w:rsidRPr="00AF6D3C">
              <w:t>level of expertise</w:t>
            </w:r>
          </w:p>
          <w:p w:rsidR="00000000" w:rsidRPr="00AF6D3C" w:rsidP="00AF6D3C">
            <w:pPr>
              <w:pStyle w:val="ListBullet"/>
            </w:pPr>
            <w:r w:rsidRPr="00AF6D3C">
              <w:t>quality of similar existing business</w:t>
            </w:r>
          </w:p>
          <w:p w:rsidR="00000000" w:rsidRPr="00AF6D3C" w:rsidP="00AF6D3C">
            <w:pPr>
              <w:pStyle w:val="ListBullet"/>
            </w:pPr>
            <w:r w:rsidRPr="00AF6D3C">
              <w:t>relationship marketing</w:t>
            </w:r>
          </w:p>
          <w:p w:rsidR="00000000" w:rsidP="00AF6D3C">
            <w:pPr>
              <w:pStyle w:val="ListBullet"/>
              <w:rPr>
                <w:lang w:val="en-NZ"/>
              </w:rPr>
            </w:pPr>
            <w:r w:rsidRPr="00AF6D3C">
              <w:t>volume of business.</w:t>
            </w:r>
          </w:p>
        </w:tc>
      </w:tr>
      <w:tr w:rsidTr="007D45B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D3C">
            <w:pPr>
              <w:pStyle w:val="BodyText"/>
              <w:rPr>
                <w:lang w:val="en-NZ"/>
              </w:rPr>
            </w:pPr>
            <w:r w:rsidRPr="00AF6D3C">
              <w:rPr>
                <w:rStyle w:val="BoldandItalics"/>
              </w:rPr>
              <w:t>Distribution</w:t>
            </w:r>
            <w:r w:rsidRPr="00AF6D3C">
              <w:t xml:space="preserve"> agreements may include: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D3C" w:rsidP="00AF6D3C">
            <w:pPr>
              <w:pStyle w:val="ListBullet"/>
            </w:pPr>
            <w:r w:rsidRPr="00AF6D3C">
              <w:t>agency agreements</w:t>
            </w:r>
          </w:p>
          <w:p w:rsidR="00000000" w:rsidRPr="00AF6D3C" w:rsidP="00AF6D3C">
            <w:pPr>
              <w:pStyle w:val="ListBullet"/>
            </w:pPr>
            <w:r w:rsidRPr="00AF6D3C">
              <w:t>binder agreements</w:t>
            </w:r>
          </w:p>
          <w:p w:rsidR="00000000" w:rsidRPr="00AF6D3C" w:rsidP="00AF6D3C">
            <w:pPr>
              <w:pStyle w:val="ListBullet"/>
            </w:pPr>
            <w:r w:rsidRPr="00AF6D3C">
              <w:t>broker agreements</w:t>
            </w:r>
          </w:p>
          <w:p w:rsidR="00000000" w:rsidP="00AF6D3C">
            <w:pPr>
              <w:pStyle w:val="ListBullet"/>
              <w:rPr>
                <w:lang w:val="en-NZ"/>
              </w:rPr>
            </w:pPr>
            <w:r w:rsidRPr="00AF6D3C">
              <w:t>underwriting agreements.</w:t>
            </w:r>
          </w:p>
        </w:tc>
      </w:tr>
      <w:tr w:rsidTr="007D45B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D3C">
            <w:pPr>
              <w:pStyle w:val="BodyText"/>
              <w:rPr>
                <w:lang w:val="en-NZ"/>
              </w:rPr>
            </w:pPr>
            <w:r w:rsidRPr="00AF6D3C">
              <w:rPr>
                <w:rStyle w:val="BoldandItalics"/>
              </w:rPr>
              <w:t>Legislative requirements</w:t>
            </w:r>
            <w:r w:rsidRPr="00AF6D3C">
              <w:t xml:space="preserve"> may include: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D3C" w:rsidP="00AF6D3C">
            <w:pPr>
              <w:pStyle w:val="ListBullet"/>
            </w:pPr>
            <w:r w:rsidRPr="00AF6D3C">
              <w:t>anti-discrimination legislation</w:t>
            </w:r>
          </w:p>
          <w:p w:rsidR="00000000" w:rsidRPr="00AF6D3C" w:rsidP="00AF6D3C">
            <w:pPr>
              <w:pStyle w:val="ListBullet"/>
            </w:pPr>
            <w:r w:rsidRPr="00AF6D3C">
              <w:t xml:space="preserve">Australian Accounting Standards </w:t>
            </w:r>
          </w:p>
          <w:p w:rsidR="00000000" w:rsidRPr="00AF6D3C" w:rsidP="00AF6D3C">
            <w:pPr>
              <w:pStyle w:val="ListBullet"/>
            </w:pPr>
            <w:r w:rsidRPr="00AF6D3C">
              <w:t>Australian Prudential Regulation Authority (APRA)</w:t>
            </w:r>
          </w:p>
          <w:p w:rsidR="00000000" w:rsidRPr="00AF6D3C" w:rsidP="00AF6D3C">
            <w:pPr>
              <w:pStyle w:val="ListBullet"/>
            </w:pPr>
            <w:r w:rsidRPr="00AF6D3C">
              <w:t>business names legislation</w:t>
            </w:r>
          </w:p>
          <w:p w:rsidR="00000000" w:rsidRPr="00AF6D3C" w:rsidP="00AF6D3C">
            <w:pPr>
              <w:pStyle w:val="ListBullet"/>
            </w:pPr>
            <w:r w:rsidRPr="00AF6D3C">
              <w:t>Consumer Credit Code</w:t>
            </w:r>
          </w:p>
          <w:p w:rsidR="00000000" w:rsidRPr="00AF6D3C" w:rsidP="00AF6D3C">
            <w:pPr>
              <w:pStyle w:val="ListBullet"/>
            </w:pPr>
            <w:r w:rsidRPr="00AF6D3C">
              <w:t>Corporations Act (including Accounting Standards)</w:t>
            </w:r>
          </w:p>
          <w:p w:rsidR="00000000" w:rsidRPr="00AF6D3C" w:rsidP="00AF6D3C">
            <w:pPr>
              <w:pStyle w:val="ListBullet"/>
            </w:pPr>
            <w:r w:rsidRPr="00AF6D3C">
              <w:t>Electronic Funds Transfer (EFT) Code of Conduct</w:t>
            </w:r>
          </w:p>
          <w:p w:rsidR="00000000" w:rsidRPr="00AF6D3C" w:rsidP="00AF6D3C">
            <w:pPr>
              <w:pStyle w:val="ListBullet"/>
            </w:pPr>
            <w:r w:rsidRPr="00AF6D3C">
              <w:t>Finance Code</w:t>
            </w:r>
          </w:p>
          <w:p w:rsidR="00000000" w:rsidRPr="00AF6D3C" w:rsidP="00AF6D3C">
            <w:pPr>
              <w:pStyle w:val="ListBullet"/>
            </w:pPr>
            <w:r w:rsidRPr="00AF6D3C">
              <w:t>Financial Services Reform Act (FSRA)</w:t>
            </w:r>
          </w:p>
          <w:p w:rsidR="00000000" w:rsidRPr="00AF6D3C" w:rsidP="00AF6D3C">
            <w:pPr>
              <w:pStyle w:val="ListBullet"/>
            </w:pPr>
            <w:r w:rsidRPr="00AF6D3C">
              <w:t>Financial Transaction Reports Act</w:t>
            </w:r>
          </w:p>
          <w:p w:rsidR="00000000" w:rsidRPr="00AF6D3C" w:rsidP="00AF6D3C">
            <w:pPr>
              <w:pStyle w:val="ListBullet"/>
            </w:pPr>
            <w:r w:rsidRPr="00AF6D3C">
              <w:t>industry codes of practice</w:t>
            </w:r>
          </w:p>
          <w:p w:rsidR="00000000" w:rsidRPr="00AF6D3C" w:rsidP="00AF6D3C">
            <w:pPr>
              <w:pStyle w:val="ListBullet"/>
            </w:pPr>
            <w:r w:rsidRPr="00AF6D3C">
              <w:t>Insurance (Agents and Brokers) Act</w:t>
            </w:r>
          </w:p>
          <w:p w:rsidR="00000000" w:rsidRPr="00AF6D3C" w:rsidP="00AF6D3C">
            <w:pPr>
              <w:pStyle w:val="ListBullet"/>
            </w:pPr>
            <w:r w:rsidRPr="00AF6D3C">
              <w:t>Insurance Co</w:t>
            </w:r>
            <w:r w:rsidRPr="00AF6D3C">
              <w:t>ntracts Act</w:t>
            </w:r>
          </w:p>
          <w:p w:rsidR="00000000" w:rsidRPr="00AF6D3C" w:rsidP="00AF6D3C">
            <w:pPr>
              <w:pStyle w:val="ListBullet"/>
            </w:pPr>
            <w:r w:rsidRPr="00AF6D3C">
              <w:t>legislation covering competition, prudential regulation</w:t>
            </w:r>
          </w:p>
          <w:p w:rsidR="00000000" w:rsidRPr="00AF6D3C" w:rsidP="00AF6D3C">
            <w:pPr>
              <w:pStyle w:val="ListBullet"/>
            </w:pPr>
            <w:r w:rsidRPr="00AF6D3C">
              <w:t>occupational health and safety (OHS) legislation</w:t>
            </w:r>
          </w:p>
          <w:p w:rsidR="00000000" w:rsidRPr="00AF6D3C" w:rsidP="00AF6D3C">
            <w:pPr>
              <w:pStyle w:val="ListBullet"/>
            </w:pPr>
            <w:r w:rsidRPr="00AF6D3C">
              <w:t>Privacy Act</w:t>
            </w:r>
          </w:p>
          <w:p w:rsidR="00000000" w:rsidRPr="00AF6D3C" w:rsidP="00AF6D3C">
            <w:pPr>
              <w:pStyle w:val="ListBullet"/>
            </w:pPr>
            <w:r w:rsidRPr="00AF6D3C">
              <w:t>taxation law</w:t>
            </w:r>
          </w:p>
          <w:p w:rsidR="00000000" w:rsidP="00AF6D3C">
            <w:pPr>
              <w:pStyle w:val="ListBullet"/>
              <w:rPr>
                <w:lang w:val="en-NZ"/>
              </w:rPr>
            </w:pPr>
            <w:r w:rsidRPr="00AF6D3C">
              <w:t>Trade Practices Act.</w:t>
            </w:r>
          </w:p>
        </w:tc>
      </w:tr>
      <w:tr w:rsidTr="007D45B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D3C">
            <w:pPr>
              <w:pStyle w:val="BodyText"/>
              <w:rPr>
                <w:lang w:val="en-NZ"/>
              </w:rPr>
            </w:pPr>
            <w:r w:rsidRPr="00AF6D3C">
              <w:rPr>
                <w:rStyle w:val="BoldandItalics"/>
              </w:rPr>
              <w:t>Variations</w:t>
            </w:r>
            <w:r w:rsidRPr="00AF6D3C">
              <w:t xml:space="preserve"> may be: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D3C" w:rsidP="00AF6D3C">
            <w:pPr>
              <w:pStyle w:val="ListBullet"/>
            </w:pPr>
            <w:r w:rsidRPr="00AF6D3C">
              <w:t>negotiated with members of the distribution channel (both internal and external) to agreed authorities and guidelines.</w:t>
            </w:r>
          </w:p>
        </w:tc>
      </w:tr>
    </w:tbl>
    <w:p w:rsidR="007D45BE" w:rsidP="00AF6D3C">
      <w:pPr>
        <w:pStyle w:val="BodyText"/>
      </w:pPr>
    </w:p>
    <w:p w:rsidR="007D45BE" w:rsidP="00AF6D3C">
      <w:pPr>
        <w:pStyle w:val="BodyText"/>
      </w:pPr>
    </w:p>
    <w:p w:rsidR="00000000" w:rsidRPr="00AF6D3C" w:rsidP="00AF6D3C">
      <w:pPr>
        <w:pStyle w:val="Heading1"/>
      </w:pPr>
      <w:bookmarkStart w:id="12" w:name="O_79742"/>
      <w:bookmarkEnd w:id="12"/>
      <w:r w:rsidRPr="00AF6D3C">
        <w:t>Unit Sector(s)</w:t>
      </w:r>
    </w:p>
    <w:tbl>
      <w:tblPr>
        <w:tblW w:w="0" w:type="auto"/>
        <w:tblLayout w:type="fixed"/>
        <w:tblCellMar>
          <w:left w:w="62" w:type="dxa"/>
          <w:right w:w="62" w:type="dxa"/>
        </w:tblCellMar>
        <w:tblLook w:val="0000"/>
      </w:tblPr>
      <w:tblGrid>
        <w:gridCol w:w="2594"/>
        <w:gridCol w:w="5928"/>
      </w:tblGrid>
      <w:tr w:rsidTr="007D45BE">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D3C">
            <w:pPr>
              <w:pStyle w:val="BodyText"/>
              <w:rPr>
                <w:lang w:val="en-NZ"/>
              </w:rPr>
            </w:pPr>
            <w:r w:rsidRPr="00AF6D3C">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D3C" w:rsidP="00AF6D3C">
            <w:pPr>
              <w:pStyle w:val="BodyText"/>
            </w:pPr>
            <w:r w:rsidRPr="00AF6D3C">
              <w:t>Insurance services</w:t>
            </w:r>
          </w:p>
        </w:tc>
      </w:tr>
    </w:tbl>
    <w:p w:rsidR="00000000" w:rsidRPr="00AF6D3C" w:rsidP="00AF6D3C">
      <w:pPr>
        <w:pStyle w:val="BodyText"/>
      </w:pPr>
    </w:p>
    <w:p w:rsidR="00000000" w:rsidRPr="00AF6D3C" w:rsidP="00AF6D3C">
      <w:pPr>
        <w:pStyle w:val="AllowPageBreak"/>
      </w:pPr>
    </w:p>
    <w:p w:rsidR="00000000" w:rsidRPr="00AF6D3C" w:rsidP="00AF6D3C">
      <w:pPr>
        <w:pStyle w:val="Heading1"/>
      </w:pPr>
      <w:bookmarkStart w:id="13" w:name="O_156523"/>
      <w:bookmarkEnd w:id="13"/>
      <w:r w:rsidRPr="00AF6D3C">
        <w:t>Competency field</w:t>
      </w:r>
    </w:p>
    <w:tbl>
      <w:tblPr>
        <w:tblW w:w="0" w:type="auto"/>
        <w:tblLayout w:type="fixed"/>
        <w:tblCellMar>
          <w:left w:w="62" w:type="dxa"/>
          <w:right w:w="62" w:type="dxa"/>
        </w:tblCellMar>
        <w:tblLook w:val="0000"/>
      </w:tblPr>
      <w:tblGrid>
        <w:gridCol w:w="2754"/>
        <w:gridCol w:w="5768"/>
      </w:tblGrid>
      <w:tr w:rsidTr="007D45BE">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D3C">
            <w:pPr>
              <w:pStyle w:val="BodyText"/>
              <w:rPr>
                <w:lang w:val="en-NZ"/>
              </w:rPr>
            </w:pPr>
            <w:r w:rsidRPr="00AF6D3C">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D3C" w:rsidP="00AF6D3C">
            <w:pPr>
              <w:pStyle w:val="BodyText"/>
            </w:pPr>
          </w:p>
        </w:tc>
      </w:tr>
    </w:tbl>
    <w:p w:rsidR="00000000" w:rsidRPr="00AF6D3C" w:rsidP="00AF6D3C">
      <w:pPr>
        <w:pStyle w:val="BodyText"/>
      </w:pPr>
    </w:p>
    <w:p w:rsidR="00000000" w:rsidRPr="00AF6D3C" w:rsidP="00AF6D3C">
      <w:pPr>
        <w:pStyle w:val="AllowPageBreak"/>
      </w:pPr>
    </w:p>
    <w:p w:rsidR="00000000" w:rsidRPr="00AF6D3C" w:rsidP="00AF6D3C">
      <w:pPr>
        <w:pStyle w:val="Heading1"/>
      </w:pPr>
      <w:bookmarkStart w:id="14" w:name="O_156522"/>
      <w:bookmarkEnd w:id="14"/>
      <w:r w:rsidRPr="00AF6D3C">
        <w:t>Co-requisite units</w:t>
      </w:r>
    </w:p>
    <w:tbl>
      <w:tblPr>
        <w:tblW w:w="0" w:type="auto"/>
        <w:tblLayout w:type="fixed"/>
        <w:tblCellMar>
          <w:left w:w="62" w:type="dxa"/>
          <w:right w:w="62" w:type="dxa"/>
        </w:tblCellMar>
        <w:tblLook w:val="0000"/>
      </w:tblPr>
      <w:tblGrid>
        <w:gridCol w:w="2629"/>
        <w:gridCol w:w="1324"/>
        <w:gridCol w:w="4569"/>
      </w:tblGrid>
      <w:tr w:rsidTr="007D45BE">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D3C">
            <w:pPr>
              <w:pStyle w:val="BodyText"/>
              <w:rPr>
                <w:lang w:val="en-NZ"/>
              </w:rPr>
            </w:pPr>
            <w:r w:rsidRPr="00AF6D3C">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D3C">
            <w:pPr>
              <w:pStyle w:val="BodyText"/>
              <w:rPr>
                <w:lang w:val="en-NZ"/>
              </w:rPr>
            </w:pPr>
          </w:p>
        </w:tc>
      </w:tr>
      <w:tr w:rsidTr="007D45BE">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D3C" w:rsidP="00AF6D3C">
            <w:pPr>
              <w:pStyle w:val="BodyText"/>
            </w:pPr>
          </w:p>
        </w:tc>
      </w:tr>
    </w:tbl>
    <w:p w:rsidR="00000000" w:rsidRPr="00AF6D3C" w:rsidP="00AF6D3C">
      <w:pPr>
        <w:pStyle w:val="BodyText"/>
      </w:pPr>
    </w:p>
    <w:p w:rsidR="00000000" w:rsidRPr="00AF6D3C" w:rsidP="00AF6D3C"/>
    <w:sectPr w:rsidSect="00AF6D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D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45BE" w:rsidP="007D45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D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5BE" w:rsidP="00AF6D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D45BE" w:rsidP="00AF6D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D45BE" w:rsidP="00AF6D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D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45BE" w:rsidP="007D45B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D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5BE" w:rsidP="00AF6D3C">
    <w:pPr>
      <w:pStyle w:val="Header"/>
      <w:framePr w:wrap="around"/>
    </w:pPr>
    <w:r>
      <w:fldChar w:fldCharType="begin"/>
    </w:r>
    <w:r>
      <w:instrText xml:space="preserve"> TITLE   \* MERGEFORMAT </w:instrText>
    </w:r>
    <w:r>
      <w:fldChar w:fldCharType="separate"/>
    </w:r>
    <w:r>
      <w:t>FNSISV516A Allocate authorities and guidelines for distribution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D45BE" w:rsidP="00AF6D3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2663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5662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3C91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D3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F6D3C"/>
    <w:pPr>
      <w:spacing w:before="360" w:after="60"/>
      <w:outlineLvl w:val="0"/>
    </w:pPr>
    <w:rPr>
      <w:sz w:val="32"/>
    </w:rPr>
  </w:style>
  <w:style w:type="paragraph" w:styleId="Heading2">
    <w:name w:val="heading 2"/>
    <w:basedOn w:val="HeadingBase"/>
    <w:next w:val="BodyText"/>
    <w:link w:val="Heading2Char"/>
    <w:qFormat/>
    <w:rsid w:val="00AF6D3C"/>
    <w:pPr>
      <w:keepLines/>
      <w:spacing w:before="240" w:after="120"/>
      <w:outlineLvl w:val="1"/>
    </w:pPr>
    <w:rPr>
      <w:sz w:val="28"/>
      <w:szCs w:val="40"/>
    </w:rPr>
  </w:style>
  <w:style w:type="paragraph" w:styleId="Heading3">
    <w:name w:val="heading 3"/>
    <w:basedOn w:val="HeadingBase"/>
    <w:next w:val="BodyText"/>
    <w:link w:val="Heading3Char"/>
    <w:qFormat/>
    <w:rsid w:val="00AF6D3C"/>
    <w:pPr>
      <w:spacing w:before="180" w:after="120"/>
      <w:outlineLvl w:val="2"/>
    </w:pPr>
    <w:rPr>
      <w:spacing w:val="-10"/>
      <w:kern w:val="32"/>
    </w:rPr>
  </w:style>
  <w:style w:type="paragraph" w:styleId="Heading4">
    <w:name w:val="heading 4"/>
    <w:basedOn w:val="HeadingBase"/>
    <w:next w:val="BodyText"/>
    <w:link w:val="Heading4Char"/>
    <w:qFormat/>
    <w:rsid w:val="00AF6D3C"/>
    <w:pPr>
      <w:spacing w:before="160" w:after="120"/>
      <w:outlineLvl w:val="3"/>
    </w:pPr>
    <w:rPr>
      <w:sz w:val="22"/>
    </w:rPr>
  </w:style>
  <w:style w:type="paragraph" w:styleId="Heading5">
    <w:name w:val="heading 5"/>
    <w:basedOn w:val="HeadingBase"/>
    <w:next w:val="Normal"/>
    <w:link w:val="Heading5Char"/>
    <w:qFormat/>
    <w:rsid w:val="00AF6D3C"/>
    <w:pPr>
      <w:spacing w:before="80"/>
      <w:outlineLvl w:val="4"/>
    </w:pPr>
    <w:rPr>
      <w:color w:val="918585"/>
      <w:sz w:val="20"/>
    </w:rPr>
  </w:style>
  <w:style w:type="paragraph" w:styleId="Heading6">
    <w:name w:val="heading 6"/>
    <w:basedOn w:val="HeadingBase"/>
    <w:next w:val="Normal"/>
    <w:link w:val="Heading6Char"/>
    <w:qFormat/>
    <w:rsid w:val="00AF6D3C"/>
    <w:pPr>
      <w:spacing w:before="60"/>
      <w:outlineLvl w:val="5"/>
    </w:pPr>
    <w:rPr>
      <w:color w:val="918585"/>
      <w:sz w:val="20"/>
    </w:rPr>
  </w:style>
  <w:style w:type="paragraph" w:styleId="Heading7">
    <w:name w:val="heading 7"/>
    <w:basedOn w:val="Normal"/>
    <w:next w:val="Normal"/>
    <w:link w:val="Heading7Char"/>
    <w:qFormat/>
    <w:rsid w:val="00AF6D3C"/>
    <w:pPr>
      <w:ind w:left="720"/>
      <w:outlineLvl w:val="6"/>
    </w:pPr>
    <w:rPr>
      <w:i/>
    </w:rPr>
  </w:style>
  <w:style w:type="paragraph" w:styleId="Heading8">
    <w:name w:val="heading 8"/>
    <w:basedOn w:val="Normal"/>
    <w:next w:val="Normal"/>
    <w:link w:val="Heading8Char"/>
    <w:qFormat/>
    <w:rsid w:val="00AF6D3C"/>
    <w:pPr>
      <w:ind w:left="720"/>
      <w:outlineLvl w:val="7"/>
    </w:pPr>
    <w:rPr>
      <w:i/>
    </w:rPr>
  </w:style>
  <w:style w:type="paragraph" w:styleId="Heading9">
    <w:name w:val="heading 9"/>
    <w:basedOn w:val="Normal"/>
    <w:next w:val="Normal"/>
    <w:link w:val="Heading9Char"/>
    <w:qFormat/>
    <w:rsid w:val="00AF6D3C"/>
    <w:pPr>
      <w:ind w:left="720"/>
      <w:outlineLvl w:val="8"/>
    </w:pPr>
    <w:rPr>
      <w:i/>
    </w:rPr>
  </w:style>
  <w:style w:type="character" w:default="1" w:styleId="DefaultParagraphFont">
    <w:name w:val="Default Paragraph Font"/>
    <w:uiPriority w:val="1"/>
    <w:unhideWhenUsed/>
    <w:rsid w:val="00AF6D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6D3C"/>
  </w:style>
  <w:style w:type="character" w:customStyle="1" w:styleId="Heading1Char">
    <w:name w:val="Heading 1 Char"/>
    <w:basedOn w:val="DefaultParagraphFont"/>
    <w:link w:val="Heading1"/>
    <w:rsid w:val="00AF6D3C"/>
    <w:rPr>
      <w:rFonts w:ascii="Times New Roman" w:eastAsia="Times New Roman" w:hAnsi="Times New Roman" w:cs="Times New Roman"/>
      <w:b/>
      <w:sz w:val="32"/>
      <w:szCs w:val="20"/>
      <w:lang w:eastAsia="en-US"/>
    </w:rPr>
  </w:style>
  <w:style w:type="paragraph" w:styleId="BodyText">
    <w:name w:val="Body Text"/>
    <w:basedOn w:val="Normal"/>
    <w:link w:val="BodyTextChar"/>
    <w:rsid w:val="00AF6D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6D3C"/>
    <w:rPr>
      <w:rFonts w:ascii="Times New Roman" w:eastAsia="Times New Roman" w:hAnsi="Times New Roman" w:cs="Times New Roman"/>
      <w:sz w:val="24"/>
      <w:lang w:val="en-US" w:eastAsia="en-US"/>
    </w:rPr>
  </w:style>
  <w:style w:type="paragraph" w:styleId="Footer">
    <w:name w:val="footer"/>
    <w:basedOn w:val="Normal"/>
    <w:link w:val="FooterChar"/>
    <w:rsid w:val="00AF6D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6D3C"/>
    <w:rPr>
      <w:rFonts w:ascii="Times New Roman" w:eastAsia="Times New Roman" w:hAnsi="Times New Roman" w:cs="Times New Roman"/>
      <w:sz w:val="16"/>
      <w:lang w:val="en-US" w:eastAsia="en-US"/>
    </w:rPr>
  </w:style>
  <w:style w:type="paragraph" w:styleId="List">
    <w:name w:val="List"/>
    <w:basedOn w:val="BodyText"/>
    <w:next w:val="BodyText"/>
    <w:rsid w:val="00AF6D3C"/>
    <w:pPr>
      <w:tabs>
        <w:tab w:val="left" w:pos="340"/>
      </w:tabs>
      <w:spacing w:before="60" w:after="60"/>
      <w:ind w:left="340" w:hanging="340"/>
    </w:pPr>
  </w:style>
  <w:style w:type="paragraph" w:styleId="ListBullet">
    <w:name w:val="List Bullet"/>
    <w:basedOn w:val="List"/>
    <w:rsid w:val="00AF6D3C"/>
    <w:pPr>
      <w:numPr>
        <w:numId w:val="13"/>
      </w:numPr>
      <w:tabs>
        <w:tab w:val="clear" w:pos="340"/>
      </w:tabs>
      <w:spacing w:before="40" w:after="40"/>
    </w:pPr>
  </w:style>
  <w:style w:type="character" w:customStyle="1" w:styleId="SpecialBold">
    <w:name w:val="Special Bold"/>
    <w:basedOn w:val="DefaultParagraphFont"/>
    <w:rsid w:val="00AF6D3C"/>
    <w:rPr>
      <w:b/>
      <w:spacing w:val="0"/>
    </w:rPr>
  </w:style>
  <w:style w:type="paragraph" w:styleId="ListBullet2">
    <w:name w:val="List Bullet 2"/>
    <w:basedOn w:val="List2"/>
    <w:rsid w:val="00AF6D3C"/>
    <w:pPr>
      <w:numPr>
        <w:numId w:val="14"/>
      </w:numPr>
      <w:tabs>
        <w:tab w:val="clear" w:pos="680"/>
      </w:tabs>
    </w:pPr>
  </w:style>
  <w:style w:type="paragraph" w:styleId="Header">
    <w:name w:val="header"/>
    <w:basedOn w:val="Normal"/>
    <w:link w:val="HeaderChar"/>
    <w:rsid w:val="00AF6D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6D3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F6D3C"/>
    <w:pPr>
      <w:spacing w:before="240" w:after="120"/>
      <w:outlineLvl w:val="0"/>
    </w:pPr>
    <w:rPr>
      <w:rFonts w:ascii="Times New Roman" w:hAnsi="Times New Roman"/>
      <w:b/>
      <w:sz w:val="28"/>
    </w:rPr>
  </w:style>
  <w:style w:type="paragraph" w:customStyle="1" w:styleId="AllowPageBreak">
    <w:name w:val="AllowPageBreak"/>
    <w:rsid w:val="00AF6D3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F6D3C"/>
    <w:pPr>
      <w:tabs>
        <w:tab w:val="left" w:pos="680"/>
      </w:tabs>
      <w:spacing w:before="60" w:after="60"/>
      <w:ind w:left="680" w:hanging="340"/>
    </w:pPr>
  </w:style>
  <w:style w:type="character" w:customStyle="1" w:styleId="BoldandItalics">
    <w:name w:val="Bold and Italics"/>
    <w:qFormat/>
    <w:rsid w:val="00AF6D3C"/>
    <w:rPr>
      <w:b/>
      <w:i/>
      <w:u w:val="none"/>
    </w:rPr>
  </w:style>
  <w:style w:type="character" w:customStyle="1" w:styleId="Heading2Char">
    <w:name w:val="Heading 2 Char"/>
    <w:basedOn w:val="DefaultParagraphFont"/>
    <w:link w:val="Heading2"/>
    <w:rsid w:val="00AF6D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6D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6D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6D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6D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6D3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F6D3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F6D3C"/>
    <w:rPr>
      <w:rFonts w:ascii="Courier New" w:eastAsia="Times New Roman" w:hAnsi="Courier New" w:cs="Times New Roman"/>
      <w:i/>
      <w:szCs w:val="20"/>
      <w:lang w:val="en-US" w:eastAsia="en-US"/>
    </w:rPr>
  </w:style>
  <w:style w:type="paragraph" w:customStyle="1" w:styleId="HeadingBase">
    <w:name w:val="Heading Base"/>
    <w:rsid w:val="00AF6D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6D3C"/>
    <w:pPr>
      <w:tabs>
        <w:tab w:val="right" w:leader="dot" w:pos="9072"/>
      </w:tabs>
      <w:ind w:left="567"/>
    </w:pPr>
    <w:rPr>
      <w:szCs w:val="22"/>
    </w:rPr>
  </w:style>
  <w:style w:type="paragraph" w:customStyle="1" w:styleId="TOCBase">
    <w:name w:val="TOC Base"/>
    <w:rsid w:val="00AF6D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6D3C"/>
    <w:pPr>
      <w:tabs>
        <w:tab w:val="right" w:leader="dot" w:pos="9072"/>
      </w:tabs>
      <w:spacing w:before="40" w:after="40"/>
      <w:ind w:left="284"/>
    </w:pPr>
    <w:rPr>
      <w:rFonts w:ascii="Times New Roman" w:hAnsi="Times New Roman"/>
    </w:rPr>
  </w:style>
  <w:style w:type="paragraph" w:styleId="TOC1">
    <w:name w:val="toc 1"/>
    <w:basedOn w:val="TOCBase"/>
    <w:next w:val="Normal"/>
    <w:rsid w:val="00AF6D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6D3C"/>
    <w:pPr>
      <w:spacing w:before="5040"/>
      <w:jc w:val="center"/>
    </w:pPr>
    <w:rPr>
      <w:sz w:val="48"/>
      <w:szCs w:val="72"/>
      <w:lang w:val="en-US"/>
    </w:rPr>
  </w:style>
  <w:style w:type="character" w:customStyle="1" w:styleId="TitleChar">
    <w:name w:val="Title Char"/>
    <w:basedOn w:val="DefaultParagraphFont"/>
    <w:link w:val="Title"/>
    <w:rsid w:val="00AF6D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6D3C"/>
    <w:pPr>
      <w:tabs>
        <w:tab w:val="left" w:pos="3600"/>
        <w:tab w:val="left" w:pos="3958"/>
      </w:tabs>
    </w:pPr>
  </w:style>
  <w:style w:type="paragraph" w:customStyle="1" w:styleId="Note">
    <w:name w:val="Note"/>
    <w:basedOn w:val="BodyText"/>
    <w:rsid w:val="00AF6D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6D3C"/>
    <w:pPr>
      <w:framePr w:wrap="auto" w:hAnchor="text" w:y="6049"/>
    </w:pPr>
    <w:rPr>
      <w:color w:val="000000"/>
      <w:sz w:val="40"/>
    </w:rPr>
  </w:style>
  <w:style w:type="paragraph" w:customStyle="1" w:styleId="TOCTitle">
    <w:name w:val="TOCTitle"/>
    <w:basedOn w:val="Heading1"/>
    <w:rsid w:val="00AF6D3C"/>
    <w:pPr>
      <w:spacing w:after="240"/>
      <w:jc w:val="center"/>
      <w:outlineLvl w:val="9"/>
    </w:pPr>
    <w:rPr>
      <w:caps/>
    </w:rPr>
  </w:style>
  <w:style w:type="paragraph" w:customStyle="1" w:styleId="Version">
    <w:name w:val="Version"/>
    <w:rsid w:val="00AF6D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6D3C"/>
    <w:pPr>
      <w:keepNext w:val="0"/>
      <w:tabs>
        <w:tab w:val="right" w:pos="4176"/>
      </w:tabs>
      <w:ind w:left="198" w:hanging="198"/>
    </w:pPr>
    <w:rPr>
      <w:rFonts w:ascii="Garamond" w:hAnsi="Garamond"/>
    </w:rPr>
  </w:style>
  <w:style w:type="paragraph" w:styleId="IndexHeading">
    <w:name w:val="index heading"/>
    <w:basedOn w:val="Normal"/>
    <w:next w:val="Index1"/>
    <w:semiHidden/>
    <w:rsid w:val="00AF6D3C"/>
    <w:pPr>
      <w:spacing w:before="120" w:after="120"/>
    </w:pPr>
    <w:rPr>
      <w:rFonts w:ascii="Arial" w:hAnsi="Arial"/>
      <w:b/>
      <w:color w:val="918585"/>
      <w:sz w:val="24"/>
    </w:rPr>
  </w:style>
  <w:style w:type="paragraph" w:customStyle="1" w:styleId="Chapter">
    <w:name w:val="Chapter"/>
    <w:basedOn w:val="Normal"/>
    <w:rsid w:val="00AF6D3C"/>
    <w:pPr>
      <w:spacing w:before="240"/>
    </w:pPr>
    <w:rPr>
      <w:rFonts w:ascii="Times New Roman" w:hAnsi="Times New Roman"/>
      <w:smallCaps/>
      <w:spacing w:val="80"/>
      <w:sz w:val="28"/>
    </w:rPr>
  </w:style>
  <w:style w:type="paragraph" w:customStyle="1" w:styleId="InChapter">
    <w:name w:val="InChapter"/>
    <w:basedOn w:val="Heading3"/>
    <w:rsid w:val="00AF6D3C"/>
    <w:pPr>
      <w:spacing w:after="240"/>
      <w:outlineLvl w:val="9"/>
    </w:pPr>
    <w:rPr>
      <w:noProof/>
    </w:rPr>
  </w:style>
  <w:style w:type="paragraph" w:styleId="Index2">
    <w:name w:val="index 2"/>
    <w:basedOn w:val="Normal"/>
    <w:next w:val="Normal"/>
    <w:semiHidden/>
    <w:rsid w:val="00AF6D3C"/>
    <w:pPr>
      <w:tabs>
        <w:tab w:val="right" w:pos="4176"/>
      </w:tabs>
      <w:ind w:left="568" w:hanging="284"/>
    </w:pPr>
    <w:rPr>
      <w:rFonts w:ascii="Garamond" w:hAnsi="Garamond"/>
    </w:rPr>
  </w:style>
  <w:style w:type="paragraph" w:customStyle="1" w:styleId="Byline">
    <w:name w:val="Byline"/>
    <w:rsid w:val="00AF6D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6D3C"/>
    <w:pPr>
      <w:tabs>
        <w:tab w:val="clear" w:pos="3600"/>
        <w:tab w:val="clear" w:pos="3958"/>
      </w:tabs>
      <w:jc w:val="right"/>
    </w:pPr>
  </w:style>
  <w:style w:type="character" w:styleId="Emphasis">
    <w:name w:val="Emphasis"/>
    <w:basedOn w:val="DefaultParagraphFont"/>
    <w:qFormat/>
    <w:rsid w:val="00AF6D3C"/>
    <w:rPr>
      <w:i/>
    </w:rPr>
  </w:style>
  <w:style w:type="paragraph" w:styleId="Caption">
    <w:name w:val="caption"/>
    <w:basedOn w:val="BodyText"/>
    <w:next w:val="Normal"/>
    <w:qFormat/>
    <w:rsid w:val="00AF6D3C"/>
    <w:pPr>
      <w:framePr w:w="2268" w:hSpace="181" w:vSpace="181" w:wrap="around" w:vAnchor="text" w:hAnchor="page" w:x="1135" w:y="285" w:anchorLock="1"/>
    </w:pPr>
    <w:rPr>
      <w:i/>
    </w:rPr>
  </w:style>
  <w:style w:type="paragraph" w:customStyle="1" w:styleId="MiniTOCTitle">
    <w:name w:val="MiniTOCTitle"/>
    <w:basedOn w:val="Heading4"/>
    <w:rsid w:val="00AF6D3C"/>
    <w:pPr>
      <w:spacing w:before="240"/>
      <w:outlineLvl w:val="9"/>
    </w:pPr>
    <w:rPr>
      <w:noProof/>
      <w:sz w:val="24"/>
    </w:rPr>
  </w:style>
  <w:style w:type="paragraph" w:customStyle="1" w:styleId="MiniTOCItem">
    <w:name w:val="MiniTOCItem"/>
    <w:basedOn w:val="ListBullet"/>
    <w:rsid w:val="00AF6D3C"/>
    <w:pPr>
      <w:numPr>
        <w:numId w:val="0"/>
      </w:numPr>
      <w:tabs>
        <w:tab w:val="right" w:leader="dot" w:pos="6521"/>
      </w:tabs>
      <w:spacing w:before="0" w:after="0"/>
    </w:pPr>
  </w:style>
  <w:style w:type="paragraph" w:customStyle="1" w:styleId="TOFTitle">
    <w:name w:val="TOFTitle"/>
    <w:basedOn w:val="TOCTitle"/>
    <w:rsid w:val="00AF6D3C"/>
  </w:style>
  <w:style w:type="paragraph" w:styleId="TableofFigures">
    <w:name w:val="table of figures"/>
    <w:basedOn w:val="Normal"/>
    <w:next w:val="Normal"/>
    <w:semiHidden/>
    <w:rsid w:val="00AF6D3C"/>
    <w:pPr>
      <w:tabs>
        <w:tab w:val="right" w:leader="dot" w:pos="9072"/>
      </w:tabs>
      <w:ind w:left="970" w:hanging="403"/>
    </w:pPr>
    <w:rPr>
      <w:rFonts w:ascii="Times New Roman" w:hAnsi="Times New Roman"/>
      <w:b/>
    </w:rPr>
  </w:style>
  <w:style w:type="paragraph" w:styleId="ListNumber">
    <w:name w:val="List Number"/>
    <w:basedOn w:val="List"/>
    <w:rsid w:val="00AF6D3C"/>
    <w:pPr>
      <w:numPr>
        <w:numId w:val="11"/>
      </w:numPr>
    </w:pPr>
  </w:style>
  <w:style w:type="character" w:customStyle="1" w:styleId="WingdingSymbols">
    <w:name w:val="Wingding Symbols"/>
    <w:rsid w:val="00AF6D3C"/>
    <w:rPr>
      <w:rFonts w:ascii="Wingdings" w:hAnsi="Wingdings"/>
    </w:rPr>
  </w:style>
  <w:style w:type="paragraph" w:customStyle="1" w:styleId="TableHeading">
    <w:name w:val="Table Heading"/>
    <w:basedOn w:val="HeadingBase"/>
    <w:rsid w:val="00AF6D3C"/>
    <w:pPr>
      <w:keepLines/>
      <w:pBdr>
        <w:bottom w:val="single" w:sz="6" w:space="1" w:color="918585"/>
      </w:pBdr>
      <w:spacing w:before="240"/>
    </w:pPr>
  </w:style>
  <w:style w:type="character" w:customStyle="1" w:styleId="HotSpot">
    <w:name w:val="HotSpot"/>
    <w:rsid w:val="00AF6D3C"/>
    <w:rPr>
      <w:color w:val="0033CC"/>
      <w:u w:val="none"/>
    </w:rPr>
  </w:style>
  <w:style w:type="paragraph" w:customStyle="1" w:styleId="BodyTextRight">
    <w:name w:val="Body Text Right"/>
    <w:basedOn w:val="BodyText"/>
    <w:rsid w:val="00AF6D3C"/>
    <w:pPr>
      <w:spacing w:before="0" w:after="0"/>
      <w:jc w:val="right"/>
    </w:pPr>
  </w:style>
  <w:style w:type="paragraph" w:styleId="Index3">
    <w:name w:val="index 3"/>
    <w:basedOn w:val="ListNumber2"/>
    <w:next w:val="Normal"/>
    <w:semiHidden/>
    <w:rsid w:val="00AF6D3C"/>
    <w:pPr>
      <w:numPr>
        <w:numId w:val="0"/>
      </w:numPr>
      <w:tabs>
        <w:tab w:val="right" w:leader="dot" w:pos="4176"/>
      </w:tabs>
    </w:pPr>
  </w:style>
  <w:style w:type="paragraph" w:styleId="ListNumber2">
    <w:name w:val="List Number 2"/>
    <w:basedOn w:val="List2"/>
    <w:rsid w:val="00AF6D3C"/>
    <w:pPr>
      <w:numPr>
        <w:numId w:val="10"/>
      </w:numPr>
      <w:tabs>
        <w:tab w:val="clear" w:pos="1060"/>
      </w:tabs>
    </w:pPr>
  </w:style>
  <w:style w:type="paragraph" w:customStyle="1" w:styleId="MarginNote">
    <w:name w:val="Margin Note"/>
    <w:basedOn w:val="BodyText"/>
    <w:rsid w:val="00AF6D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6D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6D3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F6D3C"/>
    <w:rPr>
      <w:sz w:val="32"/>
    </w:rPr>
  </w:style>
  <w:style w:type="paragraph" w:customStyle="1" w:styleId="HeadingProcedure">
    <w:name w:val="Heading Procedure"/>
    <w:basedOn w:val="HeadingBase"/>
    <w:next w:val="Normal"/>
    <w:rsid w:val="00AF6D3C"/>
    <w:pPr>
      <w:tabs>
        <w:tab w:val="left" w:pos="0"/>
      </w:tabs>
      <w:spacing w:before="120" w:after="60"/>
    </w:pPr>
    <w:rPr>
      <w:i/>
      <w:color w:val="918585"/>
      <w:sz w:val="22"/>
    </w:rPr>
  </w:style>
  <w:style w:type="paragraph" w:customStyle="1" w:styleId="TableBodyText">
    <w:name w:val="Table Body Text"/>
    <w:basedOn w:val="BodyText"/>
    <w:rsid w:val="00AF6D3C"/>
    <w:pPr>
      <w:spacing w:before="60" w:after="60"/>
    </w:pPr>
  </w:style>
  <w:style w:type="paragraph" w:styleId="ListContinue">
    <w:name w:val="List Continue"/>
    <w:basedOn w:val="List"/>
    <w:rsid w:val="00AF6D3C"/>
    <w:pPr>
      <w:ind w:firstLine="0"/>
    </w:pPr>
  </w:style>
  <w:style w:type="paragraph" w:customStyle="1" w:styleId="ListNote">
    <w:name w:val="List Note"/>
    <w:basedOn w:val="List"/>
    <w:rsid w:val="00AF6D3C"/>
    <w:pPr>
      <w:pBdr>
        <w:top w:val="single" w:sz="6" w:space="2" w:color="918585"/>
        <w:bottom w:val="single" w:sz="6" w:space="2" w:color="918585"/>
      </w:pBdr>
      <w:tabs>
        <w:tab w:val="left" w:pos="1021"/>
      </w:tabs>
      <w:ind w:firstLine="0"/>
    </w:pPr>
  </w:style>
  <w:style w:type="paragraph" w:customStyle="1" w:styleId="Warning">
    <w:name w:val="Warning"/>
    <w:basedOn w:val="BodyText"/>
    <w:rsid w:val="00AF6D3C"/>
    <w:pPr>
      <w:shd w:val="clear" w:color="auto" w:fill="D9D9D9"/>
      <w:tabs>
        <w:tab w:val="left" w:pos="992"/>
      </w:tabs>
      <w:ind w:left="119" w:right="119"/>
    </w:pPr>
    <w:rPr>
      <w:sz w:val="20"/>
    </w:rPr>
  </w:style>
  <w:style w:type="paragraph" w:customStyle="1" w:styleId="MarginIcons">
    <w:name w:val="Margin Icons"/>
    <w:basedOn w:val="BodyText"/>
    <w:rsid w:val="00AF6D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6D3C"/>
    <w:rPr>
      <w:rFonts w:ascii="Courier New" w:hAnsi="Courier New"/>
    </w:rPr>
  </w:style>
  <w:style w:type="paragraph" w:customStyle="1" w:styleId="NoteBullet">
    <w:name w:val="Note Bullet"/>
    <w:basedOn w:val="Note"/>
    <w:rsid w:val="00AF6D3C"/>
    <w:pPr>
      <w:tabs>
        <w:tab w:val="clear" w:pos="680"/>
      </w:tabs>
      <w:spacing w:before="60" w:after="60"/>
    </w:pPr>
  </w:style>
  <w:style w:type="paragraph" w:customStyle="1" w:styleId="SubHeading2">
    <w:name w:val="SubHeading2"/>
    <w:basedOn w:val="HeadingBase"/>
    <w:rsid w:val="00AF6D3C"/>
    <w:pPr>
      <w:spacing w:before="240" w:after="60"/>
    </w:pPr>
    <w:rPr>
      <w:sz w:val="20"/>
    </w:rPr>
  </w:style>
  <w:style w:type="paragraph" w:customStyle="1" w:styleId="SubHeading1">
    <w:name w:val="SubHeading1"/>
    <w:basedOn w:val="HeadingBase"/>
    <w:rsid w:val="00AF6D3C"/>
    <w:pPr>
      <w:spacing w:before="240" w:after="60"/>
    </w:pPr>
    <w:rPr>
      <w:color w:val="918585"/>
      <w:sz w:val="22"/>
    </w:rPr>
  </w:style>
  <w:style w:type="paragraph" w:customStyle="1" w:styleId="SideHeading">
    <w:name w:val="Side Heading"/>
    <w:basedOn w:val="HeadingBase"/>
    <w:rsid w:val="00AF6D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6D3C"/>
    <w:pPr>
      <w:numPr>
        <w:numId w:val="12"/>
      </w:numPr>
    </w:pPr>
  </w:style>
  <w:style w:type="paragraph" w:styleId="PlainText">
    <w:name w:val="Plain Text"/>
    <w:basedOn w:val="Normal"/>
    <w:link w:val="PlainTextChar"/>
    <w:rsid w:val="00AF6D3C"/>
    <w:rPr>
      <w:sz w:val="20"/>
    </w:rPr>
  </w:style>
  <w:style w:type="character" w:customStyle="1" w:styleId="PlainTextChar">
    <w:name w:val="Plain Text Char"/>
    <w:basedOn w:val="DefaultParagraphFont"/>
    <w:link w:val="PlainText"/>
    <w:rsid w:val="00AF6D3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F6D3C"/>
    <w:rPr>
      <w:b/>
      <w:smallCaps/>
    </w:rPr>
  </w:style>
  <w:style w:type="paragraph" w:customStyle="1" w:styleId="TableListNumber">
    <w:name w:val="Table List Number"/>
    <w:basedOn w:val="ListNumber"/>
    <w:rsid w:val="00AF6D3C"/>
    <w:pPr>
      <w:numPr>
        <w:numId w:val="0"/>
      </w:numPr>
    </w:pPr>
  </w:style>
  <w:style w:type="paragraph" w:styleId="TOC4">
    <w:name w:val="toc 4"/>
    <w:basedOn w:val="TOCBase"/>
    <w:next w:val="Normal"/>
    <w:semiHidden/>
    <w:rsid w:val="00AF6D3C"/>
    <w:pPr>
      <w:tabs>
        <w:tab w:val="right" w:leader="dot" w:pos="9071"/>
      </w:tabs>
      <w:ind w:left="1701"/>
    </w:pPr>
  </w:style>
  <w:style w:type="paragraph" w:customStyle="1" w:styleId="ListAlpha">
    <w:name w:val="List Alpha"/>
    <w:basedOn w:val="List"/>
    <w:rsid w:val="00AF6D3C"/>
    <w:pPr>
      <w:numPr>
        <w:numId w:val="9"/>
      </w:numPr>
    </w:pPr>
  </w:style>
  <w:style w:type="paragraph" w:customStyle="1" w:styleId="ListAlpha2">
    <w:name w:val="List Alpha 2"/>
    <w:basedOn w:val="List2"/>
    <w:rsid w:val="00AF6D3C"/>
    <w:pPr>
      <w:numPr>
        <w:numId w:val="8"/>
      </w:numPr>
    </w:pPr>
  </w:style>
  <w:style w:type="paragraph" w:styleId="List3">
    <w:name w:val="List 3"/>
    <w:basedOn w:val="BodyText"/>
    <w:rsid w:val="00AF6D3C"/>
    <w:pPr>
      <w:tabs>
        <w:tab w:val="left" w:pos="1021"/>
      </w:tabs>
      <w:spacing w:before="60" w:after="60"/>
      <w:ind w:left="1020" w:hanging="340"/>
    </w:pPr>
  </w:style>
  <w:style w:type="paragraph" w:styleId="List4">
    <w:name w:val="List 4"/>
    <w:basedOn w:val="BodyText"/>
    <w:rsid w:val="00AF6D3C"/>
    <w:pPr>
      <w:tabs>
        <w:tab w:val="left" w:pos="1361"/>
      </w:tabs>
      <w:spacing w:before="60" w:after="60"/>
      <w:ind w:left="1361" w:hanging="340"/>
    </w:pPr>
  </w:style>
  <w:style w:type="paragraph" w:styleId="List5">
    <w:name w:val="List 5"/>
    <w:basedOn w:val="BodyText"/>
    <w:rsid w:val="00AF6D3C"/>
    <w:pPr>
      <w:tabs>
        <w:tab w:val="left" w:pos="1701"/>
      </w:tabs>
      <w:spacing w:before="60" w:after="60"/>
      <w:ind w:left="1701" w:hanging="340"/>
    </w:pPr>
  </w:style>
  <w:style w:type="paragraph" w:styleId="ListBullet3">
    <w:name w:val="List Bullet 3"/>
    <w:basedOn w:val="List3"/>
    <w:rsid w:val="00AF6D3C"/>
    <w:pPr>
      <w:numPr>
        <w:numId w:val="15"/>
      </w:numPr>
      <w:tabs>
        <w:tab w:val="clear" w:pos="1021"/>
      </w:tabs>
      <w:ind w:left="1037" w:hanging="357"/>
    </w:pPr>
  </w:style>
  <w:style w:type="paragraph" w:styleId="ListBullet4">
    <w:name w:val="List Bullet 4"/>
    <w:basedOn w:val="List4"/>
    <w:rsid w:val="00AF6D3C"/>
    <w:pPr>
      <w:numPr>
        <w:numId w:val="3"/>
      </w:numPr>
    </w:pPr>
  </w:style>
  <w:style w:type="paragraph" w:styleId="ListBullet5">
    <w:name w:val="List Bullet 5"/>
    <w:basedOn w:val="List5"/>
    <w:rsid w:val="00AF6D3C"/>
    <w:pPr>
      <w:numPr>
        <w:numId w:val="4"/>
      </w:numPr>
    </w:pPr>
  </w:style>
  <w:style w:type="paragraph" w:styleId="ListContinue2">
    <w:name w:val="List Continue 2"/>
    <w:basedOn w:val="List2"/>
    <w:rsid w:val="00AF6D3C"/>
    <w:pPr>
      <w:ind w:firstLine="0"/>
    </w:pPr>
  </w:style>
  <w:style w:type="paragraph" w:styleId="ListContinue3">
    <w:name w:val="List Continue 3"/>
    <w:basedOn w:val="List3"/>
    <w:rsid w:val="00AF6D3C"/>
    <w:pPr>
      <w:ind w:left="1021" w:firstLine="0"/>
    </w:pPr>
  </w:style>
  <w:style w:type="paragraph" w:styleId="ListContinue4">
    <w:name w:val="List Continue 4"/>
    <w:basedOn w:val="List4"/>
    <w:rsid w:val="00AF6D3C"/>
    <w:pPr>
      <w:ind w:firstLine="0"/>
    </w:pPr>
  </w:style>
  <w:style w:type="paragraph" w:styleId="ListContinue5">
    <w:name w:val="List Continue 5"/>
    <w:basedOn w:val="List5"/>
    <w:rsid w:val="00AF6D3C"/>
    <w:pPr>
      <w:ind w:firstLine="0"/>
    </w:pPr>
  </w:style>
  <w:style w:type="paragraph" w:styleId="ListNumber3">
    <w:name w:val="List Number 3"/>
    <w:basedOn w:val="List3"/>
    <w:rsid w:val="00AF6D3C"/>
    <w:pPr>
      <w:numPr>
        <w:numId w:val="5"/>
      </w:numPr>
    </w:pPr>
  </w:style>
  <w:style w:type="paragraph" w:styleId="ListNumber4">
    <w:name w:val="List Number 4"/>
    <w:basedOn w:val="List4"/>
    <w:rsid w:val="00AF6D3C"/>
    <w:pPr>
      <w:numPr>
        <w:numId w:val="6"/>
      </w:numPr>
    </w:pPr>
  </w:style>
  <w:style w:type="paragraph" w:styleId="ListNumber5">
    <w:name w:val="List Number 5"/>
    <w:basedOn w:val="List5"/>
    <w:rsid w:val="00AF6D3C"/>
    <w:pPr>
      <w:numPr>
        <w:numId w:val="7"/>
      </w:numPr>
    </w:pPr>
  </w:style>
  <w:style w:type="paragraph" w:styleId="BlockText">
    <w:name w:val="Block Text"/>
    <w:basedOn w:val="Normal"/>
    <w:rsid w:val="00AF6D3C"/>
    <w:pPr>
      <w:spacing w:after="120"/>
      <w:ind w:left="1440" w:right="1440"/>
    </w:pPr>
  </w:style>
  <w:style w:type="character" w:customStyle="1" w:styleId="Subscript">
    <w:name w:val="Subscript"/>
    <w:basedOn w:val="DefaultParagraphFont"/>
    <w:rsid w:val="00AF6D3C"/>
    <w:rPr>
      <w:sz w:val="16"/>
      <w:vertAlign w:val="subscript"/>
    </w:rPr>
  </w:style>
  <w:style w:type="character" w:customStyle="1" w:styleId="Superscript">
    <w:name w:val="Superscript"/>
    <w:basedOn w:val="DefaultParagraphFont"/>
    <w:rsid w:val="00AF6D3C"/>
    <w:rPr>
      <w:sz w:val="16"/>
      <w:vertAlign w:val="superscript"/>
    </w:rPr>
  </w:style>
  <w:style w:type="character" w:customStyle="1" w:styleId="Symbols">
    <w:name w:val="Symbols"/>
    <w:basedOn w:val="DefaultParagraphFont"/>
    <w:rsid w:val="00AF6D3C"/>
    <w:rPr>
      <w:rFonts w:ascii="Symbol" w:hAnsi="Symbol"/>
    </w:rPr>
  </w:style>
  <w:style w:type="character" w:customStyle="1" w:styleId="MenuOptions">
    <w:name w:val="Menu Options"/>
    <w:basedOn w:val="DefaultParagraphFont"/>
    <w:rsid w:val="00AF6D3C"/>
    <w:rPr>
      <w:rFonts w:ascii="Arial Narrow" w:hAnsi="Arial Narrow"/>
      <w:smallCaps/>
    </w:rPr>
  </w:style>
  <w:style w:type="character" w:customStyle="1" w:styleId="Buttons">
    <w:name w:val="Buttons"/>
    <w:basedOn w:val="DefaultParagraphFont"/>
    <w:rsid w:val="00AF6D3C"/>
    <w:rPr>
      <w:b/>
    </w:rPr>
  </w:style>
  <w:style w:type="character" w:customStyle="1" w:styleId="Underlined">
    <w:name w:val="Underlined"/>
    <w:basedOn w:val="DefaultParagraphFont"/>
    <w:rsid w:val="00AF6D3C"/>
    <w:rPr>
      <w:u w:val="single"/>
    </w:rPr>
  </w:style>
  <w:style w:type="paragraph" w:customStyle="1" w:styleId="TableBodyTextRight">
    <w:name w:val="Table Body Text Right"/>
    <w:basedOn w:val="TableBodyText"/>
    <w:rsid w:val="00AF6D3C"/>
    <w:pPr>
      <w:widowControl w:val="0"/>
      <w:autoSpaceDE w:val="0"/>
      <w:autoSpaceDN w:val="0"/>
      <w:adjustRightInd w:val="0"/>
      <w:jc w:val="right"/>
    </w:pPr>
    <w:rPr>
      <w:rFonts w:cs="Arial"/>
      <w:szCs w:val="18"/>
    </w:rPr>
  </w:style>
  <w:style w:type="paragraph" w:customStyle="1" w:styleId="CopyrightText">
    <w:name w:val="Copyright Text"/>
    <w:basedOn w:val="BodyText"/>
    <w:rsid w:val="00AF6D3C"/>
    <w:rPr>
      <w:sz w:val="18"/>
    </w:rPr>
  </w:style>
  <w:style w:type="paragraph" w:customStyle="1" w:styleId="BodySmallRight">
    <w:name w:val="Body Small Right"/>
    <w:basedOn w:val="BodyTextRight"/>
    <w:rsid w:val="00AF6D3C"/>
    <w:rPr>
      <w:sz w:val="18"/>
      <w:szCs w:val="18"/>
    </w:rPr>
  </w:style>
  <w:style w:type="paragraph" w:customStyle="1" w:styleId="MarginEdition">
    <w:name w:val="Margin Edition"/>
    <w:basedOn w:val="MarginNote"/>
    <w:rsid w:val="00AF6D3C"/>
    <w:pPr>
      <w:spacing w:before="0" w:after="0"/>
    </w:pPr>
    <w:rPr>
      <w:rFonts w:ascii="Times New Roman" w:hAnsi="Times New Roman"/>
      <w:color w:val="999999"/>
    </w:rPr>
  </w:style>
  <w:style w:type="paragraph" w:customStyle="1" w:styleId="Spacer">
    <w:name w:val="Spacer"/>
    <w:basedOn w:val="Normal"/>
    <w:rsid w:val="00AF6D3C"/>
    <w:rPr>
      <w:sz w:val="2"/>
      <w:szCs w:val="2"/>
    </w:rPr>
  </w:style>
  <w:style w:type="character" w:customStyle="1" w:styleId="Small">
    <w:name w:val="Small"/>
    <w:basedOn w:val="DefaultParagraphFont"/>
    <w:rsid w:val="00AF6D3C"/>
    <w:rPr>
      <w:sz w:val="16"/>
    </w:rPr>
  </w:style>
  <w:style w:type="paragraph" w:customStyle="1" w:styleId="WideTable">
    <w:name w:val="Wide Table"/>
    <w:basedOn w:val="Normal"/>
    <w:rsid w:val="00AF6D3C"/>
    <w:pPr>
      <w:ind w:left="-1418"/>
    </w:pPr>
    <w:rPr>
      <w:sz w:val="2"/>
      <w:szCs w:val="2"/>
    </w:rPr>
  </w:style>
  <w:style w:type="character" w:styleId="PageNumber">
    <w:name w:val="page number"/>
    <w:basedOn w:val="DefaultParagraphFont"/>
    <w:rsid w:val="00AF6D3C"/>
  </w:style>
  <w:style w:type="paragraph" w:styleId="Quote">
    <w:name w:val="Quote"/>
    <w:basedOn w:val="Heading1"/>
    <w:link w:val="QuoteChar"/>
    <w:qFormat/>
    <w:rsid w:val="00AF6D3C"/>
    <w:rPr>
      <w:b w:val="0"/>
      <w:sz w:val="72"/>
      <w:szCs w:val="72"/>
      <w:lang w:val="en-NZ"/>
    </w:rPr>
  </w:style>
  <w:style w:type="character" w:customStyle="1" w:styleId="QuoteChar">
    <w:name w:val="Quote Char"/>
    <w:basedOn w:val="DefaultParagraphFont"/>
    <w:link w:val="Quote"/>
    <w:rsid w:val="00AF6D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6D3C"/>
    <w:pPr>
      <w:pageBreakBefore/>
    </w:pPr>
  </w:style>
  <w:style w:type="paragraph" w:customStyle="1" w:styleId="Border">
    <w:name w:val="Border"/>
    <w:basedOn w:val="Normal"/>
    <w:qFormat/>
    <w:rsid w:val="00AF6D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6D3C"/>
    <w:rPr>
      <w:b/>
      <w:bCs/>
      <w:i/>
      <w:iCs/>
      <w:color w:val="auto"/>
    </w:rPr>
  </w:style>
  <w:style w:type="paragraph" w:styleId="IntenseQuote">
    <w:name w:val="Intense Quote"/>
    <w:basedOn w:val="Normal"/>
    <w:next w:val="Normal"/>
    <w:link w:val="IntenseQuoteChar"/>
    <w:uiPriority w:val="30"/>
    <w:qFormat/>
    <w:rsid w:val="00AF6D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6D3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F6D3C"/>
    <w:rPr>
      <w:smallCaps/>
      <w:color w:val="auto"/>
      <w:u w:val="single"/>
    </w:rPr>
  </w:style>
  <w:style w:type="character" w:styleId="IntenseReference">
    <w:name w:val="Intense Reference"/>
    <w:basedOn w:val="DefaultParagraphFont"/>
    <w:uiPriority w:val="32"/>
    <w:qFormat/>
    <w:rsid w:val="00AF6D3C"/>
    <w:rPr>
      <w:b/>
      <w:bCs/>
      <w:smallCaps/>
      <w:color w:val="auto"/>
      <w:spacing w:val="5"/>
      <w:u w:val="single"/>
    </w:rPr>
  </w:style>
  <w:style w:type="paragraph" w:customStyle="1" w:styleId="2ColumnHeading">
    <w:name w:val="2Column Heading"/>
    <w:basedOn w:val="BodyText"/>
    <w:qFormat/>
    <w:rsid w:val="00AF6D3C"/>
    <w:pPr>
      <w:spacing w:after="60"/>
      <w:ind w:left="-2268"/>
    </w:pPr>
    <w:rPr>
      <w:b/>
    </w:rPr>
  </w:style>
  <w:style w:type="paragraph" w:customStyle="1" w:styleId="Heading1TOC">
    <w:name w:val="Heading1 TOC"/>
    <w:basedOn w:val="Normal"/>
    <w:qFormat/>
    <w:rsid w:val="00AF6D3C"/>
    <w:pPr>
      <w:spacing w:before="240" w:after="120"/>
    </w:pPr>
    <w:rPr>
      <w:rFonts w:ascii="Times New Roman" w:hAnsi="Times New Roman"/>
      <w:b/>
      <w:sz w:val="32"/>
    </w:rPr>
  </w:style>
  <w:style w:type="paragraph" w:customStyle="1" w:styleId="Heading2TOC">
    <w:name w:val="Heading2 TOC"/>
    <w:basedOn w:val="Normal"/>
    <w:qFormat/>
    <w:rsid w:val="00AF6D3C"/>
    <w:pPr>
      <w:spacing w:before="240" w:after="60"/>
    </w:pPr>
    <w:rPr>
      <w:rFonts w:ascii="Times New Roman" w:hAnsi="Times New Roman"/>
      <w:b/>
      <w:sz w:val="28"/>
    </w:rPr>
  </w:style>
  <w:style w:type="character" w:customStyle="1" w:styleId="Underline">
    <w:name w:val="Underline"/>
    <w:basedOn w:val="DefaultParagraphFont"/>
    <w:qFormat/>
    <w:rsid w:val="00AF6D3C"/>
    <w:rPr>
      <w:u w:val="single"/>
    </w:rPr>
  </w:style>
  <w:style w:type="paragraph" w:styleId="BalloonText">
    <w:name w:val="Balloon Text"/>
    <w:basedOn w:val="Normal"/>
    <w:link w:val="BalloonTextChar"/>
    <w:rsid w:val="00AF6D3C"/>
    <w:rPr>
      <w:rFonts w:ascii="Tahoma" w:hAnsi="Tahoma" w:cs="Tahoma"/>
      <w:sz w:val="16"/>
      <w:szCs w:val="16"/>
    </w:rPr>
  </w:style>
  <w:style w:type="character" w:customStyle="1" w:styleId="BalloonTextChar">
    <w:name w:val="Balloon Text Char"/>
    <w:basedOn w:val="DefaultParagraphFont"/>
    <w:link w:val="BalloonText"/>
    <w:rsid w:val="00AF6D3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F6D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6D3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1276</Words>
  <Characters>8372</Characters>
  <Application>Microsoft Office Word</Application>
  <DocSecurity>0</DocSecurity>
  <Lines>304</Lines>
  <Paragraphs>158</Paragraphs>
  <ScaleCrop>false</ScaleCrop>
  <Company>Author-it Software Corporation Ltd.</Company>
  <LinksUpToDate>false</LinksUpToDate>
  <CharactersWithSpaces>9561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FNSISV516A Allocate authorities and guidelines for distribution</dc:title>
  <dc:subject>Approved</dc:subject>
  <dc:creator>Innovation and Business Skills Australia</dc:creator>
  <cp:keywords>Revision Number: 1</cp:keywords>
  <dc:description>Copyright © 1996-2007 Author-it Software Corporation Ltd., all rights reserved.</dc:description>
  <cp:lastModifiedBy>Dennis Urbans</cp:lastModifiedBy>
  <cp:revision>3</cp:revision>
  <dcterms:created xsi:type="dcterms:W3CDTF">2012-05-26T16:27:00Z</dcterms:created>
  <dcterms:modified xsi:type="dcterms:W3CDTF">2012-05-26T16:27:00Z</dcterms:modified>
</cp:coreProperties>
</file>