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65D" w:rsidP="0054165D">
      <w:pPr>
        <w:pStyle w:val="Title"/>
      </w:pPr>
      <w:bookmarkStart w:id="0" w:name="_GoBack"/>
      <w:bookmarkEnd w:id="0"/>
      <w:r>
        <w:fldChar w:fldCharType="begin"/>
      </w:r>
      <w:r>
        <w:instrText xml:space="preserve"> TITLE   \* MERGEFORMAT </w:instrText>
      </w:r>
      <w:r>
        <w:fldChar w:fldCharType="separate"/>
      </w:r>
      <w:r>
        <w:t>FNSISV513A Provide decisions on legal liability and indemnity of a claim</w:t>
      </w:r>
      <w:r>
        <w:fldChar w:fldCharType="end"/>
      </w:r>
    </w:p>
    <w:p w:rsidR="0054165D" w:rsidP="0054165D">
      <w:pPr>
        <w:pStyle w:val="Version"/>
        <w:sectPr w:rsidSect="00A23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3C2E" w:rsidP="00A23C2E">
      <w:pPr>
        <w:pStyle w:val="SuperHeading"/>
      </w:pPr>
      <w:r w:rsidRPr="00A23C2E">
        <w:t>FNSISV513A Provide decisions on legal liability and indemnity of a claim</w:t>
      </w:r>
    </w:p>
    <w:p w:rsidR="00000000" w:rsidRPr="00A23C2E" w:rsidP="00A23C2E">
      <w:pPr>
        <w:pStyle w:val="SuperHeading"/>
      </w:pPr>
    </w:p>
    <w:p w:rsidR="00000000" w:rsidRPr="00A23C2E" w:rsidP="00A23C2E">
      <w:pPr>
        <w:pStyle w:val="Heading1"/>
      </w:pPr>
      <w:bookmarkStart w:id="1" w:name="O_79695"/>
      <w:bookmarkEnd w:id="1"/>
      <w:r w:rsidRPr="00A23C2E">
        <w:t>Modification History</w:t>
      </w:r>
    </w:p>
    <w:p w:rsidR="00000000" w:rsidRPr="00A23C2E" w:rsidP="00A23C2E">
      <w:pPr>
        <w:pStyle w:val="BodyText"/>
      </w:pPr>
      <w:r w:rsidRPr="00A23C2E">
        <w:t>Not applicable.</w:t>
      </w:r>
    </w:p>
    <w:p w:rsidR="00000000" w:rsidRPr="00A23C2E" w:rsidP="00A23C2E">
      <w:pPr>
        <w:pStyle w:val="AllowPageBreak"/>
      </w:pPr>
    </w:p>
    <w:p w:rsidR="00000000" w:rsidRPr="00A23C2E" w:rsidP="00A23C2E">
      <w:pPr>
        <w:pStyle w:val="Heading1"/>
      </w:pPr>
      <w:bookmarkStart w:id="2" w:name="O_79696"/>
      <w:bookmarkEnd w:id="2"/>
      <w:r w:rsidRPr="00A23C2E">
        <w:t>Unit Descriptor</w:t>
      </w:r>
    </w:p>
    <w:tbl>
      <w:tblPr>
        <w:tblW w:w="0" w:type="auto"/>
        <w:tblLayout w:type="fixed"/>
        <w:tblCellMar>
          <w:left w:w="62" w:type="dxa"/>
          <w:right w:w="62" w:type="dxa"/>
        </w:tblCellMar>
        <w:tblLook w:val="0000"/>
      </w:tblPr>
      <w:tblGrid>
        <w:gridCol w:w="2647"/>
        <w:gridCol w:w="5875"/>
      </w:tblGrid>
      <w:tr w:rsidTr="0054165D">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Unit descr</w:t>
            </w:r>
            <w:r w:rsidRPr="00A23C2E">
              <w:rPr>
                <w:rStyle w:val="SpecialBold"/>
              </w:rPr>
              <w:t>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This unit describes the performance outcomes, skills and knowledge required to provide decisions to ensure stakeholders receive accurate, timely advice regarding the legal liability and indemnity of a claim.</w:t>
            </w:r>
          </w:p>
          <w:p w:rsidR="00000000" w:rsidRPr="00A23C2E" w:rsidP="00A23C2E">
            <w:pPr>
              <w:pStyle w:val="BodyText"/>
            </w:pPr>
          </w:p>
          <w:p w:rsidR="00000000" w:rsidRPr="00A23C2E" w:rsidP="00A23C2E">
            <w:pPr>
              <w:pStyle w:val="BodyText"/>
            </w:pPr>
            <w:r w:rsidRPr="00A23C2E">
              <w:t>This unit is applicable to individuals wo</w:t>
            </w:r>
            <w:r w:rsidRPr="00A23C2E">
              <w:t>rking within enterprises and job roles subject to licensing, legislative, regulatory or certification requirements including legislation administered by the Australian Securities and Investments Commission (ASIC).</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3" w:name="O_79697"/>
      <w:bookmarkEnd w:id="3"/>
      <w:r w:rsidRPr="00A23C2E">
        <w:t>Application of the Unit</w:t>
      </w:r>
    </w:p>
    <w:tbl>
      <w:tblPr>
        <w:tblW w:w="0" w:type="auto"/>
        <w:tblLayout w:type="fixed"/>
        <w:tblCellMar>
          <w:left w:w="62" w:type="dxa"/>
          <w:right w:w="62" w:type="dxa"/>
        </w:tblCellMar>
        <w:tblLook w:val="0000"/>
      </w:tblPr>
      <w:tblGrid>
        <w:gridCol w:w="2717"/>
        <w:gridCol w:w="5805"/>
      </w:tblGrid>
      <w:tr w:rsidTr="0054165D">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This unit requires the application of high level communication, analysis and decision making skills to the provision of advice on the legal liability and indemnity of a claim to key stakeholders (brokers, insured, underwriters, clai</w:t>
            </w:r>
            <w:r w:rsidRPr="00A23C2E">
              <w:t>mants, other relevant parties). It may be applied in the insurance sector of the financial services industry.</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4" w:name="O_79698"/>
      <w:bookmarkEnd w:id="4"/>
      <w:r w:rsidRPr="00A23C2E">
        <w:t>Licensing/Regulatory Information</w:t>
      </w:r>
    </w:p>
    <w:p w:rsidR="00000000" w:rsidRPr="00A23C2E" w:rsidP="00A23C2E">
      <w:pPr>
        <w:pStyle w:val="BodyText"/>
      </w:pPr>
      <w:r w:rsidRPr="00A23C2E">
        <w:t>Not applicable.</w:t>
      </w:r>
    </w:p>
    <w:p w:rsidR="00000000" w:rsidRPr="00A23C2E" w:rsidP="00A23C2E">
      <w:pPr>
        <w:pStyle w:val="AllowPageBreak"/>
      </w:pPr>
    </w:p>
    <w:p w:rsidR="00000000" w:rsidRPr="00A23C2E" w:rsidP="00A23C2E">
      <w:pPr>
        <w:pStyle w:val="Heading1"/>
      </w:pPr>
      <w:bookmarkStart w:id="5" w:name="O_79699"/>
      <w:bookmarkEnd w:id="5"/>
      <w:r w:rsidRPr="00A23C2E">
        <w:t>Pre-Requisites</w:t>
      </w:r>
    </w:p>
    <w:tbl>
      <w:tblPr>
        <w:tblW w:w="0" w:type="auto"/>
        <w:tblLayout w:type="fixed"/>
        <w:tblCellMar>
          <w:left w:w="62" w:type="dxa"/>
          <w:right w:w="62" w:type="dxa"/>
        </w:tblCellMar>
        <w:tblLook w:val="0000"/>
      </w:tblPr>
      <w:tblGrid>
        <w:gridCol w:w="2745"/>
        <w:gridCol w:w="1301"/>
        <w:gridCol w:w="4476"/>
      </w:tblGrid>
      <w:tr w:rsidTr="0054165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p>
        </w:tc>
      </w:tr>
      <w:tr w:rsidTr="005416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p>
        </w:tc>
      </w:tr>
      <w:tr w:rsidTr="005416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6" w:name="O_79700"/>
      <w:bookmarkEnd w:id="6"/>
      <w:r w:rsidRPr="00A23C2E">
        <w:t>Employability Skills Information</w:t>
      </w:r>
    </w:p>
    <w:tbl>
      <w:tblPr>
        <w:tblW w:w="0" w:type="auto"/>
        <w:tblLayout w:type="fixed"/>
        <w:tblCellMar>
          <w:left w:w="62" w:type="dxa"/>
          <w:right w:w="62" w:type="dxa"/>
        </w:tblCellMar>
        <w:tblLook w:val="0000"/>
      </w:tblPr>
      <w:tblGrid>
        <w:gridCol w:w="2762"/>
        <w:gridCol w:w="5760"/>
      </w:tblGrid>
      <w:tr w:rsidTr="0054165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This unit contains employability skills.</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7" w:name="O_79701"/>
      <w:bookmarkEnd w:id="7"/>
      <w:r w:rsidRPr="00A23C2E">
        <w:t>Elements and Performance Criteria Pre-Content</w:t>
      </w:r>
    </w:p>
    <w:tbl>
      <w:tblPr>
        <w:tblW w:w="0" w:type="auto"/>
        <w:tblLayout w:type="fixed"/>
        <w:tblCellMar>
          <w:left w:w="62" w:type="dxa"/>
          <w:right w:w="62" w:type="dxa"/>
        </w:tblCellMar>
        <w:tblLook w:val="0000"/>
      </w:tblPr>
      <w:tblGrid>
        <w:gridCol w:w="2541"/>
        <w:gridCol w:w="5981"/>
      </w:tblGrid>
      <w:tr w:rsidTr="005416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Performance criteria describe the performance needed to demonstrate achievement of the element. Where bold italicised text is used, further information is detailed in the required skills and knowledge section and the range statement. Assessment of performa</w:t>
            </w:r>
            <w:r w:rsidRPr="00A23C2E">
              <w:t>nce is to be consistent with the evidence guide.</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8" w:name="O_79702"/>
      <w:bookmarkEnd w:id="8"/>
      <w:r w:rsidRPr="00A23C2E">
        <w:t>Elements and Performance Criteria</w:t>
      </w:r>
    </w:p>
    <w:tbl>
      <w:tblPr>
        <w:tblW w:w="0" w:type="auto"/>
        <w:tblLayout w:type="fixed"/>
        <w:tblCellMar>
          <w:left w:w="62" w:type="dxa"/>
          <w:right w:w="62" w:type="dxa"/>
        </w:tblCellMar>
        <w:tblLook w:val="0000"/>
      </w:tblPr>
      <w:tblGrid>
        <w:gridCol w:w="2541"/>
        <w:gridCol w:w="5981"/>
      </w:tblGrid>
      <w:tr w:rsidTr="0054165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PERFORMANCE CRITERIA</w:t>
            </w:r>
          </w:p>
        </w:tc>
      </w:tr>
      <w:tr w:rsidTr="005416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List"/>
              <w:rPr>
                <w:lang w:val="en-NZ"/>
              </w:rPr>
            </w:pPr>
            <w:r w:rsidRPr="00A23C2E">
              <w:t>1.</w:t>
            </w:r>
            <w:r w:rsidRPr="00A23C2E">
              <w:tab/>
              <w:t>Monitor claims to support decision making process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2"/>
            </w:pPr>
            <w:r w:rsidRPr="00A23C2E">
              <w:t>1.1.</w:t>
            </w:r>
            <w:r w:rsidRPr="00A23C2E">
              <w:tab/>
            </w:r>
            <w:r w:rsidRPr="00A23C2E">
              <w:t xml:space="preserve">Monitoring procedures are established to ensure that validity of a claim is assessed against organisation and policy acceptance criteria for relevant </w:t>
            </w:r>
            <w:r w:rsidRPr="00A23C2E">
              <w:rPr>
                <w:rStyle w:val="BoldandItalics"/>
              </w:rPr>
              <w:t>type and category of policy</w:t>
            </w:r>
          </w:p>
          <w:p w:rsidR="00000000" w:rsidP="00A23C2E">
            <w:pPr>
              <w:pStyle w:val="List2"/>
              <w:rPr>
                <w:lang w:val="en-NZ"/>
              </w:rPr>
            </w:pPr>
            <w:r w:rsidRPr="00A23C2E">
              <w:t>1.2.</w:t>
            </w:r>
            <w:r w:rsidRPr="00A23C2E">
              <w:tab/>
              <w:t>Claims practices are monitored to ensure that information used to determi</w:t>
            </w:r>
            <w:r w:rsidRPr="00A23C2E">
              <w:t>ne claim validity is accurate, comprehensive and authentic</w:t>
            </w:r>
          </w:p>
        </w:tc>
      </w:tr>
      <w:tr w:rsidTr="005416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List"/>
              <w:rPr>
                <w:lang w:val="en-NZ"/>
              </w:rPr>
            </w:pPr>
            <w:r w:rsidRPr="00A23C2E">
              <w:t>2.</w:t>
            </w:r>
            <w:r w:rsidRPr="00A23C2E">
              <w:tab/>
              <w:t>Decide on the legal liability and indemnity of a claim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2"/>
            </w:pPr>
            <w:r w:rsidRPr="00A23C2E">
              <w:t>2.1.</w:t>
            </w:r>
            <w:r w:rsidRPr="00A23C2E">
              <w:tab/>
            </w:r>
            <w:r w:rsidRPr="00A23C2E">
              <w:rPr>
                <w:rStyle w:val="BoldandItalics"/>
              </w:rPr>
              <w:t>Relevant information</w:t>
            </w:r>
            <w:r w:rsidRPr="00A23C2E">
              <w:t>/</w:t>
            </w:r>
            <w:r w:rsidRPr="00A23C2E">
              <w:rPr>
                <w:rStyle w:val="BoldandItalics"/>
              </w:rPr>
              <w:t>data</w:t>
            </w:r>
            <w:r w:rsidRPr="00A23C2E">
              <w:t xml:space="preserve"> is reviewed to determine the legal liability and indemnity of a claim</w:t>
            </w:r>
          </w:p>
          <w:p w:rsidR="00000000" w:rsidRPr="00A23C2E" w:rsidP="00A23C2E">
            <w:pPr>
              <w:pStyle w:val="List2"/>
            </w:pPr>
            <w:r w:rsidRPr="00A23C2E">
              <w:t>2.2.</w:t>
            </w:r>
            <w:r w:rsidRPr="00A23C2E">
              <w:tab/>
              <w:t>Decisions are determined in comp</w:t>
            </w:r>
            <w:r w:rsidRPr="00A23C2E">
              <w:t>liance with relevant legislation, organisation procedures and underwriting guidelines</w:t>
            </w:r>
          </w:p>
          <w:p w:rsidR="00000000" w:rsidP="00A23C2E">
            <w:pPr>
              <w:pStyle w:val="List2"/>
              <w:rPr>
                <w:lang w:val="en-NZ"/>
              </w:rPr>
            </w:pPr>
            <w:r w:rsidRPr="00A23C2E">
              <w:t>2.3.</w:t>
            </w:r>
            <w:r w:rsidRPr="00A23C2E">
              <w:tab/>
              <w:t>Decisions are reviewed to ensure accuracy and compliance requirements are fully met</w:t>
            </w:r>
          </w:p>
        </w:tc>
      </w:tr>
      <w:tr w:rsidTr="005416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List"/>
              <w:rPr>
                <w:lang w:val="en-NZ"/>
              </w:rPr>
            </w:pPr>
            <w:r w:rsidRPr="00A23C2E">
              <w:t>3.</w:t>
            </w:r>
            <w:r w:rsidRPr="00A23C2E">
              <w:tab/>
              <w:t>Provide stakeholders with accurate, timely advice regarding the legal liabili</w:t>
            </w:r>
            <w:r w:rsidRPr="00A23C2E">
              <w:t>ty and indemnity of a claim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2"/>
            </w:pPr>
            <w:r w:rsidRPr="00A23C2E">
              <w:t>3.1.</w:t>
            </w:r>
            <w:r w:rsidRPr="00A23C2E">
              <w:tab/>
            </w:r>
            <w:r w:rsidRPr="00A23C2E">
              <w:rPr>
                <w:rStyle w:val="BoldandItalics"/>
              </w:rPr>
              <w:t>Stakeholders</w:t>
            </w:r>
            <w:r w:rsidRPr="00A23C2E">
              <w:t xml:space="preserve"> are provided with consistent, accurate and timely advice regarding a claim</w:t>
            </w:r>
          </w:p>
          <w:p w:rsidR="00000000" w:rsidRPr="00A23C2E" w:rsidP="00A23C2E">
            <w:pPr>
              <w:pStyle w:val="List2"/>
            </w:pPr>
            <w:r w:rsidRPr="00A23C2E">
              <w:t>3.2.</w:t>
            </w:r>
            <w:r w:rsidRPr="00A23C2E">
              <w:tab/>
              <w:t>Technical and non-technical claims advice is provided to claims specialists, including review of outgoing correspondence and negot</w:t>
            </w:r>
            <w:r w:rsidRPr="00A23C2E">
              <w:t>iation/settlement strategies as appropriate</w:t>
            </w:r>
          </w:p>
          <w:p w:rsidR="00000000" w:rsidRPr="00A23C2E" w:rsidP="00A23C2E">
            <w:pPr>
              <w:pStyle w:val="List2"/>
            </w:pPr>
            <w:r w:rsidRPr="00A23C2E">
              <w:t>3.3.</w:t>
            </w:r>
            <w:r w:rsidRPr="00A23C2E">
              <w:tab/>
              <w:t>Stakeholders are provided with accurate and timely advice regarding the legal liability and indemnity of the claim</w:t>
            </w:r>
          </w:p>
          <w:p w:rsidR="00000000" w:rsidP="00A23C2E">
            <w:pPr>
              <w:pStyle w:val="List2"/>
              <w:rPr>
                <w:lang w:val="en-NZ"/>
              </w:rPr>
            </w:pPr>
            <w:r w:rsidRPr="00A23C2E">
              <w:t>3.4.</w:t>
            </w:r>
            <w:r w:rsidRPr="00A23C2E">
              <w:tab/>
              <w:t>Decisions are conveyed within timeframes that facilitate performance targets to be achi</w:t>
            </w:r>
            <w:r w:rsidRPr="00A23C2E">
              <w:t>eved</w:t>
            </w:r>
          </w:p>
        </w:tc>
      </w:tr>
      <w:tr w:rsidTr="005416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List"/>
              <w:rPr>
                <w:lang w:val="en-NZ"/>
              </w:rPr>
            </w:pPr>
            <w:r w:rsidRPr="00A23C2E">
              <w:t>4.</w:t>
            </w:r>
            <w:r w:rsidRPr="00A23C2E">
              <w:tab/>
              <w:t>Review decisions and identify any required policy or procedural changes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2"/>
            </w:pPr>
            <w:r w:rsidRPr="00A23C2E">
              <w:t>4.1.</w:t>
            </w:r>
            <w:r w:rsidRPr="00A23C2E">
              <w:tab/>
              <w:t>Evaluation and review of decisions against requirements and outcomes is undertaken on a regular basis</w:t>
            </w:r>
          </w:p>
          <w:p w:rsidR="00000000" w:rsidRPr="00A23C2E" w:rsidP="00A23C2E">
            <w:pPr>
              <w:pStyle w:val="List2"/>
            </w:pPr>
            <w:r w:rsidRPr="00A23C2E">
              <w:t>4.2.</w:t>
            </w:r>
            <w:r w:rsidRPr="00A23C2E">
              <w:tab/>
            </w:r>
            <w:r w:rsidRPr="00A23C2E">
              <w:t>Review process identifies extent to which decisions support process of accepting and managing a claim</w:t>
            </w:r>
          </w:p>
          <w:p w:rsidR="00000000" w:rsidRPr="00A23C2E" w:rsidP="00A23C2E">
            <w:pPr>
              <w:pStyle w:val="List2"/>
            </w:pPr>
            <w:r w:rsidRPr="00A23C2E">
              <w:t>4.3.</w:t>
            </w:r>
            <w:r w:rsidRPr="00A23C2E">
              <w:tab/>
              <w:t>Review process identifies extent to which decisions support setting of accurate claim portfolio reserves</w:t>
            </w:r>
          </w:p>
          <w:p w:rsidR="00000000" w:rsidRPr="00A23C2E" w:rsidP="00A23C2E">
            <w:pPr>
              <w:pStyle w:val="List2"/>
            </w:pPr>
            <w:r w:rsidRPr="00A23C2E">
              <w:t>4.4.</w:t>
            </w:r>
            <w:r w:rsidRPr="00A23C2E">
              <w:tab/>
              <w:t>Circumstances of claims and decisions c</w:t>
            </w:r>
            <w:r w:rsidRPr="00A23C2E">
              <w:t>oncerning the legal liability and indemnity of the claim are documented for consideration in portfolio review</w:t>
            </w:r>
          </w:p>
          <w:p w:rsidR="00000000" w:rsidP="00A23C2E">
            <w:pPr>
              <w:pStyle w:val="List2"/>
              <w:rPr>
                <w:lang w:val="en-NZ"/>
              </w:rPr>
            </w:pPr>
            <w:r w:rsidRPr="00A23C2E">
              <w:t>4.5.</w:t>
            </w:r>
            <w:r w:rsidRPr="00A23C2E">
              <w:tab/>
              <w:t>Changes to policy and procedures are instigated to minimise further loss in similar circumstances, if appropriate</w:t>
            </w:r>
          </w:p>
        </w:tc>
      </w:tr>
      <w:tr w:rsidTr="005416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List"/>
              <w:rPr>
                <w:lang w:val="en-NZ"/>
              </w:rPr>
            </w:pPr>
            <w:r w:rsidRPr="00A23C2E">
              <w:t>5.</w:t>
            </w:r>
            <w:r w:rsidRPr="00A23C2E">
              <w:tab/>
              <w:t>Update records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2"/>
            </w:pPr>
            <w:r w:rsidRPr="00A23C2E">
              <w:t>5.1.</w:t>
            </w:r>
            <w:r w:rsidRPr="00A23C2E">
              <w:tab/>
              <w:t>Act</w:t>
            </w:r>
            <w:r w:rsidRPr="00A23C2E">
              <w:t xml:space="preserve">ions, procedures and outcomes are </w:t>
            </w:r>
            <w:r w:rsidRPr="00A23C2E">
              <w:rPr>
                <w:rStyle w:val="BoldandItalics"/>
              </w:rPr>
              <w:t>documented</w:t>
            </w:r>
            <w:r w:rsidRPr="00A23C2E">
              <w:t xml:space="preserve"> and recorded promptly and accurately</w:t>
            </w:r>
          </w:p>
          <w:p w:rsidR="00000000" w:rsidRPr="00A23C2E" w:rsidP="00A23C2E">
            <w:pPr>
              <w:pStyle w:val="List2"/>
            </w:pPr>
            <w:r w:rsidRPr="00A23C2E">
              <w:t>5.2.</w:t>
            </w:r>
            <w:r w:rsidRPr="00A23C2E">
              <w:tab/>
              <w:t>Finalised documentation is maintained according to organisation policy and legislative requirements and codes of practice, as applicable.</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9" w:name="O_79703"/>
      <w:bookmarkEnd w:id="9"/>
      <w:r w:rsidRPr="00A23C2E">
        <w:t>Required Skill</w:t>
      </w:r>
      <w:r w:rsidRPr="00A23C2E">
        <w:t>s and Knowledge</w:t>
      </w:r>
    </w:p>
    <w:tbl>
      <w:tblPr>
        <w:tblW w:w="0" w:type="auto"/>
        <w:tblLayout w:type="fixed"/>
        <w:tblCellMar>
          <w:left w:w="62" w:type="dxa"/>
          <w:right w:w="62" w:type="dxa"/>
        </w:tblCellMar>
        <w:tblLook w:val="0000"/>
      </w:tblPr>
      <w:tblGrid>
        <w:gridCol w:w="8522"/>
      </w:tblGrid>
      <w:tr w:rsidTr="005416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REQUIRED SKILLS AND KNOWLEDGE</w:t>
            </w:r>
          </w:p>
        </w:tc>
      </w:tr>
      <w:tr w:rsidTr="005416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t>This section describes the skills and knowledge required for this unit.</w:t>
            </w:r>
          </w:p>
        </w:tc>
      </w:tr>
      <w:tr w:rsidTr="0054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Required skills</w:t>
            </w:r>
          </w:p>
        </w:tc>
      </w:tr>
      <w:tr w:rsidTr="0054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Bullet"/>
            </w:pPr>
            <w:r w:rsidRPr="00A23C2E">
              <w:t>highly developed communication skills to:</w:t>
            </w:r>
          </w:p>
          <w:p w:rsidR="00000000" w:rsidRPr="00A23C2E" w:rsidP="00A23C2E">
            <w:pPr>
              <w:pStyle w:val="ListBullet2"/>
            </w:pPr>
            <w:r w:rsidRPr="00A23C2E">
              <w:t>determine and confirm information, using questioning and active listening as required</w:t>
            </w:r>
          </w:p>
          <w:p w:rsidR="00000000" w:rsidRPr="00A23C2E" w:rsidP="00A23C2E">
            <w:pPr>
              <w:pStyle w:val="ListBullet2"/>
            </w:pPr>
            <w:r w:rsidRPr="00A23C2E">
              <w:t>relate effectively to customers</w:t>
            </w:r>
          </w:p>
          <w:p w:rsidR="00000000" w:rsidRPr="00A23C2E" w:rsidP="00A23C2E">
            <w:pPr>
              <w:pStyle w:val="ListBullet2"/>
            </w:pPr>
            <w:r w:rsidRPr="00A23C2E">
              <w:t>liaise with others, share information, listen and understand</w:t>
            </w:r>
          </w:p>
          <w:p w:rsidR="00000000" w:rsidRPr="00A23C2E" w:rsidP="00A23C2E">
            <w:pPr>
              <w:pStyle w:val="ListBullet2"/>
            </w:pPr>
            <w:r w:rsidRPr="00A23C2E">
              <w:t>use language and concepts appropriate to cultural differences</w:t>
            </w:r>
          </w:p>
          <w:p w:rsidR="00000000" w:rsidRPr="00A23C2E" w:rsidP="00A23C2E">
            <w:pPr>
              <w:pStyle w:val="ListBullet"/>
            </w:pPr>
            <w:r w:rsidRPr="00A23C2E">
              <w:t>well-developed numeracy and IT skills to:</w:t>
            </w:r>
          </w:p>
          <w:p w:rsidR="00000000" w:rsidRPr="00A23C2E" w:rsidP="00A23C2E">
            <w:pPr>
              <w:pStyle w:val="ListBullet2"/>
            </w:pPr>
            <w:r w:rsidRPr="00A23C2E">
              <w:t>perform calculations related to achieving required outcomes</w:t>
            </w:r>
          </w:p>
          <w:p w:rsidR="00000000" w:rsidRPr="00A23C2E" w:rsidP="00A23C2E">
            <w:pPr>
              <w:pStyle w:val="ListBullet2"/>
            </w:pPr>
            <w:r w:rsidRPr="00A23C2E">
              <w:t>use computer applications (word processing, spreadsheet, database, specific purpose computer systems) to assist in achieving required outcomes</w:t>
            </w:r>
          </w:p>
          <w:p w:rsidR="00000000" w:rsidRPr="00A23C2E" w:rsidP="00A23C2E">
            <w:pPr>
              <w:pStyle w:val="ListBullet2"/>
            </w:pPr>
            <w:r w:rsidRPr="00A23C2E">
              <w:t>access and</w:t>
            </w:r>
            <w:r w:rsidRPr="00A23C2E">
              <w:t xml:space="preserve"> update records electronically</w:t>
            </w:r>
          </w:p>
          <w:p w:rsidR="00000000" w:rsidRPr="00A23C2E" w:rsidP="00A23C2E">
            <w:pPr>
              <w:pStyle w:val="ListBullet2"/>
            </w:pPr>
            <w:r w:rsidRPr="00A23C2E">
              <w:t>access web-based information services</w:t>
            </w:r>
          </w:p>
          <w:p w:rsidR="00000000" w:rsidRPr="00A23C2E" w:rsidP="00A23C2E">
            <w:pPr>
              <w:pStyle w:val="ListBullet"/>
            </w:pPr>
            <w:r w:rsidRPr="00A23C2E">
              <w:t>well-developed literacy skills to read and interpret documentation from a variety of sources and record and consolidate relevant related information</w:t>
            </w:r>
          </w:p>
          <w:p w:rsidR="00000000" w:rsidRPr="00A23C2E" w:rsidP="00A23C2E">
            <w:pPr>
              <w:pStyle w:val="ListBullet"/>
            </w:pPr>
            <w:r w:rsidRPr="00A23C2E">
              <w:t xml:space="preserve">learning skills to maintain knowledge </w:t>
            </w:r>
            <w:r w:rsidRPr="00A23C2E">
              <w:t>of changes to compliance legislation and requirements</w:t>
            </w:r>
          </w:p>
          <w:p w:rsidR="00000000" w:rsidRPr="00A23C2E" w:rsidP="00A23C2E">
            <w:pPr>
              <w:pStyle w:val="ListBullet"/>
            </w:pPr>
            <w:r w:rsidRPr="00A23C2E">
              <w:t>problem solving skills to identify any issues that have the potential to impact on work outcomes and to develop options to resolve these issues when they arise</w:t>
            </w:r>
          </w:p>
          <w:p w:rsidR="00000000" w:rsidRPr="00A23C2E" w:rsidP="00A23C2E">
            <w:pPr>
              <w:pStyle w:val="ListBullet"/>
            </w:pPr>
            <w:r w:rsidRPr="00A23C2E">
              <w:t xml:space="preserve">self-management skills for complying with </w:t>
            </w:r>
            <w:r w:rsidRPr="00A23C2E">
              <w:t>ethical, legal and procedural requirements research and analysis skills for accessing and interpreting relevant information</w:t>
            </w:r>
          </w:p>
          <w:p w:rsidR="00000000" w:rsidP="00A23C2E">
            <w:pPr>
              <w:pStyle w:val="ListBullet"/>
              <w:rPr>
                <w:lang w:val="en-NZ"/>
              </w:rPr>
            </w:pPr>
            <w:r w:rsidRPr="00A23C2E">
              <w:t>organisational skills, including the ability to plan and sequence work</w:t>
            </w:r>
          </w:p>
        </w:tc>
      </w:tr>
      <w:tr w:rsidTr="0054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Required knowledge</w:t>
            </w:r>
          </w:p>
        </w:tc>
      </w:tr>
      <w:tr w:rsidTr="0054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Bullet"/>
            </w:pPr>
            <w:r w:rsidRPr="00A23C2E">
              <w:t>claims management</w:t>
            </w:r>
          </w:p>
          <w:p w:rsidR="00000000" w:rsidRPr="00A23C2E" w:rsidP="00A23C2E">
            <w:pPr>
              <w:pStyle w:val="ListBullet"/>
            </w:pPr>
            <w:r w:rsidRPr="00A23C2E">
              <w:t>data analysis techniques/procedures</w:t>
            </w:r>
          </w:p>
          <w:p w:rsidR="00000000" w:rsidRPr="00A23C2E" w:rsidP="00A23C2E">
            <w:pPr>
              <w:pStyle w:val="ListBullet"/>
            </w:pPr>
            <w:r w:rsidRPr="00A23C2E">
              <w:t>insurance law, relevant legal systems and procedures, relevant acts</w:t>
            </w:r>
          </w:p>
          <w:p w:rsidR="00000000" w:rsidRPr="00A23C2E" w:rsidP="00A23C2E">
            <w:pPr>
              <w:pStyle w:val="ListBullet"/>
            </w:pPr>
            <w:r w:rsidRPr="00A23C2E">
              <w:t>IT and communications systems</w:t>
            </w:r>
          </w:p>
          <w:p w:rsidR="00000000" w:rsidRPr="00A23C2E" w:rsidP="00A23C2E">
            <w:pPr>
              <w:pStyle w:val="ListBullet"/>
            </w:pPr>
            <w:r w:rsidRPr="00A23C2E">
              <w:t>loss adjusting principles and practice</w:t>
            </w:r>
          </w:p>
          <w:p w:rsidR="00000000" w:rsidRPr="00A23C2E" w:rsidP="00A23C2E">
            <w:pPr>
              <w:pStyle w:val="ListBullet"/>
            </w:pPr>
            <w:r w:rsidRPr="00A23C2E">
              <w:t>organisation policy, procedures, underwriting guidelines and authorities</w:t>
            </w:r>
          </w:p>
          <w:p w:rsidR="00000000" w:rsidRPr="00A23C2E" w:rsidP="00A23C2E">
            <w:pPr>
              <w:pStyle w:val="ListBullet"/>
            </w:pPr>
            <w:r w:rsidRPr="00A23C2E">
              <w:t>policy cov</w:t>
            </w:r>
            <w:r w:rsidRPr="00A23C2E">
              <w:t>erage requirements and wording</w:t>
            </w:r>
          </w:p>
          <w:p w:rsidR="00000000" w:rsidRPr="00A23C2E" w:rsidP="00A23C2E">
            <w:pPr>
              <w:pStyle w:val="ListBullet"/>
            </w:pPr>
            <w:r w:rsidRPr="00A23C2E">
              <w:t>relevant industry compliance requirements, legislation and industry codes of practice</w:t>
            </w:r>
          </w:p>
          <w:p w:rsidR="00000000" w:rsidRPr="00A23C2E" w:rsidP="00A23C2E">
            <w:pPr>
              <w:pStyle w:val="ListBullet"/>
            </w:pPr>
            <w:r w:rsidRPr="00A23C2E">
              <w:t>risk prevention and loss minimisation methods and application</w:t>
            </w:r>
          </w:p>
          <w:p w:rsidR="00000000" w:rsidRPr="00A23C2E" w:rsidP="00A23C2E">
            <w:pPr>
              <w:pStyle w:val="ListBullet"/>
            </w:pPr>
            <w:r w:rsidRPr="00A23C2E">
              <w:t>types and categories of insurance policies</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10" w:name="O_79704"/>
      <w:bookmarkEnd w:id="10"/>
      <w:r w:rsidRPr="00A23C2E">
        <w:t>Evidence Guide</w:t>
      </w:r>
    </w:p>
    <w:tbl>
      <w:tblPr>
        <w:tblW w:w="9570" w:type="dxa"/>
        <w:tblLayout w:type="fixed"/>
        <w:tblCellMar>
          <w:left w:w="62" w:type="dxa"/>
          <w:right w:w="62" w:type="dxa"/>
        </w:tblCellMar>
        <w:tblLook w:val="0000"/>
      </w:tblPr>
      <w:tblGrid>
        <w:gridCol w:w="2808"/>
        <w:gridCol w:w="6762"/>
      </w:tblGrid>
      <w:tr w:rsidTr="005416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EV</w:t>
            </w:r>
            <w:r w:rsidRPr="00A23C2E">
              <w:rPr>
                <w:rStyle w:val="SpecialBold"/>
              </w:rPr>
              <w:t>IDENCE GUIDE</w:t>
            </w:r>
          </w:p>
        </w:tc>
      </w:tr>
      <w:tr w:rsidTr="005416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t>The Evidence Guide provides advice on assessment and must be read in conjunction with the performance criteria, required skills and knowledge, range statement and the Assessment Guidelines for the Training Package.</w:t>
            </w:r>
          </w:p>
        </w:tc>
      </w:tr>
      <w:tr w:rsidTr="00541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p>
        </w:tc>
      </w:tr>
      <w:tr w:rsidTr="00541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 xml:space="preserve"> Evidence of the ability to:</w:t>
            </w:r>
          </w:p>
          <w:p w:rsidR="00000000" w:rsidP="00A23C2E">
            <w:pPr>
              <w:pStyle w:val="ListBullet"/>
              <w:rPr>
                <w:lang w:val="en-NZ"/>
              </w:rPr>
            </w:pPr>
            <w:r w:rsidRPr="00A23C2E">
              <w:t>interpret and apply organisation policy and procedures and compliance with legislation and regulations and industry codes of practice</w:t>
            </w:r>
            <w:r w:rsidRPr="00A23C2E">
              <w:t xml:space="preserve"> in the determination and provision of legal/indemnity advice associated with a claim.</w:t>
            </w:r>
          </w:p>
        </w:tc>
      </w:tr>
      <w:tr w:rsidTr="00541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Assessment must ensure:</w:t>
            </w:r>
          </w:p>
          <w:p w:rsidR="00000000" w:rsidRPr="00A23C2E" w:rsidP="00A23C2E">
            <w:pPr>
              <w:pStyle w:val="ListBullet"/>
            </w:pPr>
            <w:r w:rsidRPr="00A23C2E">
              <w:t>competency is demonstrated in the context of the work environment and conditions specified in the range statement either in a relevant workplace or a closely simulated work environment</w:t>
            </w:r>
          </w:p>
          <w:p w:rsidR="00000000" w:rsidRPr="00A23C2E" w:rsidP="00A23C2E">
            <w:pPr>
              <w:pStyle w:val="ListBullet"/>
            </w:pPr>
            <w:r w:rsidRPr="00A23C2E">
              <w:t>access to and the use of a range of common office equipment, technology</w:t>
            </w:r>
            <w:r w:rsidRPr="00A23C2E">
              <w:t>, software and consumables</w:t>
            </w:r>
          </w:p>
          <w:p w:rsidR="00000000" w:rsidRPr="00A23C2E" w:rsidP="00A23C2E">
            <w:pPr>
              <w:pStyle w:val="ListBullet"/>
            </w:pPr>
            <w:r w:rsidRPr="00A23C2E">
              <w:t>access to organisation records</w:t>
            </w:r>
          </w:p>
          <w:p w:rsidR="00000000" w:rsidP="00A23C2E">
            <w:pPr>
              <w:pStyle w:val="ListBullet"/>
              <w:rPr>
                <w:lang w:val="en-NZ"/>
              </w:rPr>
            </w:pPr>
            <w:r w:rsidRPr="00A23C2E">
              <w:t>access to organisation policies and procedures.</w:t>
            </w:r>
          </w:p>
        </w:tc>
      </w:tr>
      <w:tr w:rsidTr="00541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A range of assessment methods should be used to assess practical skills and knowledge. The following examples, in combination, a</w:t>
            </w:r>
            <w:r w:rsidRPr="00A23C2E">
              <w:t>re appropriate for this unit:</w:t>
            </w:r>
          </w:p>
          <w:p w:rsidR="00000000" w:rsidRPr="00A23C2E" w:rsidP="00A23C2E">
            <w:pPr>
              <w:pStyle w:val="ListBullet"/>
            </w:pPr>
            <w:r w:rsidRPr="00A23C2E">
              <w:t>evaluating an integrated activity, which combines the elements of competency for the unit, or a cluster of related units of competency</w:t>
            </w:r>
          </w:p>
          <w:p w:rsidR="00000000" w:rsidRPr="00A23C2E" w:rsidP="00A23C2E">
            <w:pPr>
              <w:pStyle w:val="ListBullet"/>
            </w:pPr>
            <w:r w:rsidRPr="00A23C2E">
              <w:t>observing processes and procedures in workplaces</w:t>
            </w:r>
          </w:p>
          <w:p w:rsidR="00000000" w:rsidRPr="00A23C2E" w:rsidP="00A23C2E">
            <w:pPr>
              <w:pStyle w:val="ListBullet"/>
            </w:pPr>
            <w:r w:rsidRPr="00A23C2E">
              <w:t>verbal or written questioning on underpinn</w:t>
            </w:r>
            <w:r w:rsidRPr="00A23C2E">
              <w:t>ing knowledge and skills</w:t>
            </w:r>
          </w:p>
          <w:p w:rsidR="00000000" w:rsidRPr="00A23C2E" w:rsidP="00A23C2E">
            <w:pPr>
              <w:pStyle w:val="ListBullet"/>
            </w:pPr>
            <w:r w:rsidRPr="00A23C2E">
              <w:t>evaluating samples of work</w:t>
            </w:r>
          </w:p>
          <w:p w:rsidR="00000000" w:rsidRPr="00A23C2E" w:rsidP="00A23C2E">
            <w:pPr>
              <w:pStyle w:val="ListBullet"/>
            </w:pPr>
            <w:r w:rsidRPr="00A23C2E">
              <w:t>accessing and validating third party reports</w:t>
            </w:r>
          </w:p>
          <w:p w:rsidR="00000000" w:rsidP="00A23C2E">
            <w:pPr>
              <w:pStyle w:val="ListBullet"/>
              <w:rPr>
                <w:lang w:val="en-NZ"/>
              </w:rPr>
            </w:pPr>
            <w:r w:rsidRPr="00A23C2E">
              <w:t>setting and reviewing workplace projects and business simulations or scenarios.</w:t>
            </w:r>
          </w:p>
        </w:tc>
      </w:tr>
      <w:tr w:rsidTr="0054165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11" w:name="O_79705"/>
      <w:bookmarkEnd w:id="11"/>
      <w:r w:rsidRPr="00A23C2E">
        <w:t>Range Statement</w:t>
      </w:r>
    </w:p>
    <w:tbl>
      <w:tblPr>
        <w:tblW w:w="0" w:type="auto"/>
        <w:tblLayout w:type="fixed"/>
        <w:tblCellMar>
          <w:left w:w="62" w:type="dxa"/>
          <w:right w:w="62" w:type="dxa"/>
        </w:tblCellMar>
        <w:tblLook w:val="0000"/>
      </w:tblPr>
      <w:tblGrid>
        <w:gridCol w:w="2551"/>
        <w:gridCol w:w="5971"/>
      </w:tblGrid>
      <w:tr w:rsidTr="005416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RANGE STATEMENT</w:t>
            </w:r>
          </w:p>
        </w:tc>
      </w:tr>
      <w:tr w:rsidTr="005416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t>The range statement relates to the unit of competency as a whole. It allows for different work environments and situations that may affect performance. Bold italicised wording, if used in the performance criteria, is detailed below. Essen</w:t>
            </w:r>
            <w:r w:rsidRPr="00A23C2E">
              <w:t>tial operating conditions that may be present with training and assessment (depending on the work situation, needs of the candidate, accessibility of the item, and local industry and regional contexts) may also be included.</w:t>
            </w:r>
          </w:p>
        </w:tc>
      </w:tr>
      <w:tr w:rsidTr="0054165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BoldandItalics"/>
              </w:rPr>
              <w:t>Types and categories of policies</w:t>
            </w:r>
            <w:r w:rsidRPr="00A23C2E">
              <w:t xml:space="preserve">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Bullet"/>
            </w:pPr>
            <w:r w:rsidRPr="00A23C2E">
              <w:t>accidental damage</w:t>
            </w:r>
          </w:p>
          <w:p w:rsidR="00000000" w:rsidRPr="00A23C2E" w:rsidP="00A23C2E">
            <w:pPr>
              <w:pStyle w:val="ListBullet"/>
            </w:pPr>
            <w:r w:rsidRPr="00A23C2E">
              <w:t>additional benefits</w:t>
            </w:r>
          </w:p>
          <w:p w:rsidR="00000000" w:rsidRPr="00A23C2E" w:rsidP="00A23C2E">
            <w:pPr>
              <w:pStyle w:val="ListBullet"/>
            </w:pPr>
            <w:r w:rsidRPr="00A23C2E">
              <w:t>burglary/theft</w:t>
            </w:r>
          </w:p>
          <w:p w:rsidR="00000000" w:rsidRPr="00A23C2E" w:rsidP="00A23C2E">
            <w:pPr>
              <w:pStyle w:val="ListBullet"/>
            </w:pPr>
            <w:r w:rsidRPr="00A23C2E">
              <w:t>business interruption</w:t>
            </w:r>
          </w:p>
          <w:p w:rsidR="00000000" w:rsidRPr="00A23C2E" w:rsidP="00A23C2E">
            <w:pPr>
              <w:pStyle w:val="ListBullet"/>
            </w:pPr>
            <w:r w:rsidRPr="00A23C2E">
              <w:t>business special risks</w:t>
            </w:r>
          </w:p>
          <w:p w:rsidR="00000000" w:rsidRPr="00A23C2E" w:rsidP="00A23C2E">
            <w:pPr>
              <w:pStyle w:val="ListBullet"/>
            </w:pPr>
            <w:r w:rsidRPr="00A23C2E">
              <w:t>commercial</w:t>
            </w:r>
          </w:p>
          <w:p w:rsidR="00000000" w:rsidRPr="00A23C2E" w:rsidP="00A23C2E">
            <w:pPr>
              <w:pStyle w:val="ListBullet"/>
            </w:pPr>
            <w:r w:rsidRPr="00A23C2E">
              <w:t>commercial motor</w:t>
            </w:r>
          </w:p>
          <w:p w:rsidR="00000000" w:rsidRPr="00A23C2E" w:rsidP="00A23C2E">
            <w:pPr>
              <w:pStyle w:val="ListBullet"/>
            </w:pPr>
            <w:r w:rsidRPr="00A23C2E">
              <w:t>construction risks</w:t>
            </w:r>
          </w:p>
          <w:p w:rsidR="00000000" w:rsidRPr="00A23C2E" w:rsidP="00A23C2E">
            <w:pPr>
              <w:pStyle w:val="ListBullet"/>
            </w:pPr>
            <w:r w:rsidRPr="00A23C2E">
              <w:t>crop</w:t>
            </w:r>
          </w:p>
          <w:p w:rsidR="00000000" w:rsidRPr="00A23C2E" w:rsidP="00A23C2E">
            <w:pPr>
              <w:pStyle w:val="ListBullet"/>
            </w:pPr>
            <w:r w:rsidRPr="00A23C2E">
              <w:t>defined events</w:t>
            </w:r>
          </w:p>
          <w:p w:rsidR="00000000" w:rsidRPr="00A23C2E" w:rsidP="00A23C2E">
            <w:pPr>
              <w:pStyle w:val="ListBullet"/>
            </w:pPr>
            <w:r w:rsidRPr="00A23C2E">
              <w:t>directors and officers</w:t>
            </w:r>
          </w:p>
          <w:p w:rsidR="00000000" w:rsidRPr="00A23C2E" w:rsidP="00A23C2E">
            <w:pPr>
              <w:pStyle w:val="ListBullet"/>
            </w:pPr>
            <w:r w:rsidRPr="00A23C2E">
              <w:t xml:space="preserve">domestic </w:t>
            </w:r>
          </w:p>
          <w:p w:rsidR="00000000" w:rsidRPr="00A23C2E" w:rsidP="00A23C2E">
            <w:pPr>
              <w:pStyle w:val="ListBullet"/>
            </w:pPr>
            <w:r w:rsidRPr="00A23C2E">
              <w:t>electronic equip</w:t>
            </w:r>
            <w:r w:rsidRPr="00A23C2E">
              <w:t>ment</w:t>
            </w:r>
          </w:p>
          <w:p w:rsidR="00000000" w:rsidRPr="00A23C2E" w:rsidP="00A23C2E">
            <w:pPr>
              <w:pStyle w:val="ListBullet"/>
            </w:pPr>
            <w:r w:rsidRPr="00A23C2E">
              <w:t>employee fraud</w:t>
            </w:r>
          </w:p>
          <w:p w:rsidR="00000000" w:rsidRPr="00A23C2E" w:rsidP="00A23C2E">
            <w:pPr>
              <w:pStyle w:val="ListBullet"/>
            </w:pPr>
            <w:r w:rsidRPr="00A23C2E">
              <w:t>engineering plant</w:t>
            </w:r>
          </w:p>
          <w:p w:rsidR="00000000" w:rsidRPr="00A23C2E" w:rsidP="00A23C2E">
            <w:pPr>
              <w:pStyle w:val="ListBullet"/>
            </w:pPr>
            <w:r w:rsidRPr="00A23C2E">
              <w:t>environment and pollution</w:t>
            </w:r>
          </w:p>
          <w:p w:rsidR="00000000" w:rsidRPr="00A23C2E" w:rsidP="00A23C2E">
            <w:pPr>
              <w:pStyle w:val="ListBullet"/>
            </w:pPr>
            <w:r w:rsidRPr="00A23C2E">
              <w:t>fire and perils</w:t>
            </w:r>
          </w:p>
          <w:p w:rsidR="00000000" w:rsidRPr="00A23C2E" w:rsidP="00A23C2E">
            <w:pPr>
              <w:pStyle w:val="ListBullet"/>
            </w:pPr>
            <w:r w:rsidRPr="00A23C2E">
              <w:t>general and products liability</w:t>
            </w:r>
          </w:p>
          <w:p w:rsidR="00000000" w:rsidRPr="00A23C2E" w:rsidP="00A23C2E">
            <w:pPr>
              <w:pStyle w:val="ListBullet"/>
            </w:pPr>
            <w:r w:rsidRPr="00A23C2E">
              <w:t>glass</w:t>
            </w:r>
          </w:p>
          <w:p w:rsidR="00000000" w:rsidRPr="00A23C2E" w:rsidP="00A23C2E">
            <w:pPr>
              <w:pStyle w:val="ListBullet"/>
            </w:pPr>
            <w:r w:rsidRPr="00A23C2E">
              <w:t>Industrial Special Risks (ISR)</w:t>
            </w:r>
          </w:p>
          <w:p w:rsidR="00000000" w:rsidRPr="00A23C2E" w:rsidP="00A23C2E">
            <w:pPr>
              <w:pStyle w:val="ListBullet"/>
            </w:pPr>
            <w:r w:rsidRPr="00A23C2E">
              <w:t>livestock</w:t>
            </w:r>
          </w:p>
          <w:p w:rsidR="00000000" w:rsidRPr="00A23C2E" w:rsidP="00A23C2E">
            <w:pPr>
              <w:pStyle w:val="ListBullet"/>
            </w:pPr>
            <w:r w:rsidRPr="00A23C2E">
              <w:t>machinery breakdown</w:t>
            </w:r>
          </w:p>
          <w:p w:rsidR="00000000" w:rsidRPr="00A23C2E" w:rsidP="00A23C2E">
            <w:pPr>
              <w:pStyle w:val="ListBullet"/>
            </w:pPr>
            <w:r w:rsidRPr="00A23C2E">
              <w:t>money</w:t>
            </w:r>
          </w:p>
          <w:p w:rsidR="00000000" w:rsidRPr="00A23C2E" w:rsidP="00A23C2E">
            <w:pPr>
              <w:pStyle w:val="ListBullet"/>
            </w:pPr>
            <w:r w:rsidRPr="00A23C2E">
              <w:t>multi-risk</w:t>
            </w:r>
          </w:p>
          <w:p w:rsidR="00000000" w:rsidRPr="00A23C2E" w:rsidP="00A23C2E">
            <w:pPr>
              <w:pStyle w:val="ListBullet"/>
            </w:pPr>
            <w:r w:rsidRPr="00A23C2E">
              <w:t>other personal items</w:t>
            </w:r>
          </w:p>
          <w:p w:rsidR="00000000" w:rsidRPr="00A23C2E" w:rsidP="00A23C2E">
            <w:pPr>
              <w:pStyle w:val="ListBullet"/>
            </w:pPr>
            <w:r w:rsidRPr="00A23C2E">
              <w:t>package contracts</w:t>
            </w:r>
          </w:p>
          <w:p w:rsidR="00000000" w:rsidRPr="00A23C2E" w:rsidP="00A23C2E">
            <w:pPr>
              <w:pStyle w:val="ListBullet"/>
            </w:pPr>
            <w:r w:rsidRPr="00A23C2E">
              <w:t>personal accident and illness</w:t>
            </w:r>
          </w:p>
          <w:p w:rsidR="00000000" w:rsidRPr="00A23C2E" w:rsidP="00A23C2E">
            <w:pPr>
              <w:pStyle w:val="ListBullet"/>
            </w:pPr>
            <w:r w:rsidRPr="00A23C2E">
              <w:t>professional indemnity</w:t>
            </w:r>
          </w:p>
          <w:p w:rsidR="00000000" w:rsidRPr="00A23C2E" w:rsidP="00A23C2E">
            <w:pPr>
              <w:pStyle w:val="ListBullet"/>
            </w:pPr>
            <w:r w:rsidRPr="00A23C2E">
              <w:t>public liability</w:t>
            </w:r>
          </w:p>
          <w:p w:rsidR="00000000" w:rsidRPr="00A23C2E" w:rsidP="00A23C2E">
            <w:pPr>
              <w:pStyle w:val="ListBullet"/>
            </w:pPr>
            <w:r w:rsidRPr="00A23C2E">
              <w:t>sprinkler leakage</w:t>
            </w:r>
          </w:p>
          <w:p w:rsidR="00000000" w:rsidRPr="00A23C2E" w:rsidP="00A23C2E">
            <w:pPr>
              <w:pStyle w:val="ListBullet"/>
            </w:pPr>
            <w:r w:rsidRPr="00A23C2E">
              <w:t>transit</w:t>
            </w:r>
          </w:p>
          <w:p w:rsidR="00000000" w:rsidP="00A23C2E">
            <w:pPr>
              <w:pStyle w:val="ListBullet"/>
              <w:rPr>
                <w:lang w:val="en-NZ"/>
              </w:rPr>
            </w:pPr>
            <w:r w:rsidRPr="00A23C2E">
              <w:t>travel.</w:t>
            </w:r>
          </w:p>
        </w:tc>
      </w:tr>
      <w:tr w:rsidTr="0054165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BoldandItalics"/>
              </w:rPr>
              <w:t>Relevant information</w:t>
            </w:r>
            <w:r w:rsidRPr="00A23C2E">
              <w:t>/</w:t>
            </w:r>
            <w:r w:rsidRPr="00A23C2E">
              <w:rPr>
                <w:rStyle w:val="BoldandItalics"/>
              </w:rPr>
              <w:t>data</w:t>
            </w:r>
            <w:r w:rsidRPr="00A23C2E">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Bullet"/>
            </w:pPr>
            <w:r w:rsidRPr="00A23C2E">
              <w:t>claims files and database information</w:t>
            </w:r>
          </w:p>
          <w:p w:rsidR="00000000" w:rsidRPr="00A23C2E" w:rsidP="00A23C2E">
            <w:pPr>
              <w:pStyle w:val="ListBullet"/>
            </w:pPr>
            <w:r w:rsidRPr="00A23C2E">
              <w:t>claims frequency</w:t>
            </w:r>
          </w:p>
          <w:p w:rsidR="00000000" w:rsidRPr="00A23C2E" w:rsidP="00A23C2E">
            <w:pPr>
              <w:pStyle w:val="ListBullet"/>
            </w:pPr>
            <w:r w:rsidRPr="00A23C2E">
              <w:t>claims portfolio reports</w:t>
            </w:r>
          </w:p>
          <w:p w:rsidR="00000000" w:rsidRPr="00A23C2E" w:rsidP="00A23C2E">
            <w:pPr>
              <w:pStyle w:val="ListBullet"/>
            </w:pPr>
            <w:r w:rsidRPr="00A23C2E">
              <w:t>claims settlement costs</w:t>
            </w:r>
          </w:p>
          <w:p w:rsidR="00000000" w:rsidRPr="00A23C2E" w:rsidP="00A23C2E">
            <w:pPr>
              <w:pStyle w:val="ListBullet"/>
            </w:pPr>
            <w:r w:rsidRPr="00A23C2E">
              <w:t>legal, government, professional and other documents</w:t>
            </w:r>
          </w:p>
          <w:p w:rsidR="00000000" w:rsidRPr="00A23C2E" w:rsidP="00A23C2E">
            <w:pPr>
              <w:pStyle w:val="ListBullet"/>
            </w:pPr>
            <w:r w:rsidRPr="00A23C2E">
              <w:t>loss ratios</w:t>
            </w:r>
          </w:p>
          <w:p w:rsidR="00000000" w:rsidRPr="00A23C2E" w:rsidP="00A23C2E">
            <w:pPr>
              <w:pStyle w:val="ListBullet"/>
            </w:pPr>
            <w:r w:rsidRPr="00A23C2E">
              <w:t>official, general and other correspondence</w:t>
            </w:r>
          </w:p>
          <w:p w:rsidR="00000000" w:rsidRPr="00A23C2E" w:rsidP="00A23C2E">
            <w:pPr>
              <w:pStyle w:val="ListBullet"/>
            </w:pPr>
            <w:r w:rsidRPr="00A23C2E">
              <w:t>premium income</w:t>
            </w:r>
          </w:p>
          <w:p w:rsidR="00000000" w:rsidRPr="00A23C2E" w:rsidP="00A23C2E">
            <w:pPr>
              <w:pStyle w:val="ListBullet"/>
            </w:pPr>
            <w:r w:rsidRPr="00A23C2E">
              <w:t xml:space="preserve">reports from others such as: </w:t>
            </w:r>
          </w:p>
          <w:p w:rsidR="00000000" w:rsidRPr="00A23C2E" w:rsidP="00A23C2E">
            <w:pPr>
              <w:pStyle w:val="ListBullet2"/>
            </w:pPr>
            <w:r w:rsidRPr="00A23C2E">
              <w:t>loss adjusters</w:t>
            </w:r>
          </w:p>
          <w:p w:rsidR="00000000" w:rsidRPr="00A23C2E" w:rsidP="00A23C2E">
            <w:pPr>
              <w:pStyle w:val="ListBullet2"/>
            </w:pPr>
            <w:r w:rsidRPr="00A23C2E">
              <w:t xml:space="preserve">assessors </w:t>
            </w:r>
          </w:p>
          <w:p w:rsidR="00000000" w:rsidRPr="00A23C2E" w:rsidP="00A23C2E">
            <w:pPr>
              <w:pStyle w:val="ListBullet2"/>
            </w:pPr>
            <w:r w:rsidRPr="00A23C2E">
              <w:t>claims specialists</w:t>
            </w:r>
          </w:p>
          <w:p w:rsidR="00000000" w:rsidRPr="00A23C2E" w:rsidP="00A23C2E">
            <w:pPr>
              <w:pStyle w:val="ListBullet2"/>
            </w:pPr>
            <w:r w:rsidRPr="00A23C2E">
              <w:t xml:space="preserve">underwriters </w:t>
            </w:r>
          </w:p>
          <w:p w:rsidR="00000000" w:rsidP="00A23C2E">
            <w:pPr>
              <w:pStyle w:val="ListBullet"/>
              <w:rPr>
                <w:lang w:val="en-NZ"/>
              </w:rPr>
            </w:pPr>
            <w:r w:rsidRPr="00A23C2E">
              <w:t>reports on claims.</w:t>
            </w:r>
          </w:p>
        </w:tc>
      </w:tr>
      <w:tr w:rsidTr="0054165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BoldandItalics"/>
              </w:rPr>
              <w:t>Stakeholders</w:t>
            </w:r>
            <w:r w:rsidRPr="00A23C2E">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Bullet"/>
            </w:pPr>
            <w:r w:rsidRPr="00A23C2E">
              <w:t>agents or brokers</w:t>
            </w:r>
          </w:p>
          <w:p w:rsidR="00000000" w:rsidRPr="00A23C2E" w:rsidP="00A23C2E">
            <w:pPr>
              <w:pStyle w:val="ListBullet"/>
            </w:pPr>
            <w:r w:rsidRPr="00A23C2E">
              <w:t>claims staff</w:t>
            </w:r>
          </w:p>
          <w:p w:rsidR="00000000" w:rsidRPr="00A23C2E" w:rsidP="00A23C2E">
            <w:pPr>
              <w:pStyle w:val="ListBullet"/>
            </w:pPr>
            <w:r w:rsidRPr="00A23C2E">
              <w:t>insured, claimants, other relevant parties</w:t>
            </w:r>
          </w:p>
          <w:p w:rsidR="00000000" w:rsidRPr="00A23C2E" w:rsidP="00A23C2E">
            <w:pPr>
              <w:pStyle w:val="ListBullet"/>
            </w:pPr>
            <w:r w:rsidRPr="00A23C2E">
              <w:t>reinsurers</w:t>
            </w:r>
          </w:p>
          <w:p w:rsidR="00000000" w:rsidP="00A23C2E">
            <w:pPr>
              <w:pStyle w:val="ListBullet"/>
              <w:rPr>
                <w:lang w:val="en-NZ"/>
              </w:rPr>
            </w:pPr>
            <w:r w:rsidRPr="00A23C2E">
              <w:t>underwriters.</w:t>
            </w:r>
          </w:p>
        </w:tc>
      </w:tr>
      <w:tr w:rsidTr="0054165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BoldandItalics"/>
              </w:rPr>
              <w:t>Documentation</w:t>
            </w:r>
            <w:r w:rsidRPr="00A23C2E">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ListBullet"/>
            </w:pPr>
            <w:r w:rsidRPr="00A23C2E">
              <w:t xml:space="preserve">file notes </w:t>
            </w:r>
          </w:p>
          <w:p w:rsidR="00000000" w:rsidRPr="00A23C2E" w:rsidP="00A23C2E">
            <w:pPr>
              <w:pStyle w:val="ListBullet"/>
            </w:pPr>
            <w:r w:rsidRPr="00A23C2E">
              <w:t>reports.</w:t>
            </w:r>
          </w:p>
        </w:tc>
      </w:tr>
    </w:tbl>
    <w:p w:rsidR="0054165D" w:rsidP="00A23C2E">
      <w:pPr>
        <w:pStyle w:val="BodyText"/>
      </w:pPr>
    </w:p>
    <w:p w:rsidR="0054165D" w:rsidP="00A23C2E">
      <w:pPr>
        <w:pStyle w:val="BodyText"/>
      </w:pPr>
    </w:p>
    <w:p w:rsidR="00000000" w:rsidRPr="00A23C2E" w:rsidP="00A23C2E">
      <w:pPr>
        <w:pStyle w:val="Heading1"/>
      </w:pPr>
      <w:bookmarkStart w:id="12" w:name="O_79706"/>
      <w:bookmarkEnd w:id="12"/>
      <w:r w:rsidRPr="00A23C2E">
        <w:t>Unit Sector(s)</w:t>
      </w:r>
    </w:p>
    <w:tbl>
      <w:tblPr>
        <w:tblW w:w="0" w:type="auto"/>
        <w:tblLayout w:type="fixed"/>
        <w:tblCellMar>
          <w:left w:w="62" w:type="dxa"/>
          <w:right w:w="62" w:type="dxa"/>
        </w:tblCellMar>
        <w:tblLook w:val="0000"/>
      </w:tblPr>
      <w:tblGrid>
        <w:gridCol w:w="2594"/>
        <w:gridCol w:w="5928"/>
      </w:tblGrid>
      <w:tr w:rsidTr="0054165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r w:rsidRPr="00A23C2E">
              <w:t>Insurance services</w:t>
            </w: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13" w:name="O_156517"/>
      <w:bookmarkEnd w:id="13"/>
      <w:r w:rsidRPr="00A23C2E">
        <w:t>Competency field</w:t>
      </w:r>
    </w:p>
    <w:tbl>
      <w:tblPr>
        <w:tblW w:w="0" w:type="auto"/>
        <w:tblLayout w:type="fixed"/>
        <w:tblCellMar>
          <w:left w:w="62" w:type="dxa"/>
          <w:right w:w="62" w:type="dxa"/>
        </w:tblCellMar>
        <w:tblLook w:val="0000"/>
      </w:tblPr>
      <w:tblGrid>
        <w:gridCol w:w="2754"/>
        <w:gridCol w:w="5768"/>
      </w:tblGrid>
      <w:tr w:rsidTr="0054165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p>
        </w:tc>
      </w:tr>
    </w:tbl>
    <w:p w:rsidR="00000000" w:rsidRPr="00A23C2E" w:rsidP="00A23C2E">
      <w:pPr>
        <w:pStyle w:val="BodyText"/>
      </w:pPr>
    </w:p>
    <w:p w:rsidR="00000000" w:rsidRPr="00A23C2E" w:rsidP="00A23C2E">
      <w:pPr>
        <w:pStyle w:val="AllowPageBreak"/>
      </w:pPr>
    </w:p>
    <w:p w:rsidR="00000000" w:rsidRPr="00A23C2E" w:rsidP="00A23C2E">
      <w:pPr>
        <w:pStyle w:val="Heading1"/>
      </w:pPr>
      <w:bookmarkStart w:id="14" w:name="O_156516"/>
      <w:bookmarkEnd w:id="14"/>
      <w:r w:rsidRPr="00A23C2E">
        <w:t>Co-requisite units</w:t>
      </w:r>
    </w:p>
    <w:tbl>
      <w:tblPr>
        <w:tblW w:w="0" w:type="auto"/>
        <w:tblLayout w:type="fixed"/>
        <w:tblCellMar>
          <w:left w:w="62" w:type="dxa"/>
          <w:right w:w="62" w:type="dxa"/>
        </w:tblCellMar>
        <w:tblLook w:val="0000"/>
      </w:tblPr>
      <w:tblGrid>
        <w:gridCol w:w="2629"/>
        <w:gridCol w:w="1324"/>
        <w:gridCol w:w="4569"/>
      </w:tblGrid>
      <w:tr w:rsidTr="0054165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r w:rsidRPr="00A23C2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2E">
            <w:pPr>
              <w:pStyle w:val="BodyText"/>
              <w:rPr>
                <w:lang w:val="en-NZ"/>
              </w:rPr>
            </w:pPr>
          </w:p>
        </w:tc>
      </w:tr>
      <w:tr w:rsidTr="0054165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2E" w:rsidP="00A23C2E">
            <w:pPr>
              <w:pStyle w:val="BodyText"/>
            </w:pPr>
          </w:p>
        </w:tc>
      </w:tr>
    </w:tbl>
    <w:p w:rsidR="00000000" w:rsidRPr="00A23C2E" w:rsidP="00A23C2E">
      <w:pPr>
        <w:pStyle w:val="BodyText"/>
      </w:pPr>
    </w:p>
    <w:p w:rsidR="00000000" w:rsidRPr="00A23C2E" w:rsidP="00A23C2E"/>
    <w:sectPr w:rsidSect="00A23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165D" w:rsidP="005416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5D" w:rsidP="00A23C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165D" w:rsidP="00A23C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165D" w:rsidP="00A23C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2E" w:rsidRPr="0054165D" w:rsidP="005416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5D" w:rsidRPr="002D2AF8" w:rsidP="00A23C2E">
    <w:pPr>
      <w:pStyle w:val="Header"/>
      <w:framePr w:wrap="around"/>
    </w:pPr>
    <w:r>
      <w:fldChar w:fldCharType="begin"/>
    </w:r>
    <w:r>
      <w:instrText xml:space="preserve"> TITLE   \* MERGEFORMAT </w:instrText>
    </w:r>
    <w:r>
      <w:fldChar w:fldCharType="separate"/>
    </w:r>
    <w:r>
      <w:t>FNSISV513A Provide decisions on legal liability and indemnity of a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4165D" w:rsidP="00A23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87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0E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4B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C2E"/>
    <w:pPr>
      <w:spacing w:before="360" w:after="60"/>
      <w:outlineLvl w:val="0"/>
    </w:pPr>
    <w:rPr>
      <w:sz w:val="32"/>
    </w:rPr>
  </w:style>
  <w:style w:type="paragraph" w:styleId="Heading2">
    <w:name w:val="heading 2"/>
    <w:basedOn w:val="HeadingBase"/>
    <w:next w:val="BodyText"/>
    <w:link w:val="Heading2Char"/>
    <w:qFormat/>
    <w:rsid w:val="00A23C2E"/>
    <w:pPr>
      <w:keepLines/>
      <w:spacing w:before="240" w:after="120"/>
      <w:outlineLvl w:val="1"/>
    </w:pPr>
    <w:rPr>
      <w:sz w:val="28"/>
      <w:szCs w:val="40"/>
    </w:rPr>
  </w:style>
  <w:style w:type="paragraph" w:styleId="Heading3">
    <w:name w:val="heading 3"/>
    <w:basedOn w:val="HeadingBase"/>
    <w:next w:val="BodyText"/>
    <w:link w:val="Heading3Char"/>
    <w:qFormat/>
    <w:rsid w:val="00A23C2E"/>
    <w:pPr>
      <w:spacing w:before="180" w:after="120"/>
      <w:outlineLvl w:val="2"/>
    </w:pPr>
    <w:rPr>
      <w:spacing w:val="-10"/>
      <w:kern w:val="32"/>
    </w:rPr>
  </w:style>
  <w:style w:type="paragraph" w:styleId="Heading4">
    <w:name w:val="heading 4"/>
    <w:basedOn w:val="HeadingBase"/>
    <w:next w:val="BodyText"/>
    <w:link w:val="Heading4Char"/>
    <w:qFormat/>
    <w:rsid w:val="00A23C2E"/>
    <w:pPr>
      <w:spacing w:before="160" w:after="120"/>
      <w:outlineLvl w:val="3"/>
    </w:pPr>
    <w:rPr>
      <w:sz w:val="22"/>
    </w:rPr>
  </w:style>
  <w:style w:type="paragraph" w:styleId="Heading5">
    <w:name w:val="heading 5"/>
    <w:basedOn w:val="HeadingBase"/>
    <w:next w:val="Normal"/>
    <w:link w:val="Heading5Char"/>
    <w:qFormat/>
    <w:rsid w:val="00A23C2E"/>
    <w:pPr>
      <w:spacing w:before="80"/>
      <w:outlineLvl w:val="4"/>
    </w:pPr>
    <w:rPr>
      <w:color w:val="918585"/>
      <w:sz w:val="20"/>
    </w:rPr>
  </w:style>
  <w:style w:type="paragraph" w:styleId="Heading6">
    <w:name w:val="heading 6"/>
    <w:basedOn w:val="HeadingBase"/>
    <w:next w:val="Normal"/>
    <w:link w:val="Heading6Char"/>
    <w:qFormat/>
    <w:rsid w:val="00A23C2E"/>
    <w:pPr>
      <w:spacing w:before="60"/>
      <w:outlineLvl w:val="5"/>
    </w:pPr>
    <w:rPr>
      <w:color w:val="918585"/>
      <w:sz w:val="20"/>
    </w:rPr>
  </w:style>
  <w:style w:type="paragraph" w:styleId="Heading7">
    <w:name w:val="heading 7"/>
    <w:basedOn w:val="Normal"/>
    <w:next w:val="Normal"/>
    <w:link w:val="Heading7Char"/>
    <w:qFormat/>
    <w:rsid w:val="00A23C2E"/>
    <w:pPr>
      <w:ind w:left="720"/>
      <w:outlineLvl w:val="6"/>
    </w:pPr>
    <w:rPr>
      <w:i/>
    </w:rPr>
  </w:style>
  <w:style w:type="paragraph" w:styleId="Heading8">
    <w:name w:val="heading 8"/>
    <w:basedOn w:val="Normal"/>
    <w:next w:val="Normal"/>
    <w:link w:val="Heading8Char"/>
    <w:qFormat/>
    <w:rsid w:val="00A23C2E"/>
    <w:pPr>
      <w:ind w:left="720"/>
      <w:outlineLvl w:val="7"/>
    </w:pPr>
    <w:rPr>
      <w:i/>
    </w:rPr>
  </w:style>
  <w:style w:type="paragraph" w:styleId="Heading9">
    <w:name w:val="heading 9"/>
    <w:basedOn w:val="Normal"/>
    <w:next w:val="Normal"/>
    <w:link w:val="Heading9Char"/>
    <w:qFormat/>
    <w:rsid w:val="00A23C2E"/>
    <w:pPr>
      <w:ind w:left="720"/>
      <w:outlineLvl w:val="8"/>
    </w:pPr>
    <w:rPr>
      <w:i/>
    </w:rPr>
  </w:style>
  <w:style w:type="character" w:default="1" w:styleId="DefaultParagraphFont">
    <w:name w:val="Default Paragraph Font"/>
    <w:uiPriority w:val="1"/>
    <w:unhideWhenUsed/>
    <w:rsid w:val="00A23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C2E"/>
  </w:style>
  <w:style w:type="character" w:customStyle="1" w:styleId="Heading1Char">
    <w:name w:val="Heading 1 Char"/>
    <w:basedOn w:val="DefaultParagraphFont"/>
    <w:link w:val="Heading1"/>
    <w:rsid w:val="00A23C2E"/>
    <w:rPr>
      <w:rFonts w:ascii="Times New Roman" w:eastAsia="Times New Roman" w:hAnsi="Times New Roman" w:cs="Times New Roman"/>
      <w:b/>
      <w:sz w:val="32"/>
      <w:szCs w:val="20"/>
      <w:lang w:eastAsia="en-US"/>
    </w:rPr>
  </w:style>
  <w:style w:type="paragraph" w:styleId="BodyText">
    <w:name w:val="Body Text"/>
    <w:basedOn w:val="Normal"/>
    <w:link w:val="BodyTextChar"/>
    <w:rsid w:val="00A23C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C2E"/>
    <w:rPr>
      <w:rFonts w:ascii="Times New Roman" w:eastAsia="Times New Roman" w:hAnsi="Times New Roman" w:cs="Times New Roman"/>
      <w:sz w:val="24"/>
      <w:lang w:eastAsia="en-US"/>
    </w:rPr>
  </w:style>
  <w:style w:type="paragraph" w:styleId="Footer">
    <w:name w:val="footer"/>
    <w:basedOn w:val="Normal"/>
    <w:link w:val="FooterChar"/>
    <w:rsid w:val="00A23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C2E"/>
    <w:rPr>
      <w:rFonts w:ascii="Times New Roman" w:eastAsia="Times New Roman" w:hAnsi="Times New Roman" w:cs="Times New Roman"/>
      <w:sz w:val="16"/>
      <w:lang w:eastAsia="en-US"/>
    </w:rPr>
  </w:style>
  <w:style w:type="paragraph" w:styleId="List">
    <w:name w:val="List"/>
    <w:basedOn w:val="BodyText"/>
    <w:next w:val="BodyText"/>
    <w:rsid w:val="00A23C2E"/>
    <w:pPr>
      <w:tabs>
        <w:tab w:val="left" w:pos="340"/>
      </w:tabs>
      <w:spacing w:before="60" w:after="60"/>
      <w:ind w:left="340" w:hanging="340"/>
    </w:pPr>
  </w:style>
  <w:style w:type="paragraph" w:styleId="ListBullet">
    <w:name w:val="List Bullet"/>
    <w:basedOn w:val="List"/>
    <w:rsid w:val="00A23C2E"/>
    <w:pPr>
      <w:numPr>
        <w:numId w:val="13"/>
      </w:numPr>
      <w:tabs>
        <w:tab w:val="clear" w:pos="340"/>
      </w:tabs>
      <w:spacing w:before="40" w:after="40"/>
    </w:pPr>
  </w:style>
  <w:style w:type="character" w:customStyle="1" w:styleId="SpecialBold">
    <w:name w:val="Special Bold"/>
    <w:basedOn w:val="DefaultParagraphFont"/>
    <w:rsid w:val="00A23C2E"/>
    <w:rPr>
      <w:b/>
      <w:spacing w:val="0"/>
    </w:rPr>
  </w:style>
  <w:style w:type="paragraph" w:styleId="ListBullet2">
    <w:name w:val="List Bullet 2"/>
    <w:basedOn w:val="List2"/>
    <w:rsid w:val="00A23C2E"/>
    <w:pPr>
      <w:numPr>
        <w:numId w:val="14"/>
      </w:numPr>
      <w:tabs>
        <w:tab w:val="clear" w:pos="680"/>
      </w:tabs>
    </w:pPr>
  </w:style>
  <w:style w:type="paragraph" w:customStyle="1" w:styleId="SuperHeading">
    <w:name w:val="SuperHeading"/>
    <w:basedOn w:val="Normal"/>
    <w:rsid w:val="00A23C2E"/>
    <w:pPr>
      <w:spacing w:before="240" w:after="120"/>
      <w:outlineLvl w:val="0"/>
    </w:pPr>
    <w:rPr>
      <w:rFonts w:ascii="Times New Roman" w:hAnsi="Times New Roman"/>
      <w:b/>
      <w:sz w:val="28"/>
    </w:rPr>
  </w:style>
  <w:style w:type="paragraph" w:customStyle="1" w:styleId="AllowPageBreak">
    <w:name w:val="AllowPageBreak"/>
    <w:rsid w:val="00A23C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3C2E"/>
    <w:pPr>
      <w:tabs>
        <w:tab w:val="left" w:pos="680"/>
      </w:tabs>
      <w:spacing w:before="60" w:after="60"/>
      <w:ind w:left="680" w:hanging="340"/>
    </w:pPr>
  </w:style>
  <w:style w:type="character" w:customStyle="1" w:styleId="BoldandItalics">
    <w:name w:val="Bold and Italics"/>
    <w:qFormat/>
    <w:rsid w:val="00A23C2E"/>
    <w:rPr>
      <w:b/>
      <w:i/>
      <w:u w:val="none"/>
    </w:rPr>
  </w:style>
  <w:style w:type="character" w:customStyle="1" w:styleId="Heading2Char">
    <w:name w:val="Heading 2 Char"/>
    <w:basedOn w:val="DefaultParagraphFont"/>
    <w:link w:val="Heading2"/>
    <w:rsid w:val="00A23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C2E"/>
    <w:rPr>
      <w:rFonts w:ascii="Courier New" w:eastAsia="Times New Roman" w:hAnsi="Courier New" w:cs="Times New Roman"/>
      <w:i/>
      <w:szCs w:val="20"/>
      <w:lang w:eastAsia="en-US"/>
    </w:rPr>
  </w:style>
  <w:style w:type="paragraph" w:customStyle="1" w:styleId="HeadingBase">
    <w:name w:val="Heading Base"/>
    <w:rsid w:val="00A23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C2E"/>
    <w:pPr>
      <w:tabs>
        <w:tab w:val="right" w:leader="dot" w:pos="9072"/>
      </w:tabs>
      <w:ind w:left="567"/>
    </w:pPr>
    <w:rPr>
      <w:szCs w:val="22"/>
    </w:rPr>
  </w:style>
  <w:style w:type="paragraph" w:customStyle="1" w:styleId="TOCBase">
    <w:name w:val="TOC Base"/>
    <w:rsid w:val="00A23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C2E"/>
    <w:pPr>
      <w:tabs>
        <w:tab w:val="right" w:leader="dot" w:pos="9072"/>
      </w:tabs>
      <w:spacing w:before="40" w:after="40"/>
      <w:ind w:left="284"/>
    </w:pPr>
    <w:rPr>
      <w:rFonts w:ascii="Times New Roman" w:hAnsi="Times New Roman"/>
    </w:rPr>
  </w:style>
  <w:style w:type="paragraph" w:styleId="TOC1">
    <w:name w:val="toc 1"/>
    <w:basedOn w:val="TOCBase"/>
    <w:next w:val="Normal"/>
    <w:rsid w:val="00A23C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C2E"/>
    <w:pPr>
      <w:spacing w:before="5040"/>
      <w:jc w:val="center"/>
    </w:pPr>
    <w:rPr>
      <w:sz w:val="48"/>
      <w:szCs w:val="72"/>
      <w:lang w:val="en-US"/>
    </w:rPr>
  </w:style>
  <w:style w:type="character" w:customStyle="1" w:styleId="TitleChar">
    <w:name w:val="Title Char"/>
    <w:basedOn w:val="DefaultParagraphFont"/>
    <w:link w:val="Title"/>
    <w:rsid w:val="00A23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C2E"/>
    <w:pPr>
      <w:tabs>
        <w:tab w:val="left" w:pos="3600"/>
        <w:tab w:val="left" w:pos="3958"/>
      </w:tabs>
    </w:pPr>
  </w:style>
  <w:style w:type="paragraph" w:customStyle="1" w:styleId="Note">
    <w:name w:val="Note"/>
    <w:basedOn w:val="BodyText"/>
    <w:rsid w:val="00A23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C2E"/>
    <w:pPr>
      <w:framePr w:wrap="auto" w:hAnchor="text" w:y="6049"/>
    </w:pPr>
    <w:rPr>
      <w:color w:val="000000"/>
      <w:sz w:val="40"/>
    </w:rPr>
  </w:style>
  <w:style w:type="paragraph" w:customStyle="1" w:styleId="TOCTitle">
    <w:name w:val="TOCTitle"/>
    <w:basedOn w:val="Heading1"/>
    <w:rsid w:val="00A23C2E"/>
    <w:pPr>
      <w:spacing w:after="240"/>
      <w:jc w:val="center"/>
      <w:outlineLvl w:val="9"/>
    </w:pPr>
    <w:rPr>
      <w:caps/>
    </w:rPr>
  </w:style>
  <w:style w:type="paragraph" w:customStyle="1" w:styleId="Version">
    <w:name w:val="Version"/>
    <w:rsid w:val="00A23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C2E"/>
    <w:pPr>
      <w:keepNext w:val="0"/>
      <w:tabs>
        <w:tab w:val="right" w:pos="4176"/>
      </w:tabs>
      <w:ind w:left="198" w:hanging="198"/>
    </w:pPr>
    <w:rPr>
      <w:rFonts w:ascii="Garamond" w:hAnsi="Garamond"/>
    </w:rPr>
  </w:style>
  <w:style w:type="paragraph" w:styleId="IndexHeading">
    <w:name w:val="index heading"/>
    <w:basedOn w:val="Normal"/>
    <w:next w:val="Index1"/>
    <w:semiHidden/>
    <w:rsid w:val="00A23C2E"/>
    <w:pPr>
      <w:spacing w:before="120" w:after="120"/>
    </w:pPr>
    <w:rPr>
      <w:rFonts w:ascii="Arial" w:hAnsi="Arial"/>
      <w:b/>
      <w:color w:val="918585"/>
      <w:sz w:val="24"/>
    </w:rPr>
  </w:style>
  <w:style w:type="paragraph" w:styleId="Header">
    <w:name w:val="header"/>
    <w:basedOn w:val="Normal"/>
    <w:link w:val="HeaderChar"/>
    <w:rsid w:val="00A23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C2E"/>
    <w:rPr>
      <w:rFonts w:ascii="Times New Roman" w:eastAsia="Times New Roman" w:hAnsi="Times New Roman" w:cs="Times New Roman"/>
      <w:sz w:val="16"/>
      <w:szCs w:val="20"/>
      <w:lang w:val="en-GB" w:eastAsia="en-US"/>
    </w:rPr>
  </w:style>
  <w:style w:type="paragraph" w:customStyle="1" w:styleId="Chapter">
    <w:name w:val="Chapter"/>
    <w:basedOn w:val="Normal"/>
    <w:rsid w:val="00A23C2E"/>
    <w:pPr>
      <w:spacing w:before="240"/>
    </w:pPr>
    <w:rPr>
      <w:rFonts w:ascii="Times New Roman" w:hAnsi="Times New Roman"/>
      <w:smallCaps/>
      <w:spacing w:val="80"/>
      <w:sz w:val="28"/>
    </w:rPr>
  </w:style>
  <w:style w:type="paragraph" w:customStyle="1" w:styleId="InChapter">
    <w:name w:val="InChapter"/>
    <w:basedOn w:val="Heading3"/>
    <w:rsid w:val="00A23C2E"/>
    <w:pPr>
      <w:spacing w:after="240"/>
      <w:outlineLvl w:val="9"/>
    </w:pPr>
    <w:rPr>
      <w:noProof/>
    </w:rPr>
  </w:style>
  <w:style w:type="paragraph" w:styleId="Index2">
    <w:name w:val="index 2"/>
    <w:basedOn w:val="Normal"/>
    <w:next w:val="Normal"/>
    <w:semiHidden/>
    <w:rsid w:val="00A23C2E"/>
    <w:pPr>
      <w:tabs>
        <w:tab w:val="right" w:pos="4176"/>
      </w:tabs>
      <w:ind w:left="568" w:hanging="284"/>
    </w:pPr>
    <w:rPr>
      <w:rFonts w:ascii="Garamond" w:hAnsi="Garamond"/>
    </w:rPr>
  </w:style>
  <w:style w:type="paragraph" w:customStyle="1" w:styleId="Byline">
    <w:name w:val="Byline"/>
    <w:rsid w:val="00A23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C2E"/>
    <w:pPr>
      <w:tabs>
        <w:tab w:val="clear" w:pos="3600"/>
        <w:tab w:val="clear" w:pos="3958"/>
      </w:tabs>
      <w:jc w:val="right"/>
    </w:pPr>
  </w:style>
  <w:style w:type="character" w:styleId="Emphasis">
    <w:name w:val="Emphasis"/>
    <w:basedOn w:val="DefaultParagraphFont"/>
    <w:qFormat/>
    <w:rsid w:val="00A23C2E"/>
    <w:rPr>
      <w:i/>
    </w:rPr>
  </w:style>
  <w:style w:type="paragraph" w:styleId="Caption">
    <w:name w:val="caption"/>
    <w:basedOn w:val="BodyText"/>
    <w:next w:val="Normal"/>
    <w:qFormat/>
    <w:rsid w:val="00A23C2E"/>
    <w:pPr>
      <w:framePr w:w="2268" w:hSpace="181" w:vSpace="181" w:wrap="around" w:vAnchor="text" w:hAnchor="page" w:x="1135" w:y="285" w:anchorLock="1"/>
    </w:pPr>
    <w:rPr>
      <w:i/>
    </w:rPr>
  </w:style>
  <w:style w:type="paragraph" w:customStyle="1" w:styleId="MiniTOCTitle">
    <w:name w:val="MiniTOCTitle"/>
    <w:basedOn w:val="Heading4"/>
    <w:rsid w:val="00A23C2E"/>
    <w:pPr>
      <w:spacing w:before="240"/>
      <w:outlineLvl w:val="9"/>
    </w:pPr>
    <w:rPr>
      <w:noProof/>
      <w:sz w:val="24"/>
    </w:rPr>
  </w:style>
  <w:style w:type="paragraph" w:customStyle="1" w:styleId="MiniTOCItem">
    <w:name w:val="MiniTOCItem"/>
    <w:basedOn w:val="ListBullet"/>
    <w:rsid w:val="00A23C2E"/>
    <w:pPr>
      <w:numPr>
        <w:numId w:val="0"/>
      </w:numPr>
      <w:tabs>
        <w:tab w:val="right" w:leader="dot" w:pos="6521"/>
      </w:tabs>
      <w:spacing w:before="0" w:after="0"/>
    </w:pPr>
  </w:style>
  <w:style w:type="paragraph" w:customStyle="1" w:styleId="TOFTitle">
    <w:name w:val="TOFTitle"/>
    <w:basedOn w:val="TOCTitle"/>
    <w:rsid w:val="00A23C2E"/>
  </w:style>
  <w:style w:type="paragraph" w:styleId="TableofFigures">
    <w:name w:val="table of figures"/>
    <w:basedOn w:val="Normal"/>
    <w:next w:val="Normal"/>
    <w:semiHidden/>
    <w:rsid w:val="00A23C2E"/>
    <w:pPr>
      <w:tabs>
        <w:tab w:val="right" w:leader="dot" w:pos="9072"/>
      </w:tabs>
      <w:ind w:left="970" w:hanging="403"/>
    </w:pPr>
    <w:rPr>
      <w:rFonts w:ascii="Times New Roman" w:hAnsi="Times New Roman"/>
      <w:b/>
    </w:rPr>
  </w:style>
  <w:style w:type="paragraph" w:styleId="ListNumber">
    <w:name w:val="List Number"/>
    <w:basedOn w:val="List"/>
    <w:rsid w:val="00A23C2E"/>
    <w:pPr>
      <w:numPr>
        <w:numId w:val="11"/>
      </w:numPr>
    </w:pPr>
  </w:style>
  <w:style w:type="character" w:customStyle="1" w:styleId="WingdingSymbols">
    <w:name w:val="Wingding Symbols"/>
    <w:rsid w:val="00A23C2E"/>
    <w:rPr>
      <w:rFonts w:ascii="Wingdings" w:hAnsi="Wingdings"/>
    </w:rPr>
  </w:style>
  <w:style w:type="paragraph" w:customStyle="1" w:styleId="TableHeading">
    <w:name w:val="Table Heading"/>
    <w:basedOn w:val="HeadingBase"/>
    <w:rsid w:val="00A23C2E"/>
    <w:pPr>
      <w:keepLines/>
      <w:pBdr>
        <w:bottom w:val="single" w:sz="6" w:space="1" w:color="918585"/>
      </w:pBdr>
      <w:spacing w:before="240"/>
    </w:pPr>
  </w:style>
  <w:style w:type="character" w:customStyle="1" w:styleId="HotSpot">
    <w:name w:val="HotSpot"/>
    <w:rsid w:val="00A23C2E"/>
    <w:rPr>
      <w:color w:val="0033CC"/>
      <w:u w:val="none"/>
    </w:rPr>
  </w:style>
  <w:style w:type="paragraph" w:customStyle="1" w:styleId="BodyTextRight">
    <w:name w:val="Body Text Right"/>
    <w:basedOn w:val="BodyText"/>
    <w:rsid w:val="00A23C2E"/>
    <w:pPr>
      <w:spacing w:before="0" w:after="0"/>
      <w:jc w:val="right"/>
    </w:pPr>
  </w:style>
  <w:style w:type="paragraph" w:styleId="Index3">
    <w:name w:val="index 3"/>
    <w:basedOn w:val="ListNumber2"/>
    <w:next w:val="Normal"/>
    <w:semiHidden/>
    <w:rsid w:val="00A23C2E"/>
    <w:pPr>
      <w:numPr>
        <w:numId w:val="0"/>
      </w:numPr>
      <w:tabs>
        <w:tab w:val="right" w:leader="dot" w:pos="4176"/>
      </w:tabs>
    </w:pPr>
  </w:style>
  <w:style w:type="paragraph" w:styleId="ListNumber2">
    <w:name w:val="List Number 2"/>
    <w:basedOn w:val="List2"/>
    <w:rsid w:val="00A23C2E"/>
    <w:pPr>
      <w:numPr>
        <w:numId w:val="10"/>
      </w:numPr>
      <w:tabs>
        <w:tab w:val="clear" w:pos="1060"/>
      </w:tabs>
    </w:pPr>
  </w:style>
  <w:style w:type="paragraph" w:customStyle="1" w:styleId="MarginNote">
    <w:name w:val="Margin Note"/>
    <w:basedOn w:val="BodyText"/>
    <w:rsid w:val="00A23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C2E"/>
    <w:rPr>
      <w:sz w:val="32"/>
    </w:rPr>
  </w:style>
  <w:style w:type="paragraph" w:customStyle="1" w:styleId="HeadingProcedure">
    <w:name w:val="Heading Procedure"/>
    <w:basedOn w:val="HeadingBase"/>
    <w:next w:val="Normal"/>
    <w:rsid w:val="00A23C2E"/>
    <w:pPr>
      <w:tabs>
        <w:tab w:val="left" w:pos="0"/>
      </w:tabs>
      <w:spacing w:before="120" w:after="60"/>
    </w:pPr>
    <w:rPr>
      <w:i/>
      <w:color w:val="918585"/>
      <w:sz w:val="22"/>
    </w:rPr>
  </w:style>
  <w:style w:type="paragraph" w:customStyle="1" w:styleId="TableBodyText">
    <w:name w:val="Table Body Text"/>
    <w:basedOn w:val="BodyText"/>
    <w:rsid w:val="00A23C2E"/>
    <w:pPr>
      <w:spacing w:before="60" w:after="60"/>
    </w:pPr>
  </w:style>
  <w:style w:type="paragraph" w:styleId="ListContinue">
    <w:name w:val="List Continue"/>
    <w:basedOn w:val="List"/>
    <w:rsid w:val="00A23C2E"/>
    <w:pPr>
      <w:ind w:firstLine="0"/>
    </w:pPr>
  </w:style>
  <w:style w:type="paragraph" w:customStyle="1" w:styleId="ListNote">
    <w:name w:val="List Note"/>
    <w:basedOn w:val="List"/>
    <w:rsid w:val="00A23C2E"/>
    <w:pPr>
      <w:pBdr>
        <w:top w:val="single" w:sz="6" w:space="2" w:color="918585"/>
        <w:bottom w:val="single" w:sz="6" w:space="2" w:color="918585"/>
      </w:pBdr>
      <w:tabs>
        <w:tab w:val="left" w:pos="1021"/>
      </w:tabs>
      <w:ind w:firstLine="0"/>
    </w:pPr>
  </w:style>
  <w:style w:type="paragraph" w:customStyle="1" w:styleId="Warning">
    <w:name w:val="Warning"/>
    <w:basedOn w:val="BodyText"/>
    <w:rsid w:val="00A23C2E"/>
    <w:pPr>
      <w:shd w:val="clear" w:color="auto" w:fill="D9D9D9"/>
      <w:tabs>
        <w:tab w:val="left" w:pos="992"/>
      </w:tabs>
      <w:ind w:left="119" w:right="119"/>
    </w:pPr>
    <w:rPr>
      <w:sz w:val="20"/>
    </w:rPr>
  </w:style>
  <w:style w:type="paragraph" w:customStyle="1" w:styleId="MarginIcons">
    <w:name w:val="Margin Icons"/>
    <w:basedOn w:val="BodyText"/>
    <w:rsid w:val="00A23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C2E"/>
    <w:rPr>
      <w:rFonts w:ascii="Courier New" w:hAnsi="Courier New"/>
    </w:rPr>
  </w:style>
  <w:style w:type="paragraph" w:customStyle="1" w:styleId="NoteBullet">
    <w:name w:val="Note Bullet"/>
    <w:basedOn w:val="Note"/>
    <w:rsid w:val="00A23C2E"/>
    <w:pPr>
      <w:tabs>
        <w:tab w:val="clear" w:pos="680"/>
      </w:tabs>
      <w:spacing w:before="60" w:after="60"/>
    </w:pPr>
  </w:style>
  <w:style w:type="paragraph" w:customStyle="1" w:styleId="SubHeading2">
    <w:name w:val="SubHeading2"/>
    <w:basedOn w:val="HeadingBase"/>
    <w:rsid w:val="00A23C2E"/>
    <w:pPr>
      <w:spacing w:before="240" w:after="60"/>
    </w:pPr>
    <w:rPr>
      <w:sz w:val="20"/>
    </w:rPr>
  </w:style>
  <w:style w:type="paragraph" w:customStyle="1" w:styleId="SubHeading1">
    <w:name w:val="SubHeading1"/>
    <w:basedOn w:val="HeadingBase"/>
    <w:rsid w:val="00A23C2E"/>
    <w:pPr>
      <w:spacing w:before="240" w:after="60"/>
    </w:pPr>
    <w:rPr>
      <w:color w:val="918585"/>
      <w:sz w:val="22"/>
    </w:rPr>
  </w:style>
  <w:style w:type="paragraph" w:customStyle="1" w:styleId="SideHeading">
    <w:name w:val="Side Heading"/>
    <w:basedOn w:val="HeadingBase"/>
    <w:rsid w:val="00A23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C2E"/>
    <w:pPr>
      <w:numPr>
        <w:numId w:val="12"/>
      </w:numPr>
    </w:pPr>
  </w:style>
  <w:style w:type="paragraph" w:styleId="PlainText">
    <w:name w:val="Plain Text"/>
    <w:basedOn w:val="Normal"/>
    <w:link w:val="PlainTextChar"/>
    <w:rsid w:val="00A23C2E"/>
    <w:rPr>
      <w:sz w:val="20"/>
    </w:rPr>
  </w:style>
  <w:style w:type="character" w:customStyle="1" w:styleId="PlainTextChar">
    <w:name w:val="Plain Text Char"/>
    <w:basedOn w:val="DefaultParagraphFont"/>
    <w:link w:val="PlainText"/>
    <w:rsid w:val="00A23C2E"/>
    <w:rPr>
      <w:rFonts w:ascii="Courier New" w:eastAsia="Times New Roman" w:hAnsi="Courier New" w:cs="Times New Roman"/>
      <w:sz w:val="20"/>
      <w:szCs w:val="20"/>
      <w:lang w:eastAsia="en-US"/>
    </w:rPr>
  </w:style>
  <w:style w:type="character" w:customStyle="1" w:styleId="MenuOption">
    <w:name w:val="Menu Option"/>
    <w:basedOn w:val="DefaultParagraphFont"/>
    <w:rsid w:val="00A23C2E"/>
    <w:rPr>
      <w:b/>
      <w:smallCaps/>
    </w:rPr>
  </w:style>
  <w:style w:type="paragraph" w:customStyle="1" w:styleId="TableListNumber">
    <w:name w:val="Table List Number"/>
    <w:basedOn w:val="ListNumber"/>
    <w:rsid w:val="00A23C2E"/>
    <w:pPr>
      <w:numPr>
        <w:numId w:val="0"/>
      </w:numPr>
    </w:pPr>
  </w:style>
  <w:style w:type="paragraph" w:styleId="TOC4">
    <w:name w:val="toc 4"/>
    <w:basedOn w:val="TOCBase"/>
    <w:next w:val="Normal"/>
    <w:semiHidden/>
    <w:rsid w:val="00A23C2E"/>
    <w:pPr>
      <w:tabs>
        <w:tab w:val="right" w:leader="dot" w:pos="9071"/>
      </w:tabs>
      <w:ind w:left="1701"/>
    </w:pPr>
  </w:style>
  <w:style w:type="paragraph" w:customStyle="1" w:styleId="ListAlpha">
    <w:name w:val="List Alpha"/>
    <w:basedOn w:val="List"/>
    <w:rsid w:val="00A23C2E"/>
    <w:pPr>
      <w:numPr>
        <w:numId w:val="9"/>
      </w:numPr>
    </w:pPr>
  </w:style>
  <w:style w:type="paragraph" w:customStyle="1" w:styleId="ListAlpha2">
    <w:name w:val="List Alpha 2"/>
    <w:basedOn w:val="List2"/>
    <w:rsid w:val="00A23C2E"/>
    <w:pPr>
      <w:numPr>
        <w:numId w:val="8"/>
      </w:numPr>
    </w:pPr>
  </w:style>
  <w:style w:type="paragraph" w:styleId="List3">
    <w:name w:val="List 3"/>
    <w:basedOn w:val="BodyText"/>
    <w:rsid w:val="00A23C2E"/>
    <w:pPr>
      <w:tabs>
        <w:tab w:val="left" w:pos="1021"/>
      </w:tabs>
      <w:spacing w:before="60" w:after="60"/>
      <w:ind w:left="1020" w:hanging="340"/>
    </w:pPr>
  </w:style>
  <w:style w:type="paragraph" w:styleId="List4">
    <w:name w:val="List 4"/>
    <w:basedOn w:val="BodyText"/>
    <w:rsid w:val="00A23C2E"/>
    <w:pPr>
      <w:tabs>
        <w:tab w:val="left" w:pos="1361"/>
      </w:tabs>
      <w:spacing w:before="60" w:after="60"/>
      <w:ind w:left="1361" w:hanging="340"/>
    </w:pPr>
  </w:style>
  <w:style w:type="paragraph" w:styleId="List5">
    <w:name w:val="List 5"/>
    <w:basedOn w:val="BodyText"/>
    <w:rsid w:val="00A23C2E"/>
    <w:pPr>
      <w:tabs>
        <w:tab w:val="left" w:pos="1701"/>
      </w:tabs>
      <w:spacing w:before="60" w:after="60"/>
      <w:ind w:left="1701" w:hanging="340"/>
    </w:pPr>
  </w:style>
  <w:style w:type="paragraph" w:styleId="ListBullet3">
    <w:name w:val="List Bullet 3"/>
    <w:basedOn w:val="List3"/>
    <w:rsid w:val="00A23C2E"/>
    <w:pPr>
      <w:numPr>
        <w:numId w:val="15"/>
      </w:numPr>
      <w:tabs>
        <w:tab w:val="clear" w:pos="1021"/>
      </w:tabs>
      <w:ind w:left="1037" w:hanging="357"/>
    </w:pPr>
  </w:style>
  <w:style w:type="paragraph" w:styleId="ListBullet4">
    <w:name w:val="List Bullet 4"/>
    <w:basedOn w:val="List4"/>
    <w:rsid w:val="00A23C2E"/>
    <w:pPr>
      <w:numPr>
        <w:numId w:val="3"/>
      </w:numPr>
    </w:pPr>
  </w:style>
  <w:style w:type="paragraph" w:styleId="ListBullet5">
    <w:name w:val="List Bullet 5"/>
    <w:basedOn w:val="List5"/>
    <w:rsid w:val="00A23C2E"/>
    <w:pPr>
      <w:numPr>
        <w:numId w:val="4"/>
      </w:numPr>
    </w:pPr>
  </w:style>
  <w:style w:type="paragraph" w:styleId="ListContinue2">
    <w:name w:val="List Continue 2"/>
    <w:basedOn w:val="List2"/>
    <w:rsid w:val="00A23C2E"/>
    <w:pPr>
      <w:ind w:firstLine="0"/>
    </w:pPr>
  </w:style>
  <w:style w:type="paragraph" w:styleId="ListContinue3">
    <w:name w:val="List Continue 3"/>
    <w:basedOn w:val="List3"/>
    <w:rsid w:val="00A23C2E"/>
    <w:pPr>
      <w:ind w:left="1021" w:firstLine="0"/>
    </w:pPr>
  </w:style>
  <w:style w:type="paragraph" w:styleId="ListContinue4">
    <w:name w:val="List Continue 4"/>
    <w:basedOn w:val="List4"/>
    <w:rsid w:val="00A23C2E"/>
    <w:pPr>
      <w:ind w:firstLine="0"/>
    </w:pPr>
  </w:style>
  <w:style w:type="paragraph" w:styleId="ListContinue5">
    <w:name w:val="List Continue 5"/>
    <w:basedOn w:val="List5"/>
    <w:rsid w:val="00A23C2E"/>
    <w:pPr>
      <w:ind w:firstLine="0"/>
    </w:pPr>
  </w:style>
  <w:style w:type="paragraph" w:styleId="ListNumber3">
    <w:name w:val="List Number 3"/>
    <w:basedOn w:val="List3"/>
    <w:rsid w:val="00A23C2E"/>
    <w:pPr>
      <w:numPr>
        <w:numId w:val="5"/>
      </w:numPr>
    </w:pPr>
  </w:style>
  <w:style w:type="paragraph" w:styleId="ListNumber4">
    <w:name w:val="List Number 4"/>
    <w:basedOn w:val="List4"/>
    <w:rsid w:val="00A23C2E"/>
    <w:pPr>
      <w:numPr>
        <w:numId w:val="6"/>
      </w:numPr>
    </w:pPr>
  </w:style>
  <w:style w:type="paragraph" w:styleId="ListNumber5">
    <w:name w:val="List Number 5"/>
    <w:basedOn w:val="List5"/>
    <w:rsid w:val="00A23C2E"/>
    <w:pPr>
      <w:numPr>
        <w:numId w:val="7"/>
      </w:numPr>
    </w:pPr>
  </w:style>
  <w:style w:type="paragraph" w:styleId="BlockText">
    <w:name w:val="Block Text"/>
    <w:basedOn w:val="Normal"/>
    <w:rsid w:val="00A23C2E"/>
    <w:pPr>
      <w:spacing w:after="120"/>
      <w:ind w:left="1440" w:right="1440"/>
    </w:pPr>
  </w:style>
  <w:style w:type="character" w:customStyle="1" w:styleId="Subscript">
    <w:name w:val="Subscript"/>
    <w:basedOn w:val="DefaultParagraphFont"/>
    <w:rsid w:val="00A23C2E"/>
    <w:rPr>
      <w:sz w:val="16"/>
      <w:vertAlign w:val="subscript"/>
    </w:rPr>
  </w:style>
  <w:style w:type="character" w:customStyle="1" w:styleId="Superscript">
    <w:name w:val="Superscript"/>
    <w:basedOn w:val="DefaultParagraphFont"/>
    <w:rsid w:val="00A23C2E"/>
    <w:rPr>
      <w:sz w:val="16"/>
      <w:vertAlign w:val="superscript"/>
    </w:rPr>
  </w:style>
  <w:style w:type="character" w:customStyle="1" w:styleId="Symbols">
    <w:name w:val="Symbols"/>
    <w:basedOn w:val="DefaultParagraphFont"/>
    <w:rsid w:val="00A23C2E"/>
    <w:rPr>
      <w:rFonts w:ascii="Symbol" w:hAnsi="Symbol"/>
    </w:rPr>
  </w:style>
  <w:style w:type="character" w:customStyle="1" w:styleId="MenuOptions">
    <w:name w:val="Menu Options"/>
    <w:basedOn w:val="DefaultParagraphFont"/>
    <w:rsid w:val="00A23C2E"/>
    <w:rPr>
      <w:rFonts w:ascii="Arial Narrow" w:hAnsi="Arial Narrow"/>
      <w:smallCaps/>
    </w:rPr>
  </w:style>
  <w:style w:type="character" w:customStyle="1" w:styleId="Buttons">
    <w:name w:val="Buttons"/>
    <w:basedOn w:val="DefaultParagraphFont"/>
    <w:rsid w:val="00A23C2E"/>
    <w:rPr>
      <w:b/>
    </w:rPr>
  </w:style>
  <w:style w:type="character" w:customStyle="1" w:styleId="Underlined">
    <w:name w:val="Underlined"/>
    <w:basedOn w:val="DefaultParagraphFont"/>
    <w:rsid w:val="00A23C2E"/>
    <w:rPr>
      <w:u w:val="single"/>
    </w:rPr>
  </w:style>
  <w:style w:type="paragraph" w:customStyle="1" w:styleId="TableBodyTextRight">
    <w:name w:val="Table Body Text Right"/>
    <w:basedOn w:val="TableBodyText"/>
    <w:rsid w:val="00A23C2E"/>
    <w:pPr>
      <w:widowControl w:val="0"/>
      <w:autoSpaceDE w:val="0"/>
      <w:autoSpaceDN w:val="0"/>
      <w:adjustRightInd w:val="0"/>
      <w:jc w:val="right"/>
    </w:pPr>
    <w:rPr>
      <w:rFonts w:cs="Arial"/>
      <w:szCs w:val="18"/>
    </w:rPr>
  </w:style>
  <w:style w:type="paragraph" w:customStyle="1" w:styleId="CopyrightText">
    <w:name w:val="Copyright Text"/>
    <w:basedOn w:val="BodyText"/>
    <w:rsid w:val="00A23C2E"/>
    <w:rPr>
      <w:sz w:val="18"/>
    </w:rPr>
  </w:style>
  <w:style w:type="paragraph" w:customStyle="1" w:styleId="BodySmallRight">
    <w:name w:val="Body Small Right"/>
    <w:basedOn w:val="BodyTextRight"/>
    <w:rsid w:val="00A23C2E"/>
    <w:rPr>
      <w:sz w:val="18"/>
      <w:szCs w:val="18"/>
    </w:rPr>
  </w:style>
  <w:style w:type="paragraph" w:customStyle="1" w:styleId="MarginEdition">
    <w:name w:val="Margin Edition"/>
    <w:basedOn w:val="MarginNote"/>
    <w:rsid w:val="00A23C2E"/>
    <w:pPr>
      <w:spacing w:before="0" w:after="0"/>
    </w:pPr>
    <w:rPr>
      <w:rFonts w:ascii="Times New Roman" w:hAnsi="Times New Roman"/>
      <w:color w:val="999999"/>
    </w:rPr>
  </w:style>
  <w:style w:type="paragraph" w:customStyle="1" w:styleId="Spacer">
    <w:name w:val="Spacer"/>
    <w:basedOn w:val="Normal"/>
    <w:rsid w:val="00A23C2E"/>
    <w:rPr>
      <w:sz w:val="2"/>
      <w:szCs w:val="2"/>
    </w:rPr>
  </w:style>
  <w:style w:type="character" w:customStyle="1" w:styleId="Small">
    <w:name w:val="Small"/>
    <w:basedOn w:val="DefaultParagraphFont"/>
    <w:rsid w:val="00A23C2E"/>
    <w:rPr>
      <w:sz w:val="16"/>
    </w:rPr>
  </w:style>
  <w:style w:type="paragraph" w:customStyle="1" w:styleId="WideTable">
    <w:name w:val="Wide Table"/>
    <w:basedOn w:val="Normal"/>
    <w:rsid w:val="00A23C2E"/>
    <w:pPr>
      <w:ind w:left="-1418"/>
    </w:pPr>
    <w:rPr>
      <w:sz w:val="2"/>
      <w:szCs w:val="2"/>
    </w:rPr>
  </w:style>
  <w:style w:type="character" w:styleId="PageNumber">
    <w:name w:val="page number"/>
    <w:basedOn w:val="DefaultParagraphFont"/>
    <w:rsid w:val="00A23C2E"/>
  </w:style>
  <w:style w:type="paragraph" w:styleId="Quote">
    <w:name w:val="Quote"/>
    <w:basedOn w:val="Heading1"/>
    <w:link w:val="QuoteChar"/>
    <w:qFormat/>
    <w:rsid w:val="00A23C2E"/>
    <w:rPr>
      <w:b w:val="0"/>
      <w:sz w:val="72"/>
      <w:szCs w:val="72"/>
      <w:lang w:val="en-NZ"/>
    </w:rPr>
  </w:style>
  <w:style w:type="character" w:customStyle="1" w:styleId="QuoteChar">
    <w:name w:val="Quote Char"/>
    <w:basedOn w:val="DefaultParagraphFont"/>
    <w:link w:val="Quote"/>
    <w:rsid w:val="00A23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C2E"/>
    <w:pPr>
      <w:pageBreakBefore/>
    </w:pPr>
  </w:style>
  <w:style w:type="paragraph" w:customStyle="1" w:styleId="Border">
    <w:name w:val="Border"/>
    <w:basedOn w:val="Normal"/>
    <w:qFormat/>
    <w:rsid w:val="00A23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C2E"/>
    <w:rPr>
      <w:b/>
      <w:bCs/>
      <w:i/>
      <w:iCs/>
      <w:color w:val="auto"/>
    </w:rPr>
  </w:style>
  <w:style w:type="paragraph" w:styleId="IntenseQuote">
    <w:name w:val="Intense Quote"/>
    <w:basedOn w:val="Normal"/>
    <w:next w:val="Normal"/>
    <w:link w:val="IntenseQuoteChar"/>
    <w:uiPriority w:val="30"/>
    <w:qFormat/>
    <w:rsid w:val="00A23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C2E"/>
    <w:rPr>
      <w:smallCaps/>
      <w:color w:val="auto"/>
      <w:u w:val="single"/>
    </w:rPr>
  </w:style>
  <w:style w:type="character" w:styleId="IntenseReference">
    <w:name w:val="Intense Reference"/>
    <w:basedOn w:val="DefaultParagraphFont"/>
    <w:uiPriority w:val="32"/>
    <w:qFormat/>
    <w:rsid w:val="00A23C2E"/>
    <w:rPr>
      <w:b/>
      <w:bCs/>
      <w:smallCaps/>
      <w:color w:val="auto"/>
      <w:spacing w:val="5"/>
      <w:u w:val="single"/>
    </w:rPr>
  </w:style>
  <w:style w:type="paragraph" w:customStyle="1" w:styleId="2ColumnHeading">
    <w:name w:val="2Column Heading"/>
    <w:basedOn w:val="BodyText"/>
    <w:qFormat/>
    <w:rsid w:val="00A23C2E"/>
    <w:pPr>
      <w:spacing w:after="60"/>
      <w:ind w:left="-2268"/>
    </w:pPr>
    <w:rPr>
      <w:b/>
    </w:rPr>
  </w:style>
  <w:style w:type="paragraph" w:customStyle="1" w:styleId="Heading1TOC">
    <w:name w:val="Heading1 TOC"/>
    <w:basedOn w:val="Normal"/>
    <w:qFormat/>
    <w:rsid w:val="00A23C2E"/>
    <w:pPr>
      <w:spacing w:before="240" w:after="120"/>
    </w:pPr>
    <w:rPr>
      <w:rFonts w:ascii="Times New Roman" w:hAnsi="Times New Roman"/>
      <w:b/>
      <w:sz w:val="32"/>
    </w:rPr>
  </w:style>
  <w:style w:type="paragraph" w:customStyle="1" w:styleId="Heading2TOC">
    <w:name w:val="Heading2 TOC"/>
    <w:basedOn w:val="Normal"/>
    <w:qFormat/>
    <w:rsid w:val="00A23C2E"/>
    <w:pPr>
      <w:spacing w:before="240" w:after="60"/>
    </w:pPr>
    <w:rPr>
      <w:rFonts w:ascii="Times New Roman" w:hAnsi="Times New Roman"/>
      <w:b/>
      <w:sz w:val="28"/>
    </w:rPr>
  </w:style>
  <w:style w:type="character" w:customStyle="1" w:styleId="Underline">
    <w:name w:val="Underline"/>
    <w:basedOn w:val="DefaultParagraphFont"/>
    <w:qFormat/>
    <w:rsid w:val="00A23C2E"/>
    <w:rPr>
      <w:u w:val="single"/>
    </w:rPr>
  </w:style>
  <w:style w:type="paragraph" w:styleId="BalloonText">
    <w:name w:val="Balloon Text"/>
    <w:basedOn w:val="Normal"/>
    <w:link w:val="BalloonTextChar"/>
    <w:rsid w:val="00A23C2E"/>
    <w:rPr>
      <w:rFonts w:ascii="Tahoma" w:hAnsi="Tahoma" w:cs="Tahoma"/>
      <w:sz w:val="16"/>
      <w:szCs w:val="16"/>
    </w:rPr>
  </w:style>
  <w:style w:type="character" w:customStyle="1" w:styleId="BalloonTextChar">
    <w:name w:val="Balloon Text Char"/>
    <w:basedOn w:val="DefaultParagraphFont"/>
    <w:link w:val="BalloonText"/>
    <w:rsid w:val="00A23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C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C2E"/>
    <w:rPr>
      <w:b/>
      <w:color w:val="660033"/>
      <w:spacing w:val="0"/>
    </w:rPr>
  </w:style>
  <w:style w:type="paragraph" w:customStyle="1" w:styleId="Nameditemlist">
    <w:name w:val="Named item list"/>
    <w:basedOn w:val="BodyText"/>
    <w:qFormat/>
    <w:rsid w:val="00A23C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1262</Words>
  <Characters>8153</Characters>
  <Application>Microsoft Office Word</Application>
  <DocSecurity>0</DocSecurity>
  <Lines>305</Lines>
  <Paragraphs>165</Paragraphs>
  <ScaleCrop>false</ScaleCrop>
  <Company>Author-it Software Corporation Ltd.</Company>
  <LinksUpToDate>false</LinksUpToDate>
  <CharactersWithSpaces>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FNSISV513A Provide decisions on legal liability and indemnity of a claim</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2012-10-05T12:54:00Z</dcterms:created>
  <dcterms:modified xsi:type="dcterms:W3CDTF">2012-10-05T12:54:00Z</dcterms:modified>
</cp:coreProperties>
</file>