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193" w:rsidP="00B17193">
      <w:pPr>
        <w:pStyle w:val="Title"/>
      </w:pPr>
      <w:r>
        <w:fldChar w:fldCharType="begin"/>
      </w:r>
      <w:r>
        <w:instrText xml:space="preserve"> TITLE   \* MERGEFORMAT </w:instrText>
      </w:r>
      <w:r>
        <w:fldChar w:fldCharType="separate"/>
      </w:r>
      <w:r>
        <w:t>FNSISV504A Negotiate treaty reinsurance</w:t>
      </w:r>
      <w:r>
        <w:fldChar w:fldCharType="end"/>
      </w:r>
    </w:p>
    <w:p w:rsidR="00B17193" w:rsidP="00B17193">
      <w:pPr>
        <w:pStyle w:val="Version"/>
        <w:sectPr w:rsidSect="00E972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7217" w:rsidP="00E97217">
      <w:pPr>
        <w:pStyle w:val="SuperHeading"/>
      </w:pPr>
      <w:r w:rsidRPr="00E97217">
        <w:t>FNSISV504A Negotiate treaty reinsurance</w:t>
      </w:r>
    </w:p>
    <w:p w:rsidR="00000000" w:rsidRPr="00E97217" w:rsidP="00E97217">
      <w:pPr>
        <w:pStyle w:val="SuperHeading"/>
      </w:pPr>
    </w:p>
    <w:p w:rsidR="00000000" w:rsidRPr="00E97217" w:rsidP="00E97217">
      <w:pPr>
        <w:pStyle w:val="Heading1"/>
      </w:pPr>
      <w:bookmarkStart w:id="1" w:name="O_79587"/>
      <w:bookmarkEnd w:id="1"/>
      <w:r w:rsidRPr="00E97217">
        <w:t>Modification History</w:t>
      </w:r>
    </w:p>
    <w:p w:rsidR="00000000" w:rsidRPr="00E97217" w:rsidP="00E97217">
      <w:pPr>
        <w:pStyle w:val="BodyText"/>
      </w:pPr>
      <w:r w:rsidRPr="00E97217">
        <w:t>Not applicable.</w:t>
      </w:r>
    </w:p>
    <w:p w:rsidR="00000000" w:rsidRPr="00E97217" w:rsidP="00E97217">
      <w:pPr>
        <w:pStyle w:val="AllowPageBreak"/>
      </w:pPr>
    </w:p>
    <w:p w:rsidR="00000000" w:rsidRPr="00E97217" w:rsidP="00E97217">
      <w:pPr>
        <w:pStyle w:val="Heading1"/>
      </w:pPr>
      <w:bookmarkStart w:id="2" w:name="O_79588"/>
      <w:bookmarkEnd w:id="2"/>
      <w:r w:rsidRPr="00E97217">
        <w:t>Unit Descriptor</w:t>
      </w:r>
    </w:p>
    <w:tbl>
      <w:tblPr>
        <w:tblW w:w="0" w:type="auto"/>
        <w:tblLayout w:type="fixed"/>
        <w:tblCellMar>
          <w:left w:w="62" w:type="dxa"/>
          <w:right w:w="62" w:type="dxa"/>
        </w:tblCellMar>
        <w:tblLook w:val="0000"/>
      </w:tblPr>
      <w:tblGrid>
        <w:gridCol w:w="2645"/>
        <w:gridCol w:w="5877"/>
      </w:tblGrid>
      <w:tr w:rsidTr="00B17193">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r w:rsidRPr="00E97217">
              <w:t>This unit describes the performance outcomes, skills and knowledge required to negotiate treaty reinsurance in ac</w:t>
            </w:r>
            <w:r w:rsidRPr="00E97217">
              <w:t>cordance with organisation guidelines and procedures. It encompasses analysing, preparing and negotiating treaty insurance with a supplier.</w:t>
            </w:r>
          </w:p>
          <w:p w:rsidR="00000000" w:rsidRPr="00E97217" w:rsidP="00E97217">
            <w:pPr>
              <w:pStyle w:val="BodyText"/>
            </w:pPr>
          </w:p>
          <w:p w:rsidR="00000000" w:rsidRPr="00E97217" w:rsidP="00E97217">
            <w:pPr>
              <w:pStyle w:val="BodyText"/>
            </w:pPr>
            <w:r w:rsidRPr="00E97217">
              <w:t xml:space="preserve">This unit is applicable to individuals working within enterprises and job roles subject to licensing, legislative, </w:t>
            </w:r>
            <w:r w:rsidRPr="00E97217">
              <w:t>regulatory or certification requirements including legislation administered by the Australian Securities and Investments Commission (ASIC).</w:t>
            </w:r>
          </w:p>
        </w:tc>
      </w:tr>
    </w:tbl>
    <w:p w:rsidR="00000000" w:rsidRPr="00E97217" w:rsidP="00E97217">
      <w:pPr>
        <w:pStyle w:val="BodyText"/>
      </w:pPr>
    </w:p>
    <w:p w:rsidR="00000000" w:rsidRPr="00E97217" w:rsidP="00E97217">
      <w:pPr>
        <w:pStyle w:val="AllowPageBreak"/>
      </w:pPr>
    </w:p>
    <w:p w:rsidR="00000000" w:rsidRPr="00E97217" w:rsidP="00E97217">
      <w:pPr>
        <w:pStyle w:val="Heading1"/>
      </w:pPr>
      <w:bookmarkStart w:id="3" w:name="O_79589"/>
      <w:bookmarkEnd w:id="3"/>
      <w:r w:rsidRPr="00E97217">
        <w:t>Application of the Unit</w:t>
      </w:r>
    </w:p>
    <w:tbl>
      <w:tblPr>
        <w:tblW w:w="0" w:type="auto"/>
        <w:tblLayout w:type="fixed"/>
        <w:tblCellMar>
          <w:left w:w="62" w:type="dxa"/>
          <w:right w:w="62" w:type="dxa"/>
        </w:tblCellMar>
        <w:tblLook w:val="0000"/>
      </w:tblPr>
      <w:tblGrid>
        <w:gridCol w:w="2721"/>
        <w:gridCol w:w="5801"/>
      </w:tblGrid>
      <w:tr w:rsidTr="00B1719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r w:rsidRPr="00E97217">
              <w:t>This unit applies to job roles involving specialist knowledge and functions in a range of insurance sectors and may be applied within organisations of various sizes and across a range of customer bases.</w:t>
            </w:r>
          </w:p>
        </w:tc>
      </w:tr>
    </w:tbl>
    <w:p w:rsidR="00000000" w:rsidRPr="00E97217" w:rsidP="00E97217">
      <w:pPr>
        <w:pStyle w:val="BodyText"/>
      </w:pPr>
    </w:p>
    <w:p w:rsidR="00000000" w:rsidRPr="00E97217" w:rsidP="00E97217">
      <w:pPr>
        <w:pStyle w:val="AllowPageBreak"/>
      </w:pPr>
    </w:p>
    <w:p w:rsidR="00000000" w:rsidRPr="00E97217" w:rsidP="00E97217">
      <w:pPr>
        <w:pStyle w:val="Heading1"/>
      </w:pPr>
      <w:bookmarkStart w:id="4" w:name="O_79590"/>
      <w:bookmarkEnd w:id="4"/>
      <w:r w:rsidRPr="00E97217">
        <w:t>Licensing/Regulatory Information</w:t>
      </w:r>
    </w:p>
    <w:p w:rsidR="00000000" w:rsidRPr="00E97217" w:rsidP="00E97217">
      <w:pPr>
        <w:pStyle w:val="BodyText"/>
      </w:pPr>
      <w:r w:rsidRPr="00E97217">
        <w:t>Not</w:t>
      </w:r>
      <w:r w:rsidRPr="00E97217">
        <w:t xml:space="preserve"> applicable.</w:t>
      </w:r>
    </w:p>
    <w:p w:rsidR="00000000" w:rsidRPr="00E97217" w:rsidP="00E97217">
      <w:pPr>
        <w:pStyle w:val="AllowPageBreak"/>
      </w:pPr>
    </w:p>
    <w:p w:rsidR="00000000" w:rsidRPr="00E97217" w:rsidP="00E97217">
      <w:pPr>
        <w:pStyle w:val="Heading1"/>
      </w:pPr>
      <w:bookmarkStart w:id="5" w:name="O_79591"/>
      <w:bookmarkEnd w:id="5"/>
      <w:r w:rsidRPr="00E97217">
        <w:t>Pre-Requisites</w:t>
      </w:r>
    </w:p>
    <w:tbl>
      <w:tblPr>
        <w:tblW w:w="0" w:type="auto"/>
        <w:tblLayout w:type="fixed"/>
        <w:tblCellMar>
          <w:left w:w="62" w:type="dxa"/>
          <w:right w:w="62" w:type="dxa"/>
        </w:tblCellMar>
        <w:tblLook w:val="0000"/>
      </w:tblPr>
      <w:tblGrid>
        <w:gridCol w:w="2745"/>
        <w:gridCol w:w="1301"/>
        <w:gridCol w:w="4476"/>
      </w:tblGrid>
      <w:tr w:rsidTr="00B1719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p>
        </w:tc>
      </w:tr>
      <w:tr w:rsidTr="00B1719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p>
        </w:tc>
      </w:tr>
      <w:tr w:rsidTr="00B1719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p>
        </w:tc>
      </w:tr>
    </w:tbl>
    <w:p w:rsidR="00000000" w:rsidRPr="00E97217" w:rsidP="00E97217">
      <w:pPr>
        <w:pStyle w:val="BodyText"/>
      </w:pPr>
    </w:p>
    <w:p w:rsidR="00000000" w:rsidRPr="00E97217" w:rsidP="00E97217">
      <w:pPr>
        <w:pStyle w:val="AllowPageBreak"/>
      </w:pPr>
    </w:p>
    <w:p w:rsidR="00000000" w:rsidRPr="00E97217" w:rsidP="00E97217">
      <w:pPr>
        <w:pStyle w:val="Heading1"/>
      </w:pPr>
      <w:bookmarkStart w:id="6" w:name="O_79592"/>
      <w:bookmarkEnd w:id="6"/>
      <w:r w:rsidRPr="00E97217">
        <w:t>Employability Skills Information</w:t>
      </w:r>
    </w:p>
    <w:tbl>
      <w:tblPr>
        <w:tblW w:w="0" w:type="auto"/>
        <w:tblLayout w:type="fixed"/>
        <w:tblCellMar>
          <w:left w:w="62" w:type="dxa"/>
          <w:right w:w="62" w:type="dxa"/>
        </w:tblCellMar>
        <w:tblLook w:val="0000"/>
      </w:tblPr>
      <w:tblGrid>
        <w:gridCol w:w="2762"/>
        <w:gridCol w:w="5760"/>
      </w:tblGrid>
      <w:tr w:rsidTr="00B1719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r w:rsidRPr="00E97217">
              <w:t>This unit contains employability skills.</w:t>
            </w:r>
          </w:p>
        </w:tc>
      </w:tr>
    </w:tbl>
    <w:p w:rsidR="00000000" w:rsidRPr="00E97217" w:rsidP="00E97217">
      <w:pPr>
        <w:pStyle w:val="BodyText"/>
      </w:pPr>
    </w:p>
    <w:p w:rsidR="00000000" w:rsidRPr="00E97217" w:rsidP="00E97217">
      <w:pPr>
        <w:pStyle w:val="AllowPageBreak"/>
      </w:pPr>
    </w:p>
    <w:p w:rsidR="00000000" w:rsidRPr="00E97217" w:rsidP="00E97217">
      <w:pPr>
        <w:pStyle w:val="Heading1"/>
      </w:pPr>
      <w:bookmarkStart w:id="7" w:name="O_79593"/>
      <w:bookmarkEnd w:id="7"/>
      <w:r w:rsidRPr="00E97217">
        <w:t>Elements and Performance Criteria Pre-Content</w:t>
      </w:r>
    </w:p>
    <w:tbl>
      <w:tblPr>
        <w:tblW w:w="0" w:type="auto"/>
        <w:tblLayout w:type="fixed"/>
        <w:tblCellMar>
          <w:left w:w="62" w:type="dxa"/>
          <w:right w:w="62" w:type="dxa"/>
        </w:tblCellMar>
        <w:tblLook w:val="0000"/>
      </w:tblPr>
      <w:tblGrid>
        <w:gridCol w:w="2551"/>
        <w:gridCol w:w="5971"/>
      </w:tblGrid>
      <w:tr w:rsidTr="00B171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r w:rsidRPr="00E97217">
              <w:t>Performance criteria describe the performance needed to demonstrate achievement of the element. Where bold italicised text is used, further information is detailed in the required skills and</w:t>
            </w:r>
            <w:r w:rsidRPr="00E97217">
              <w:t xml:space="preserve"> knowledge section and the range statement. Assessment of performance is to be consistent with the evidence guide.</w:t>
            </w:r>
          </w:p>
        </w:tc>
      </w:tr>
    </w:tbl>
    <w:p w:rsidR="00000000" w:rsidRPr="00E97217" w:rsidP="00E97217">
      <w:pPr>
        <w:pStyle w:val="BodyText"/>
      </w:pPr>
    </w:p>
    <w:p w:rsidR="00000000" w:rsidRPr="00E97217" w:rsidP="00E97217">
      <w:pPr>
        <w:pStyle w:val="AllowPageBreak"/>
      </w:pPr>
    </w:p>
    <w:p w:rsidR="00000000" w:rsidRPr="00E97217" w:rsidP="00E97217">
      <w:pPr>
        <w:pStyle w:val="Heading1"/>
      </w:pPr>
      <w:bookmarkStart w:id="8" w:name="O_79594"/>
      <w:bookmarkEnd w:id="8"/>
      <w:r w:rsidRPr="00E97217">
        <w:t>Elements and Performance Criteria</w:t>
      </w:r>
    </w:p>
    <w:tbl>
      <w:tblPr>
        <w:tblW w:w="0" w:type="auto"/>
        <w:tblLayout w:type="fixed"/>
        <w:tblCellMar>
          <w:left w:w="62" w:type="dxa"/>
          <w:right w:w="62" w:type="dxa"/>
        </w:tblCellMar>
        <w:tblLook w:val="0000"/>
      </w:tblPr>
      <w:tblGrid>
        <w:gridCol w:w="2551"/>
        <w:gridCol w:w="5971"/>
      </w:tblGrid>
      <w:tr w:rsidTr="00B17193">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r w:rsidRPr="00E97217">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PERFORMANCE CRITERIA</w:t>
            </w:r>
          </w:p>
        </w:tc>
      </w:tr>
      <w:tr w:rsidTr="00B171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List"/>
              <w:rPr>
                <w:lang w:val="en-NZ"/>
              </w:rPr>
            </w:pPr>
            <w:r w:rsidRPr="00E97217">
              <w:t>1.</w:t>
            </w:r>
            <w:r w:rsidRPr="00E97217">
              <w:tab/>
              <w:t>Prepare reinsurance tender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List2"/>
            </w:pPr>
            <w:r w:rsidRPr="00E97217">
              <w:t>1.1.</w:t>
            </w:r>
            <w:r w:rsidRPr="00E97217">
              <w:tab/>
            </w:r>
            <w:r w:rsidRPr="00E97217">
              <w:t>Previous tender arrangements and documents, where they exist, are reviewed</w:t>
            </w:r>
          </w:p>
          <w:p w:rsidR="00000000" w:rsidRPr="00E97217" w:rsidP="00E97217">
            <w:pPr>
              <w:pStyle w:val="List2"/>
            </w:pPr>
            <w:r w:rsidRPr="00E97217">
              <w:t>1.2.</w:t>
            </w:r>
            <w:r w:rsidRPr="00E97217">
              <w:tab/>
              <w:t xml:space="preserve">Information relating to </w:t>
            </w:r>
            <w:r w:rsidRPr="00E97217">
              <w:rPr>
                <w:rStyle w:val="BoldandItalics"/>
              </w:rPr>
              <w:t>treaty reinsurance</w:t>
            </w:r>
            <w:r w:rsidRPr="00E97217">
              <w:t xml:space="preserve"> tender is prepared and checked</w:t>
            </w:r>
          </w:p>
          <w:p w:rsidR="00000000" w:rsidRPr="00E97217" w:rsidP="00E97217">
            <w:pPr>
              <w:pStyle w:val="List2"/>
            </w:pPr>
            <w:r w:rsidRPr="00E97217">
              <w:t>1.3.</w:t>
            </w:r>
            <w:r w:rsidRPr="00E97217">
              <w:tab/>
              <w:t>Completeness of the information is checked</w:t>
            </w:r>
          </w:p>
          <w:p w:rsidR="00000000" w:rsidRPr="00E97217" w:rsidP="00E97217">
            <w:pPr>
              <w:pStyle w:val="List2"/>
            </w:pPr>
            <w:r w:rsidRPr="00E97217">
              <w:t>1.4.</w:t>
            </w:r>
            <w:r w:rsidRPr="00E97217">
              <w:tab/>
              <w:t>Coverage of a claim, or series of claims, under a</w:t>
            </w:r>
            <w:r w:rsidRPr="00E97217">
              <w:t xml:space="preserve"> specific client, policy, or treaty is confirmed</w:t>
            </w:r>
          </w:p>
          <w:p w:rsidR="00000000" w:rsidRPr="00E97217" w:rsidP="00E97217">
            <w:pPr>
              <w:pStyle w:val="List2"/>
            </w:pPr>
            <w:r w:rsidRPr="00E97217">
              <w:t>1.5.</w:t>
            </w:r>
            <w:r w:rsidRPr="00E97217">
              <w:tab/>
              <w:t xml:space="preserve">Tendering conditions are prepared in line with </w:t>
            </w:r>
            <w:r w:rsidRPr="00E97217">
              <w:rPr>
                <w:rStyle w:val="BoldandItalics"/>
              </w:rPr>
              <w:t>organisation procedures</w:t>
            </w:r>
            <w:r w:rsidRPr="00E97217">
              <w:t xml:space="preserve">, guidelines and authorities, </w:t>
            </w:r>
            <w:r w:rsidRPr="00E97217">
              <w:rPr>
                <w:rStyle w:val="BoldandItalics"/>
              </w:rPr>
              <w:t>context</w:t>
            </w:r>
            <w:r w:rsidRPr="00E97217">
              <w:t xml:space="preserve">  and treaty and facultative obligations</w:t>
            </w:r>
          </w:p>
          <w:p w:rsidR="00000000" w:rsidRPr="00E97217" w:rsidP="00E97217">
            <w:pPr>
              <w:pStyle w:val="List2"/>
            </w:pPr>
            <w:r w:rsidRPr="00E97217">
              <w:t>1.6.</w:t>
            </w:r>
            <w:r w:rsidRPr="00E97217">
              <w:tab/>
            </w:r>
            <w:r w:rsidRPr="00E97217">
              <w:rPr>
                <w:rStyle w:val="BoldandItalics"/>
              </w:rPr>
              <w:t>Criteria for supplier selection</w:t>
            </w:r>
            <w:r w:rsidRPr="00E97217">
              <w:t xml:space="preserve"> is prepared and c</w:t>
            </w:r>
            <w:r w:rsidRPr="00E97217">
              <w:t>onfirmed</w:t>
            </w:r>
          </w:p>
          <w:p w:rsidR="00000000" w:rsidRPr="00E97217" w:rsidP="00E97217">
            <w:pPr>
              <w:pStyle w:val="List2"/>
            </w:pPr>
            <w:r w:rsidRPr="00E97217">
              <w:t>1.7.</w:t>
            </w:r>
            <w:r w:rsidRPr="00E97217">
              <w:tab/>
              <w:t>All tender information is accurately recorded</w:t>
            </w:r>
          </w:p>
          <w:p w:rsidR="00000000" w:rsidP="00E97217">
            <w:pPr>
              <w:pStyle w:val="List2"/>
              <w:rPr>
                <w:lang w:val="en-NZ"/>
              </w:rPr>
            </w:pPr>
            <w:r w:rsidRPr="00E97217">
              <w:t>1.8.</w:t>
            </w:r>
            <w:r w:rsidRPr="00E97217">
              <w:tab/>
              <w:t>Where required, tendering information is passed on to appropriate staff</w:t>
            </w:r>
          </w:p>
        </w:tc>
      </w:tr>
      <w:tr w:rsidTr="00B171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List"/>
              <w:rPr>
                <w:lang w:val="en-NZ"/>
              </w:rPr>
            </w:pPr>
            <w:r w:rsidRPr="00E97217">
              <w:t>2.</w:t>
            </w:r>
            <w:r w:rsidRPr="00E97217">
              <w:tab/>
              <w:t>Select reinsurance supplier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List2"/>
            </w:pPr>
            <w:r w:rsidRPr="00E97217">
              <w:t>2.1.</w:t>
            </w:r>
            <w:r w:rsidRPr="00E97217">
              <w:tab/>
              <w:t>Relevant reinsurers notified of tender conditions and details under relevant reins</w:t>
            </w:r>
            <w:r w:rsidRPr="00E97217">
              <w:t>urance tendering arrangements</w:t>
            </w:r>
          </w:p>
          <w:p w:rsidR="00000000" w:rsidRPr="00E97217" w:rsidP="00E97217">
            <w:pPr>
              <w:pStyle w:val="List2"/>
            </w:pPr>
            <w:r w:rsidRPr="00E97217">
              <w:t>2.2.</w:t>
            </w:r>
            <w:r w:rsidRPr="00E97217">
              <w:tab/>
              <w:t>Tender response is requested from reinsurer in line with organisation procedures, guidelines and authorities within accepted timeframes and guidelines</w:t>
            </w:r>
          </w:p>
          <w:p w:rsidR="00000000" w:rsidRPr="00E97217" w:rsidP="00E97217">
            <w:pPr>
              <w:pStyle w:val="List2"/>
            </w:pPr>
            <w:r w:rsidRPr="00E97217">
              <w:t>2.3.</w:t>
            </w:r>
            <w:r w:rsidRPr="00E97217">
              <w:tab/>
              <w:t>Reinsurance supplier tenders are reviewed and evaluated against s</w:t>
            </w:r>
            <w:r w:rsidRPr="00E97217">
              <w:t>et selection criteria</w:t>
            </w:r>
          </w:p>
          <w:p w:rsidR="00000000" w:rsidP="00E97217">
            <w:pPr>
              <w:pStyle w:val="List2"/>
              <w:rPr>
                <w:lang w:val="en-NZ"/>
              </w:rPr>
            </w:pPr>
            <w:r w:rsidRPr="00E97217">
              <w:t>2.4.</w:t>
            </w:r>
            <w:r w:rsidRPr="00E97217">
              <w:tab/>
              <w:t>All tender information is accurately recorded</w:t>
            </w:r>
          </w:p>
        </w:tc>
      </w:tr>
      <w:tr w:rsidTr="00B171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List"/>
              <w:rPr>
                <w:lang w:val="en-NZ"/>
              </w:rPr>
            </w:pPr>
            <w:r w:rsidRPr="00E97217">
              <w:t>3.</w:t>
            </w:r>
            <w:r w:rsidRPr="00E97217">
              <w:tab/>
              <w:t>Manage transactions for treaty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List2"/>
            </w:pPr>
            <w:r w:rsidRPr="00E97217">
              <w:t>3.1.</w:t>
            </w:r>
            <w:r w:rsidRPr="00E97217">
              <w:tab/>
              <w:t>Recovery of the whole claim is calculated, including reinstatements for policy terms and conditions, and what treaty it is to be recovered from</w:t>
            </w:r>
          </w:p>
          <w:p w:rsidR="00000000" w:rsidRPr="00E97217" w:rsidP="00E97217">
            <w:pPr>
              <w:pStyle w:val="List2"/>
            </w:pPr>
            <w:r w:rsidRPr="00E97217">
              <w:t>3.2.</w:t>
            </w:r>
            <w:r w:rsidRPr="00E97217">
              <w:tab/>
              <w:t>Transactions are managed</w:t>
            </w:r>
          </w:p>
          <w:p w:rsidR="00000000" w:rsidP="00E97217">
            <w:pPr>
              <w:pStyle w:val="List2"/>
              <w:rPr>
                <w:lang w:val="en-NZ"/>
              </w:rPr>
            </w:pPr>
            <w:r w:rsidRPr="00E97217">
              <w:t>3.3.</w:t>
            </w:r>
            <w:r w:rsidRPr="00E97217">
              <w:tab/>
              <w:t>All information is checked and accurately recorded</w:t>
            </w:r>
          </w:p>
        </w:tc>
      </w:tr>
      <w:tr w:rsidTr="00B171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List"/>
              <w:rPr>
                <w:lang w:val="en-NZ"/>
              </w:rPr>
            </w:pPr>
            <w:r w:rsidRPr="00E97217">
              <w:t>4.</w:t>
            </w:r>
            <w:r w:rsidRPr="00E97217">
              <w:tab/>
              <w:t>Negotiate terms and conditions of agreement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List2"/>
            </w:pPr>
            <w:r w:rsidRPr="00E97217">
              <w:t>4.1.</w:t>
            </w:r>
            <w:r w:rsidRPr="00E97217">
              <w:tab/>
              <w:t>Policy terms and conditions are negotiated with selected reinsurers</w:t>
            </w:r>
          </w:p>
          <w:p w:rsidR="00000000" w:rsidRPr="00E97217" w:rsidP="00E97217">
            <w:pPr>
              <w:pStyle w:val="List2"/>
            </w:pPr>
            <w:r w:rsidRPr="00E97217">
              <w:t>4.2.</w:t>
            </w:r>
            <w:r w:rsidRPr="00E97217">
              <w:tab/>
              <w:t>All information is accurately documented an</w:t>
            </w:r>
            <w:r w:rsidRPr="00E97217">
              <w:t xml:space="preserve">d recorded on the </w:t>
            </w:r>
            <w:r w:rsidRPr="00E97217">
              <w:rPr>
                <w:rStyle w:val="BoldandItalics"/>
              </w:rPr>
              <w:t>system</w:t>
            </w:r>
          </w:p>
          <w:p w:rsidR="00000000" w:rsidRPr="00E97217" w:rsidP="00E97217">
            <w:pPr>
              <w:pStyle w:val="List2"/>
            </w:pPr>
            <w:r w:rsidRPr="00E97217">
              <w:t>4.3.</w:t>
            </w:r>
            <w:r w:rsidRPr="00E97217">
              <w:tab/>
              <w:t>Where required, reinsurer information is passed on to appropriate staff</w:t>
            </w:r>
          </w:p>
        </w:tc>
      </w:tr>
    </w:tbl>
    <w:p w:rsidR="00000000" w:rsidRPr="00E97217" w:rsidP="00E97217">
      <w:pPr>
        <w:pStyle w:val="BodyText"/>
      </w:pPr>
    </w:p>
    <w:p w:rsidR="00000000" w:rsidRPr="00E97217" w:rsidP="00E97217">
      <w:pPr>
        <w:pStyle w:val="AllowPageBreak"/>
      </w:pPr>
    </w:p>
    <w:p w:rsidR="00000000" w:rsidRPr="00E97217" w:rsidP="00E97217">
      <w:pPr>
        <w:pStyle w:val="Heading1"/>
      </w:pPr>
      <w:bookmarkStart w:id="9" w:name="O_79595"/>
      <w:bookmarkEnd w:id="9"/>
      <w:r w:rsidRPr="00E97217">
        <w:t>Required Skills and Knowledge</w:t>
      </w:r>
    </w:p>
    <w:tbl>
      <w:tblPr>
        <w:tblW w:w="0" w:type="auto"/>
        <w:tblLayout w:type="fixed"/>
        <w:tblCellMar>
          <w:left w:w="62" w:type="dxa"/>
          <w:right w:w="62" w:type="dxa"/>
        </w:tblCellMar>
        <w:tblLook w:val="0000"/>
      </w:tblPr>
      <w:tblGrid>
        <w:gridCol w:w="8522"/>
      </w:tblGrid>
      <w:tr w:rsidTr="00B171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REQUIRED SKILLS AND KNOWLEDGE</w:t>
            </w:r>
          </w:p>
        </w:tc>
      </w:tr>
      <w:tr w:rsidTr="00B171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t>This section describes the skills and knowledge required for this unit.</w:t>
            </w:r>
          </w:p>
        </w:tc>
      </w:tr>
      <w:tr w:rsidTr="00B17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Required skills</w:t>
            </w:r>
          </w:p>
        </w:tc>
      </w:tr>
      <w:tr w:rsidTr="00B17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ListBullet"/>
            </w:pPr>
            <w:r w:rsidRPr="00E97217">
              <w:t>highly-developed communication skills to:</w:t>
            </w:r>
          </w:p>
          <w:p w:rsidR="00000000" w:rsidRPr="00E97217" w:rsidP="00E97217">
            <w:pPr>
              <w:pStyle w:val="ListBullet2"/>
            </w:pPr>
            <w:r w:rsidRPr="00E97217">
              <w:t>determine and confirm information, using questioning and active listening as required</w:t>
            </w:r>
          </w:p>
          <w:p w:rsidR="00000000" w:rsidRPr="00E97217" w:rsidP="00E97217">
            <w:pPr>
              <w:pStyle w:val="ListBullet2"/>
            </w:pPr>
            <w:r w:rsidRPr="00E97217">
              <w:t>relate effectively to customers</w:t>
            </w:r>
          </w:p>
          <w:p w:rsidR="00000000" w:rsidRPr="00E97217" w:rsidP="00E97217">
            <w:pPr>
              <w:pStyle w:val="ListBullet2"/>
            </w:pPr>
            <w:r w:rsidRPr="00E97217">
              <w:t>liaise with others, share information, listen and understand</w:t>
            </w:r>
          </w:p>
          <w:p w:rsidR="00000000" w:rsidRPr="00E97217" w:rsidP="00E97217">
            <w:pPr>
              <w:pStyle w:val="ListBullet2"/>
            </w:pPr>
            <w:r w:rsidRPr="00E97217">
              <w:t>use language and concepts appropriate to cultural differences</w:t>
            </w:r>
          </w:p>
          <w:p w:rsidR="00000000" w:rsidRPr="00E97217" w:rsidP="00E97217">
            <w:pPr>
              <w:pStyle w:val="ListBullet"/>
            </w:pPr>
            <w:r w:rsidRPr="00E97217">
              <w:t>well-developed numeracy and IT skills to:</w:t>
            </w:r>
          </w:p>
          <w:p w:rsidR="00000000" w:rsidRPr="00E97217" w:rsidP="00E97217">
            <w:pPr>
              <w:pStyle w:val="ListBullet2"/>
            </w:pPr>
            <w:r w:rsidRPr="00E97217">
              <w:t>perform calculations related to achieving required outcomes</w:t>
            </w:r>
          </w:p>
          <w:p w:rsidR="00000000" w:rsidRPr="00E97217" w:rsidP="00E97217">
            <w:pPr>
              <w:pStyle w:val="ListBullet2"/>
            </w:pPr>
            <w:r w:rsidRPr="00E97217">
              <w:t>use computer applications (word processing, spreadsheet, database, specific purpose comput</w:t>
            </w:r>
            <w:r w:rsidRPr="00E97217">
              <w:t>er systems) to assist in achieving required outcomes</w:t>
            </w:r>
          </w:p>
          <w:p w:rsidR="00000000" w:rsidRPr="00E97217" w:rsidP="00E97217">
            <w:pPr>
              <w:pStyle w:val="ListBullet2"/>
            </w:pPr>
            <w:r w:rsidRPr="00E97217">
              <w:t>access and update records electronically</w:t>
            </w:r>
          </w:p>
          <w:p w:rsidR="00000000" w:rsidRPr="00E97217" w:rsidP="00E97217">
            <w:pPr>
              <w:pStyle w:val="ListBullet2"/>
            </w:pPr>
            <w:r w:rsidRPr="00E97217">
              <w:t>access web-based information services</w:t>
            </w:r>
          </w:p>
          <w:p w:rsidR="00000000" w:rsidRPr="00E97217" w:rsidP="00E97217">
            <w:pPr>
              <w:pStyle w:val="ListBullet"/>
            </w:pPr>
            <w:r w:rsidRPr="00E97217">
              <w:t>well-developed literacy skills to read and interpret documentation from a variety of sources and record and consolidate rel</w:t>
            </w:r>
            <w:r w:rsidRPr="00E97217">
              <w:t>evant related information</w:t>
            </w:r>
          </w:p>
          <w:p w:rsidR="00000000" w:rsidRPr="00E97217" w:rsidP="00E97217">
            <w:pPr>
              <w:pStyle w:val="ListBullet"/>
            </w:pPr>
            <w:r w:rsidRPr="00E97217">
              <w:t>learning skills to maintain knowledge of changes to compliance legislation and requirements</w:t>
            </w:r>
          </w:p>
          <w:p w:rsidR="00000000" w:rsidRPr="00E97217" w:rsidP="00E97217">
            <w:pPr>
              <w:pStyle w:val="ListBullet"/>
            </w:pPr>
            <w:r w:rsidRPr="00E97217">
              <w:t>problem solving skills to identify any issues that have the potential to impact on work outcomes and to develop options to resolve these i</w:t>
            </w:r>
            <w:r w:rsidRPr="00E97217">
              <w:t>ssues when they arise</w:t>
            </w:r>
          </w:p>
          <w:p w:rsidR="00000000" w:rsidRPr="00E97217" w:rsidP="00E97217">
            <w:pPr>
              <w:pStyle w:val="ListBullet"/>
            </w:pPr>
            <w:r w:rsidRPr="00E97217">
              <w:t>self-management skills for complying with ethical, legal and procedural requirements research and analysis skills for accessing and interpreting relevant information</w:t>
            </w:r>
          </w:p>
          <w:p w:rsidR="00000000" w:rsidP="00E97217">
            <w:pPr>
              <w:pStyle w:val="ListBullet"/>
              <w:rPr>
                <w:lang w:val="en-NZ"/>
              </w:rPr>
            </w:pPr>
            <w:r w:rsidRPr="00E97217">
              <w:t>organisational skills, including the ability to plan and seque</w:t>
            </w:r>
            <w:r w:rsidRPr="00E97217">
              <w:t>nce work</w:t>
            </w:r>
          </w:p>
        </w:tc>
      </w:tr>
      <w:tr w:rsidTr="00B17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Required knowledge</w:t>
            </w:r>
          </w:p>
        </w:tc>
      </w:tr>
      <w:tr w:rsidTr="00B17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ListBullet"/>
            </w:pPr>
            <w:r w:rsidRPr="00E97217">
              <w:t>different types of treaties (e.g. stop loss)</w:t>
            </w:r>
          </w:p>
          <w:p w:rsidR="00000000" w:rsidRPr="00E97217" w:rsidP="00E97217">
            <w:pPr>
              <w:pStyle w:val="ListBullet"/>
            </w:pPr>
            <w:r w:rsidRPr="00E97217">
              <w:t>GPS 23  - 7 prudential standard for Reinsurance Arrangements and relevant guidance notes</w:t>
            </w:r>
          </w:p>
          <w:p w:rsidR="00000000" w:rsidRPr="00E97217" w:rsidP="00E97217">
            <w:pPr>
              <w:pStyle w:val="ListBullet"/>
            </w:pPr>
            <w:r w:rsidRPr="00E97217">
              <w:t>industry sector compliance requirements such as the General Insurance Code of Practice</w:t>
            </w:r>
          </w:p>
          <w:p w:rsidR="00000000" w:rsidRPr="00E97217" w:rsidP="00E97217">
            <w:pPr>
              <w:pStyle w:val="ListBullet"/>
            </w:pPr>
            <w:r w:rsidRPr="00E97217">
              <w:t>orga</w:t>
            </w:r>
            <w:r w:rsidRPr="00E97217">
              <w:t>nisation and industry sector policy wording</w:t>
            </w:r>
          </w:p>
          <w:p w:rsidR="00000000" w:rsidRPr="00E97217" w:rsidP="00E97217">
            <w:pPr>
              <w:pStyle w:val="ListBullet"/>
            </w:pPr>
            <w:r w:rsidRPr="00E97217">
              <w:t>organisation policy, procedures, underwriting guidelines and authorities:</w:t>
            </w:r>
          </w:p>
          <w:p w:rsidR="00000000" w:rsidRPr="00E97217" w:rsidP="00E97217">
            <w:pPr>
              <w:pStyle w:val="ListBullet2"/>
            </w:pPr>
            <w:r w:rsidRPr="00E97217">
              <w:t>best underwriting guides (BUG)</w:t>
            </w:r>
          </w:p>
          <w:p w:rsidR="00000000" w:rsidRPr="00E97217" w:rsidP="00E97217">
            <w:pPr>
              <w:pStyle w:val="ListBullet2"/>
            </w:pPr>
            <w:r w:rsidRPr="00E97217">
              <w:t>loss control guides</w:t>
            </w:r>
          </w:p>
          <w:p w:rsidR="00000000" w:rsidRPr="00E97217" w:rsidP="00E97217">
            <w:pPr>
              <w:pStyle w:val="ListBullet"/>
            </w:pPr>
            <w:r w:rsidRPr="00E97217">
              <w:t>organisation IT and communications systems</w:t>
            </w:r>
          </w:p>
          <w:p w:rsidR="00000000" w:rsidRPr="00E97217" w:rsidP="00E97217">
            <w:pPr>
              <w:pStyle w:val="ListBullet"/>
            </w:pPr>
            <w:r w:rsidRPr="00E97217">
              <w:t>principles and methods of filing reinsurance terminology and concepts such as:</w:t>
            </w:r>
          </w:p>
          <w:p w:rsidR="00000000" w:rsidRPr="00E97217" w:rsidP="00E97217">
            <w:pPr>
              <w:pStyle w:val="ListBullet2"/>
            </w:pPr>
            <w:r w:rsidRPr="00E97217">
              <w:t>any one risk</w:t>
            </w:r>
          </w:p>
          <w:p w:rsidR="00000000" w:rsidRPr="00E97217" w:rsidP="00E97217">
            <w:pPr>
              <w:pStyle w:val="ListBullet2"/>
            </w:pPr>
            <w:r w:rsidRPr="00E97217">
              <w:t>any one event</w:t>
            </w:r>
          </w:p>
          <w:p w:rsidR="00000000" w:rsidRPr="00E97217" w:rsidP="00E97217">
            <w:pPr>
              <w:pStyle w:val="ListBullet2"/>
            </w:pPr>
            <w:r w:rsidRPr="00E97217">
              <w:t>reinstatement premium</w:t>
            </w:r>
          </w:p>
          <w:p w:rsidR="00000000" w:rsidRPr="00E97217" w:rsidP="00E97217">
            <w:pPr>
              <w:pStyle w:val="ListBullet"/>
            </w:pPr>
            <w:r w:rsidRPr="00E97217">
              <w:t>relevant legislation, regulatory guidelines and industry sector compliance requirements, such as:</w:t>
            </w:r>
          </w:p>
          <w:p w:rsidR="00000000" w:rsidRPr="00E97217" w:rsidP="00E97217">
            <w:pPr>
              <w:pStyle w:val="ListBullet2"/>
            </w:pPr>
            <w:r w:rsidRPr="00E97217">
              <w:t>Insurance Contracts Act</w:t>
            </w:r>
          </w:p>
          <w:p w:rsidR="00000000" w:rsidRPr="00E97217" w:rsidP="00E97217">
            <w:pPr>
              <w:pStyle w:val="ListBullet2"/>
            </w:pPr>
            <w:r w:rsidRPr="00E97217">
              <w:t>Pri</w:t>
            </w:r>
            <w:r w:rsidRPr="00E97217">
              <w:t>vacy Act</w:t>
            </w:r>
          </w:p>
          <w:p w:rsidR="00000000" w:rsidRPr="00E97217" w:rsidP="00E97217">
            <w:pPr>
              <w:pStyle w:val="ListBullet2"/>
            </w:pPr>
            <w:r w:rsidRPr="00E97217">
              <w:t>Trade Practices</w:t>
            </w:r>
          </w:p>
          <w:p w:rsidR="00000000" w:rsidRPr="00E97217" w:rsidP="00E97217">
            <w:pPr>
              <w:pStyle w:val="ListBullet2"/>
            </w:pPr>
            <w:r w:rsidRPr="00E97217">
              <w:t>Corporations Act</w:t>
            </w:r>
          </w:p>
        </w:tc>
      </w:tr>
    </w:tbl>
    <w:p w:rsidR="00000000" w:rsidRPr="00E97217" w:rsidP="00E97217">
      <w:pPr>
        <w:pStyle w:val="BodyText"/>
      </w:pPr>
    </w:p>
    <w:p w:rsidR="00000000" w:rsidRPr="00E97217" w:rsidP="00E97217">
      <w:pPr>
        <w:pStyle w:val="AllowPageBreak"/>
      </w:pPr>
    </w:p>
    <w:p w:rsidR="00000000" w:rsidRPr="00E97217" w:rsidP="00E97217">
      <w:pPr>
        <w:pStyle w:val="Heading1"/>
      </w:pPr>
      <w:bookmarkStart w:id="10" w:name="O_79596"/>
      <w:bookmarkEnd w:id="10"/>
      <w:r w:rsidRPr="00E97217">
        <w:t>Evidence Guide</w:t>
      </w:r>
    </w:p>
    <w:tbl>
      <w:tblPr>
        <w:tblW w:w="9570" w:type="dxa"/>
        <w:tblLayout w:type="fixed"/>
        <w:tblCellMar>
          <w:left w:w="62" w:type="dxa"/>
          <w:right w:w="62" w:type="dxa"/>
        </w:tblCellMar>
        <w:tblLook w:val="0000"/>
      </w:tblPr>
      <w:tblGrid>
        <w:gridCol w:w="2808"/>
        <w:gridCol w:w="6762"/>
      </w:tblGrid>
      <w:tr w:rsidTr="00B171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EVIDENCE GUIDE</w:t>
            </w:r>
          </w:p>
        </w:tc>
      </w:tr>
      <w:tr w:rsidTr="00B171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t xml:space="preserve">The Evidence Guide provides advice on assessment and must be read in conjunction with the performance criteria, required skills and knowledge, </w:t>
            </w:r>
            <w:r w:rsidRPr="00E97217">
              <w:t>range statement and the Assessment Guidelines for the Training Package.</w:t>
            </w:r>
          </w:p>
        </w:tc>
      </w:tr>
      <w:tr w:rsidTr="00B171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p>
        </w:tc>
      </w:tr>
      <w:tr w:rsidTr="00B171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r w:rsidRPr="00E97217">
              <w:t>Evidence of the ability to:</w:t>
            </w:r>
          </w:p>
          <w:p w:rsidR="00000000" w:rsidRPr="00E97217" w:rsidP="00E97217">
            <w:pPr>
              <w:pStyle w:val="ListBullet"/>
            </w:pPr>
            <w:r w:rsidRPr="00E97217">
              <w:t>compile a tender document, including collection of appropriate data, and selection of appropriate methods of protection</w:t>
            </w:r>
          </w:p>
          <w:p w:rsidR="00000000" w:rsidRPr="00E97217" w:rsidP="00E97217">
            <w:pPr>
              <w:pStyle w:val="ListBullet"/>
            </w:pPr>
            <w:r w:rsidRPr="00E97217">
              <w:t>fully comply with organisation operating procedures, legislative requirements and industry codes of practice, where applicable</w:t>
            </w:r>
          </w:p>
          <w:p w:rsidR="00000000" w:rsidRPr="00E97217" w:rsidP="00E97217">
            <w:pPr>
              <w:pStyle w:val="ListBullet"/>
            </w:pPr>
            <w:r w:rsidRPr="00E97217">
              <w:t>prepare o</w:t>
            </w:r>
            <w:r w:rsidRPr="00E97217">
              <w:t>r verify a contract</w:t>
            </w:r>
          </w:p>
          <w:p w:rsidR="00000000" w:rsidRPr="00E97217" w:rsidP="00E97217">
            <w:pPr>
              <w:pStyle w:val="ListBullet"/>
            </w:pPr>
            <w:r w:rsidRPr="00E97217">
              <w:t>negotiate a contract</w:t>
            </w:r>
          </w:p>
          <w:p w:rsidR="00000000" w:rsidP="00E97217">
            <w:pPr>
              <w:pStyle w:val="ListBullet"/>
              <w:rPr>
                <w:lang w:val="en-NZ"/>
              </w:rPr>
            </w:pPr>
            <w:r w:rsidRPr="00E97217">
              <w:t>comply with terms and conditions of organisation reinsurance arrangement.</w:t>
            </w:r>
          </w:p>
        </w:tc>
      </w:tr>
      <w:tr w:rsidTr="00B171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r w:rsidRPr="00E97217">
              <w:t>Assessment must ensure:</w:t>
            </w:r>
          </w:p>
          <w:p w:rsidR="00000000" w:rsidRPr="00E97217" w:rsidP="00E97217">
            <w:pPr>
              <w:pStyle w:val="ListBullet"/>
            </w:pPr>
            <w:r w:rsidRPr="00E97217">
              <w:t xml:space="preserve">competency is demonstrated in the context of the work environment </w:t>
            </w:r>
            <w:r w:rsidRPr="00E97217">
              <w:t>and conditions specified in the range statement either in a relevant workplace or a closely simulated work environment</w:t>
            </w:r>
          </w:p>
          <w:p w:rsidR="00000000" w:rsidRPr="00E97217" w:rsidP="00E97217">
            <w:pPr>
              <w:pStyle w:val="ListBullet"/>
            </w:pPr>
            <w:r w:rsidRPr="00E97217">
              <w:t>access to and the use of a range of common office equipment, technology, software and consumables</w:t>
            </w:r>
          </w:p>
          <w:p w:rsidR="00000000" w:rsidRPr="00E97217" w:rsidP="00E97217">
            <w:pPr>
              <w:pStyle w:val="ListBullet"/>
            </w:pPr>
            <w:r w:rsidRPr="00E97217">
              <w:t>access to organisation records</w:t>
            </w:r>
          </w:p>
          <w:p w:rsidR="00000000" w:rsidP="00E97217">
            <w:pPr>
              <w:pStyle w:val="ListBullet"/>
              <w:rPr>
                <w:lang w:val="en-NZ"/>
              </w:rPr>
            </w:pPr>
            <w:r w:rsidRPr="00E97217">
              <w:t>access to organisation policies and procedures.</w:t>
            </w:r>
          </w:p>
        </w:tc>
      </w:tr>
      <w:tr w:rsidTr="00B171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r w:rsidRPr="00E97217">
              <w:t xml:space="preserve">A range of assessment methods should be used to assess practical skills and knowledge. The following examples, in combination, are appropriate for this unit: </w:t>
            </w:r>
          </w:p>
          <w:p w:rsidR="00000000" w:rsidRPr="00E97217" w:rsidP="00E97217">
            <w:pPr>
              <w:pStyle w:val="ListBullet"/>
            </w:pPr>
            <w:r w:rsidRPr="00E97217">
              <w:t>evaluating an integrated a</w:t>
            </w:r>
            <w:r w:rsidRPr="00E97217">
              <w:t>ctivity, which combines the elements of competency for the unit, or a cluster of related units of competency</w:t>
            </w:r>
          </w:p>
          <w:p w:rsidR="00000000" w:rsidRPr="00E97217" w:rsidP="00E97217">
            <w:pPr>
              <w:pStyle w:val="ListBullet"/>
            </w:pPr>
            <w:r w:rsidRPr="00E97217">
              <w:t>observing processes and procedures in workplaces</w:t>
            </w:r>
          </w:p>
          <w:p w:rsidR="00000000" w:rsidRPr="00E97217" w:rsidP="00E97217">
            <w:pPr>
              <w:pStyle w:val="ListBullet"/>
            </w:pPr>
            <w:r w:rsidRPr="00E97217">
              <w:t>verbal or written questioning on underpinning knowledge and skills</w:t>
            </w:r>
          </w:p>
          <w:p w:rsidR="00000000" w:rsidRPr="00E97217" w:rsidP="00E97217">
            <w:pPr>
              <w:pStyle w:val="ListBullet"/>
            </w:pPr>
            <w:r w:rsidRPr="00E97217">
              <w:t>evaluating samples of work</w:t>
            </w:r>
          </w:p>
          <w:p w:rsidR="00000000" w:rsidRPr="00E97217" w:rsidP="00E97217">
            <w:pPr>
              <w:pStyle w:val="ListBullet"/>
            </w:pPr>
            <w:r w:rsidRPr="00E97217">
              <w:t>acce</w:t>
            </w:r>
            <w:r w:rsidRPr="00E97217">
              <w:t>ssing and validating third party reports</w:t>
            </w:r>
          </w:p>
          <w:p w:rsidR="00000000" w:rsidP="00E97217">
            <w:pPr>
              <w:pStyle w:val="ListBullet"/>
              <w:rPr>
                <w:lang w:val="en-NZ"/>
              </w:rPr>
            </w:pPr>
            <w:r w:rsidRPr="00E97217">
              <w:t>setting and reviewing workplace projects and business simulations or scenarios.</w:t>
            </w:r>
          </w:p>
        </w:tc>
      </w:tr>
      <w:tr w:rsidTr="00B171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p>
        </w:tc>
      </w:tr>
    </w:tbl>
    <w:p w:rsidR="00000000" w:rsidRPr="00E97217" w:rsidP="00E97217">
      <w:pPr>
        <w:pStyle w:val="BodyText"/>
      </w:pPr>
    </w:p>
    <w:p w:rsidR="00000000" w:rsidRPr="00E97217" w:rsidP="00E97217">
      <w:pPr>
        <w:pStyle w:val="AllowPageBreak"/>
      </w:pPr>
    </w:p>
    <w:p w:rsidR="00000000" w:rsidRPr="00E97217" w:rsidP="00E97217">
      <w:pPr>
        <w:pStyle w:val="Heading1"/>
      </w:pPr>
      <w:bookmarkStart w:id="11" w:name="O_79597"/>
      <w:bookmarkEnd w:id="11"/>
      <w:r w:rsidRPr="00E97217">
        <w:t>Range Statement</w:t>
      </w:r>
    </w:p>
    <w:tbl>
      <w:tblPr>
        <w:tblW w:w="0" w:type="auto"/>
        <w:tblLayout w:type="fixed"/>
        <w:tblCellMar>
          <w:left w:w="62" w:type="dxa"/>
          <w:right w:w="62" w:type="dxa"/>
        </w:tblCellMar>
        <w:tblLook w:val="0000"/>
      </w:tblPr>
      <w:tblGrid>
        <w:gridCol w:w="2514"/>
        <w:gridCol w:w="6008"/>
      </w:tblGrid>
      <w:tr w:rsidTr="00B171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RANGE STATEMENT</w:t>
            </w:r>
          </w:p>
        </w:tc>
      </w:tr>
      <w:tr w:rsidTr="00B171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t>The range statement relates to the unit of competency as a whole. It allows for different work environments and situations that may affect performance. Bold italicised wording, if used in the performance criteria, is detailed below. Essential operating con</w:t>
            </w:r>
            <w:r w:rsidRPr="00E97217">
              <w:t>ditions that may be present with training and assessment (depending on the work situation, needs of the candidate, accessibility of the item, and local industry and regional contexts) may also be included.</w:t>
            </w:r>
          </w:p>
        </w:tc>
      </w:tr>
      <w:tr w:rsidTr="00B17193">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t xml:space="preserve">Types of </w:t>
            </w:r>
            <w:r w:rsidRPr="00E97217">
              <w:rPr>
                <w:rStyle w:val="BoldandItalics"/>
              </w:rPr>
              <w:t>treaty reinsurance</w:t>
            </w:r>
            <w:r w:rsidRPr="00E97217">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ListBullet"/>
            </w:pPr>
            <w:r w:rsidRPr="00E97217">
              <w:t>catast</w:t>
            </w:r>
            <w:r w:rsidRPr="00E97217">
              <w:t>rophe</w:t>
            </w:r>
          </w:p>
          <w:p w:rsidR="00000000" w:rsidRPr="00E97217" w:rsidP="00E97217">
            <w:pPr>
              <w:pStyle w:val="ListBullet"/>
            </w:pPr>
            <w:r w:rsidRPr="00E97217">
              <w:t>excess of loss</w:t>
            </w:r>
          </w:p>
          <w:p w:rsidR="00000000" w:rsidRPr="00E97217" w:rsidP="00E97217">
            <w:pPr>
              <w:pStyle w:val="ListBullet"/>
            </w:pPr>
            <w:r w:rsidRPr="00E97217">
              <w:t>quota share</w:t>
            </w:r>
          </w:p>
          <w:p w:rsidR="00000000" w:rsidP="00E97217">
            <w:pPr>
              <w:pStyle w:val="ListBullet"/>
              <w:rPr>
                <w:lang w:val="en-NZ"/>
              </w:rPr>
            </w:pPr>
            <w:r w:rsidRPr="00E97217">
              <w:t>stop loss.</w:t>
            </w:r>
          </w:p>
        </w:tc>
      </w:tr>
      <w:tr w:rsidTr="00B17193">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BoldandItalics"/>
              </w:rPr>
              <w:t>Organisation procedures</w:t>
            </w:r>
            <w:r w:rsidRPr="00E97217">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ListBullet"/>
            </w:pPr>
            <w:r w:rsidRPr="00E97217">
              <w:t>authority levels</w:t>
            </w:r>
          </w:p>
          <w:p w:rsidR="00000000" w:rsidP="00E97217">
            <w:pPr>
              <w:pStyle w:val="ListBullet"/>
              <w:rPr>
                <w:lang w:val="en-NZ"/>
              </w:rPr>
            </w:pPr>
            <w:r w:rsidRPr="00E97217">
              <w:t>reinsurance tender preparation guidelines.</w:t>
            </w:r>
          </w:p>
        </w:tc>
      </w:tr>
      <w:tr w:rsidTr="00B17193">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BoldandItalics"/>
              </w:rPr>
              <w:t>Context</w:t>
            </w:r>
            <w:r w:rsidRPr="00E97217">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ListBullet"/>
            </w:pPr>
            <w:r w:rsidRPr="00E97217">
              <w:t>accidental damage</w:t>
            </w:r>
          </w:p>
          <w:p w:rsidR="00000000" w:rsidRPr="00E97217" w:rsidP="00E97217">
            <w:pPr>
              <w:pStyle w:val="ListBullet"/>
            </w:pPr>
            <w:r w:rsidRPr="00E97217">
              <w:t>additional benefits</w:t>
            </w:r>
          </w:p>
          <w:p w:rsidR="00000000" w:rsidRPr="00E97217" w:rsidP="00E97217">
            <w:pPr>
              <w:pStyle w:val="ListBullet"/>
            </w:pPr>
            <w:r w:rsidRPr="00E97217">
              <w:t>burglary/theft</w:t>
            </w:r>
          </w:p>
          <w:p w:rsidR="00000000" w:rsidRPr="00E97217" w:rsidP="00E97217">
            <w:pPr>
              <w:pStyle w:val="ListBullet"/>
            </w:pPr>
            <w:r w:rsidRPr="00E97217">
              <w:t>business interruption</w:t>
            </w:r>
          </w:p>
          <w:p w:rsidR="00000000" w:rsidRPr="00E97217" w:rsidP="00E97217">
            <w:pPr>
              <w:pStyle w:val="ListBullet"/>
            </w:pPr>
            <w:r w:rsidRPr="00E97217">
              <w:t>business special risks</w:t>
            </w:r>
          </w:p>
          <w:p w:rsidR="00000000" w:rsidRPr="00E97217" w:rsidP="00E97217">
            <w:pPr>
              <w:pStyle w:val="ListBullet"/>
            </w:pPr>
            <w:r w:rsidRPr="00E97217">
              <w:t>commercial</w:t>
            </w:r>
          </w:p>
          <w:p w:rsidR="00000000" w:rsidRPr="00E97217" w:rsidP="00E97217">
            <w:pPr>
              <w:pStyle w:val="ListBullet"/>
            </w:pPr>
            <w:r w:rsidRPr="00E97217">
              <w:t>commercial motor</w:t>
            </w:r>
          </w:p>
          <w:p w:rsidR="00000000" w:rsidRPr="00E97217" w:rsidP="00E97217">
            <w:pPr>
              <w:pStyle w:val="ListBullet"/>
            </w:pPr>
            <w:r w:rsidRPr="00E97217">
              <w:t>construction risks</w:t>
            </w:r>
          </w:p>
          <w:p w:rsidR="00000000" w:rsidRPr="00E97217" w:rsidP="00E97217">
            <w:pPr>
              <w:pStyle w:val="ListBullet"/>
            </w:pPr>
            <w:r w:rsidRPr="00E97217">
              <w:t>crop</w:t>
            </w:r>
          </w:p>
          <w:p w:rsidR="00000000" w:rsidRPr="00E97217" w:rsidP="00E97217">
            <w:pPr>
              <w:pStyle w:val="ListBullet"/>
            </w:pPr>
            <w:r w:rsidRPr="00E97217">
              <w:t>defined events</w:t>
            </w:r>
          </w:p>
          <w:p w:rsidR="00000000" w:rsidRPr="00E97217" w:rsidP="00E97217">
            <w:pPr>
              <w:pStyle w:val="ListBullet"/>
            </w:pPr>
            <w:r w:rsidRPr="00E97217">
              <w:t>directors and officers</w:t>
            </w:r>
          </w:p>
          <w:p w:rsidR="00000000" w:rsidRPr="00E97217" w:rsidP="00E97217">
            <w:pPr>
              <w:pStyle w:val="ListBullet"/>
            </w:pPr>
            <w:r w:rsidRPr="00E97217">
              <w:t xml:space="preserve">domestic </w:t>
            </w:r>
          </w:p>
          <w:p w:rsidR="00000000" w:rsidRPr="00E97217" w:rsidP="00E97217">
            <w:pPr>
              <w:pStyle w:val="ListBullet"/>
            </w:pPr>
            <w:r w:rsidRPr="00E97217">
              <w:t>electronic equipment</w:t>
            </w:r>
          </w:p>
          <w:p w:rsidR="00000000" w:rsidRPr="00E97217" w:rsidP="00E97217">
            <w:pPr>
              <w:pStyle w:val="ListBullet"/>
            </w:pPr>
            <w:r w:rsidRPr="00E97217">
              <w:t>employee fraud</w:t>
            </w:r>
          </w:p>
          <w:p w:rsidR="00000000" w:rsidRPr="00E97217" w:rsidP="00E97217">
            <w:pPr>
              <w:pStyle w:val="ListBullet"/>
            </w:pPr>
            <w:r w:rsidRPr="00E97217">
              <w:t>engineering plant</w:t>
            </w:r>
          </w:p>
          <w:p w:rsidR="00000000" w:rsidRPr="00E97217" w:rsidP="00E97217">
            <w:pPr>
              <w:pStyle w:val="ListBullet"/>
            </w:pPr>
            <w:r w:rsidRPr="00E97217">
              <w:t>environment and pollution</w:t>
            </w:r>
          </w:p>
          <w:p w:rsidR="00000000" w:rsidRPr="00E97217" w:rsidP="00E97217">
            <w:pPr>
              <w:pStyle w:val="ListBullet"/>
            </w:pPr>
            <w:r w:rsidRPr="00E97217">
              <w:t>fire and perils</w:t>
            </w:r>
          </w:p>
          <w:p w:rsidR="00000000" w:rsidRPr="00E97217" w:rsidP="00E97217">
            <w:pPr>
              <w:pStyle w:val="ListBullet"/>
            </w:pPr>
            <w:r w:rsidRPr="00E97217">
              <w:t>general and products liability</w:t>
            </w:r>
          </w:p>
          <w:p w:rsidR="00000000" w:rsidRPr="00E97217" w:rsidP="00E97217">
            <w:pPr>
              <w:pStyle w:val="ListBullet"/>
            </w:pPr>
            <w:r w:rsidRPr="00E97217">
              <w:t>glass</w:t>
            </w:r>
          </w:p>
          <w:p w:rsidR="00000000" w:rsidRPr="00E97217" w:rsidP="00E97217">
            <w:pPr>
              <w:pStyle w:val="ListBullet"/>
            </w:pPr>
            <w:r w:rsidRPr="00E97217">
              <w:t>Industrial Special Risks (ISR)</w:t>
            </w:r>
          </w:p>
          <w:p w:rsidR="00000000" w:rsidRPr="00E97217" w:rsidP="00E97217">
            <w:pPr>
              <w:pStyle w:val="ListBullet"/>
            </w:pPr>
            <w:r w:rsidRPr="00E97217">
              <w:t>livestock</w:t>
            </w:r>
          </w:p>
          <w:p w:rsidR="00000000" w:rsidRPr="00E97217" w:rsidP="00E97217">
            <w:pPr>
              <w:pStyle w:val="ListBullet"/>
            </w:pPr>
            <w:r w:rsidRPr="00E97217">
              <w:t>machinery breakdown</w:t>
            </w:r>
          </w:p>
          <w:p w:rsidR="00000000" w:rsidRPr="00E97217" w:rsidP="00E97217">
            <w:pPr>
              <w:pStyle w:val="ListBullet"/>
            </w:pPr>
            <w:r w:rsidRPr="00E97217">
              <w:t>money</w:t>
            </w:r>
          </w:p>
          <w:p w:rsidR="00000000" w:rsidRPr="00E97217" w:rsidP="00E97217">
            <w:pPr>
              <w:pStyle w:val="ListBullet"/>
            </w:pPr>
            <w:r w:rsidRPr="00E97217">
              <w:t>multi-risk</w:t>
            </w:r>
          </w:p>
          <w:p w:rsidR="00000000" w:rsidRPr="00E97217" w:rsidP="00E97217">
            <w:pPr>
              <w:pStyle w:val="ListBullet"/>
            </w:pPr>
            <w:r w:rsidRPr="00E97217">
              <w:t>other personal items</w:t>
            </w:r>
          </w:p>
          <w:p w:rsidR="00000000" w:rsidRPr="00E97217" w:rsidP="00E97217">
            <w:pPr>
              <w:pStyle w:val="ListBullet"/>
            </w:pPr>
            <w:r w:rsidRPr="00E97217">
              <w:t>package contracts</w:t>
            </w:r>
          </w:p>
          <w:p w:rsidR="00000000" w:rsidRPr="00E97217" w:rsidP="00E97217">
            <w:pPr>
              <w:pStyle w:val="ListBullet"/>
            </w:pPr>
            <w:r w:rsidRPr="00E97217">
              <w:t>personal accident and illness</w:t>
            </w:r>
          </w:p>
          <w:p w:rsidR="00000000" w:rsidRPr="00E97217" w:rsidP="00E97217">
            <w:pPr>
              <w:pStyle w:val="ListBullet"/>
            </w:pPr>
            <w:r w:rsidRPr="00E97217">
              <w:t>professional indemnity</w:t>
            </w:r>
          </w:p>
          <w:p w:rsidR="00000000" w:rsidRPr="00E97217" w:rsidP="00E97217">
            <w:pPr>
              <w:pStyle w:val="ListBullet"/>
            </w:pPr>
            <w:r w:rsidRPr="00E97217">
              <w:t>public liability</w:t>
            </w:r>
          </w:p>
          <w:p w:rsidR="00000000" w:rsidRPr="00E97217" w:rsidP="00E97217">
            <w:pPr>
              <w:pStyle w:val="ListBullet"/>
            </w:pPr>
            <w:r w:rsidRPr="00E97217">
              <w:t>sprinkler leakage</w:t>
            </w:r>
          </w:p>
          <w:p w:rsidR="00000000" w:rsidRPr="00E97217" w:rsidP="00E97217">
            <w:pPr>
              <w:pStyle w:val="ListBullet"/>
            </w:pPr>
            <w:r w:rsidRPr="00E97217">
              <w:t>transit</w:t>
            </w:r>
          </w:p>
          <w:p w:rsidR="00000000" w:rsidP="00E97217">
            <w:pPr>
              <w:pStyle w:val="ListBullet"/>
              <w:rPr>
                <w:lang w:val="en-NZ"/>
              </w:rPr>
            </w:pPr>
            <w:r w:rsidRPr="00E97217">
              <w:t>travel.</w:t>
            </w:r>
          </w:p>
        </w:tc>
      </w:tr>
      <w:tr w:rsidTr="00B17193">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BoldandItalics"/>
              </w:rPr>
              <w:t>Criteria for supplier selection</w:t>
            </w:r>
            <w:r w:rsidRPr="00E97217">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ListBullet"/>
            </w:pPr>
            <w:r w:rsidRPr="00E97217">
              <w:t>expertise in product</w:t>
            </w:r>
          </w:p>
          <w:p w:rsidR="00000000" w:rsidRPr="00E97217" w:rsidP="00E97217">
            <w:pPr>
              <w:pStyle w:val="ListBullet"/>
            </w:pPr>
            <w:r w:rsidRPr="00E97217">
              <w:t>financial security.</w:t>
            </w:r>
          </w:p>
        </w:tc>
      </w:tr>
    </w:tbl>
    <w:p w:rsidR="00B17193" w:rsidP="00E97217">
      <w:pPr>
        <w:pStyle w:val="BodyText"/>
      </w:pPr>
    </w:p>
    <w:p w:rsidR="00B17193" w:rsidP="00E97217">
      <w:pPr>
        <w:pStyle w:val="BodyText"/>
      </w:pPr>
    </w:p>
    <w:p w:rsidR="00000000" w:rsidRPr="00E97217" w:rsidP="00E97217">
      <w:pPr>
        <w:pStyle w:val="Heading1"/>
      </w:pPr>
      <w:bookmarkStart w:id="12" w:name="O_79598"/>
      <w:bookmarkEnd w:id="12"/>
      <w:r w:rsidRPr="00E97217">
        <w:t>Unit Sector(s)</w:t>
      </w:r>
    </w:p>
    <w:tbl>
      <w:tblPr>
        <w:tblW w:w="0" w:type="auto"/>
        <w:tblLayout w:type="fixed"/>
        <w:tblCellMar>
          <w:left w:w="62" w:type="dxa"/>
          <w:right w:w="62" w:type="dxa"/>
        </w:tblCellMar>
        <w:tblLook w:val="0000"/>
      </w:tblPr>
      <w:tblGrid>
        <w:gridCol w:w="2594"/>
        <w:gridCol w:w="5928"/>
      </w:tblGrid>
      <w:tr w:rsidTr="00B17193">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r w:rsidRPr="00E97217">
              <w:t>Insurance services</w:t>
            </w:r>
          </w:p>
        </w:tc>
      </w:tr>
    </w:tbl>
    <w:p w:rsidR="00000000" w:rsidRPr="00E97217" w:rsidP="00E97217">
      <w:pPr>
        <w:pStyle w:val="BodyText"/>
      </w:pPr>
    </w:p>
    <w:p w:rsidR="00000000" w:rsidRPr="00E97217" w:rsidP="00E97217">
      <w:pPr>
        <w:pStyle w:val="AllowPageBreak"/>
      </w:pPr>
    </w:p>
    <w:p w:rsidR="00000000" w:rsidRPr="00E97217" w:rsidP="00E97217">
      <w:pPr>
        <w:pStyle w:val="Heading1"/>
      </w:pPr>
      <w:bookmarkStart w:id="13" w:name="O_156499"/>
      <w:bookmarkEnd w:id="13"/>
      <w:r w:rsidRPr="00E97217">
        <w:t>Competency field</w:t>
      </w:r>
    </w:p>
    <w:tbl>
      <w:tblPr>
        <w:tblW w:w="0" w:type="auto"/>
        <w:tblLayout w:type="fixed"/>
        <w:tblCellMar>
          <w:left w:w="62" w:type="dxa"/>
          <w:right w:w="62" w:type="dxa"/>
        </w:tblCellMar>
        <w:tblLook w:val="0000"/>
      </w:tblPr>
      <w:tblGrid>
        <w:gridCol w:w="2754"/>
        <w:gridCol w:w="5768"/>
      </w:tblGrid>
      <w:tr w:rsidTr="00B1719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p>
        </w:tc>
      </w:tr>
    </w:tbl>
    <w:p w:rsidR="00000000" w:rsidRPr="00E97217" w:rsidP="00E97217">
      <w:pPr>
        <w:pStyle w:val="BodyText"/>
      </w:pPr>
    </w:p>
    <w:p w:rsidR="00000000" w:rsidRPr="00E97217" w:rsidP="00E97217">
      <w:pPr>
        <w:pStyle w:val="AllowPageBreak"/>
      </w:pPr>
    </w:p>
    <w:p w:rsidR="00000000" w:rsidRPr="00E97217" w:rsidP="00E97217">
      <w:pPr>
        <w:pStyle w:val="Heading1"/>
      </w:pPr>
      <w:bookmarkStart w:id="14" w:name="O_156498"/>
      <w:bookmarkEnd w:id="14"/>
      <w:r w:rsidRPr="00E97217">
        <w:t>Co-requisite units</w:t>
      </w:r>
    </w:p>
    <w:tbl>
      <w:tblPr>
        <w:tblW w:w="0" w:type="auto"/>
        <w:tblLayout w:type="fixed"/>
        <w:tblCellMar>
          <w:left w:w="62" w:type="dxa"/>
          <w:right w:w="62" w:type="dxa"/>
        </w:tblCellMar>
        <w:tblLook w:val="0000"/>
      </w:tblPr>
      <w:tblGrid>
        <w:gridCol w:w="2629"/>
        <w:gridCol w:w="1324"/>
        <w:gridCol w:w="4569"/>
      </w:tblGrid>
      <w:tr w:rsidTr="00B1719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r w:rsidRPr="00E9721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217">
            <w:pPr>
              <w:pStyle w:val="BodyText"/>
              <w:rPr>
                <w:lang w:val="en-NZ"/>
              </w:rPr>
            </w:pPr>
          </w:p>
        </w:tc>
      </w:tr>
      <w:tr w:rsidTr="00B1719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217" w:rsidP="00E97217">
            <w:pPr>
              <w:pStyle w:val="BodyText"/>
            </w:pPr>
          </w:p>
        </w:tc>
      </w:tr>
    </w:tbl>
    <w:p w:rsidR="00000000" w:rsidRPr="00E97217" w:rsidP="00E97217">
      <w:pPr>
        <w:pStyle w:val="BodyText"/>
      </w:pPr>
    </w:p>
    <w:p w:rsidR="00000000" w:rsidRPr="00E97217" w:rsidP="00E97217"/>
    <w:sectPr w:rsidSect="00E972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193" w:rsidP="00B17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93" w:rsidP="00E97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7193" w:rsidP="00E972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7193" w:rsidP="00E972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193" w:rsidP="00B171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93" w:rsidP="00E97217">
    <w:pPr>
      <w:pStyle w:val="Header"/>
      <w:framePr w:wrap="around"/>
    </w:pPr>
    <w:r>
      <w:fldChar w:fldCharType="begin"/>
    </w:r>
    <w:r>
      <w:instrText xml:space="preserve"> TITLE   \* MERGEFORMAT </w:instrText>
    </w:r>
    <w:r>
      <w:fldChar w:fldCharType="separate"/>
    </w:r>
    <w:r>
      <w:t>FNSISV504A Negotiate treaty reinsurance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7193" w:rsidP="00E972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88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D6F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29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2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217"/>
    <w:pPr>
      <w:spacing w:before="360" w:after="60"/>
      <w:outlineLvl w:val="0"/>
    </w:pPr>
    <w:rPr>
      <w:sz w:val="32"/>
    </w:rPr>
  </w:style>
  <w:style w:type="paragraph" w:styleId="Heading2">
    <w:name w:val="heading 2"/>
    <w:basedOn w:val="HeadingBase"/>
    <w:next w:val="BodyText"/>
    <w:link w:val="Heading2Char"/>
    <w:qFormat/>
    <w:rsid w:val="00E97217"/>
    <w:pPr>
      <w:keepLines/>
      <w:spacing w:before="240" w:after="120"/>
      <w:outlineLvl w:val="1"/>
    </w:pPr>
    <w:rPr>
      <w:sz w:val="28"/>
      <w:szCs w:val="40"/>
    </w:rPr>
  </w:style>
  <w:style w:type="paragraph" w:styleId="Heading3">
    <w:name w:val="heading 3"/>
    <w:basedOn w:val="HeadingBase"/>
    <w:next w:val="BodyText"/>
    <w:link w:val="Heading3Char"/>
    <w:qFormat/>
    <w:rsid w:val="00E97217"/>
    <w:pPr>
      <w:spacing w:before="180" w:after="120"/>
      <w:outlineLvl w:val="2"/>
    </w:pPr>
    <w:rPr>
      <w:spacing w:val="-10"/>
      <w:kern w:val="32"/>
    </w:rPr>
  </w:style>
  <w:style w:type="paragraph" w:styleId="Heading4">
    <w:name w:val="heading 4"/>
    <w:basedOn w:val="HeadingBase"/>
    <w:next w:val="BodyText"/>
    <w:link w:val="Heading4Char"/>
    <w:qFormat/>
    <w:rsid w:val="00E97217"/>
    <w:pPr>
      <w:spacing w:before="160" w:after="120"/>
      <w:outlineLvl w:val="3"/>
    </w:pPr>
    <w:rPr>
      <w:sz w:val="22"/>
    </w:rPr>
  </w:style>
  <w:style w:type="paragraph" w:styleId="Heading5">
    <w:name w:val="heading 5"/>
    <w:basedOn w:val="HeadingBase"/>
    <w:next w:val="Normal"/>
    <w:link w:val="Heading5Char"/>
    <w:qFormat/>
    <w:rsid w:val="00E97217"/>
    <w:pPr>
      <w:spacing w:before="80"/>
      <w:outlineLvl w:val="4"/>
    </w:pPr>
    <w:rPr>
      <w:color w:val="918585"/>
      <w:sz w:val="20"/>
    </w:rPr>
  </w:style>
  <w:style w:type="paragraph" w:styleId="Heading6">
    <w:name w:val="heading 6"/>
    <w:basedOn w:val="HeadingBase"/>
    <w:next w:val="Normal"/>
    <w:link w:val="Heading6Char"/>
    <w:qFormat/>
    <w:rsid w:val="00E97217"/>
    <w:pPr>
      <w:spacing w:before="60"/>
      <w:outlineLvl w:val="5"/>
    </w:pPr>
    <w:rPr>
      <w:color w:val="918585"/>
      <w:sz w:val="20"/>
    </w:rPr>
  </w:style>
  <w:style w:type="paragraph" w:styleId="Heading7">
    <w:name w:val="heading 7"/>
    <w:basedOn w:val="Normal"/>
    <w:next w:val="Normal"/>
    <w:link w:val="Heading7Char"/>
    <w:qFormat/>
    <w:rsid w:val="00E97217"/>
    <w:pPr>
      <w:ind w:left="720"/>
      <w:outlineLvl w:val="6"/>
    </w:pPr>
    <w:rPr>
      <w:i/>
    </w:rPr>
  </w:style>
  <w:style w:type="paragraph" w:styleId="Heading8">
    <w:name w:val="heading 8"/>
    <w:basedOn w:val="Normal"/>
    <w:next w:val="Normal"/>
    <w:link w:val="Heading8Char"/>
    <w:qFormat/>
    <w:rsid w:val="00E97217"/>
    <w:pPr>
      <w:ind w:left="720"/>
      <w:outlineLvl w:val="7"/>
    </w:pPr>
    <w:rPr>
      <w:i/>
    </w:rPr>
  </w:style>
  <w:style w:type="paragraph" w:styleId="Heading9">
    <w:name w:val="heading 9"/>
    <w:basedOn w:val="Normal"/>
    <w:next w:val="Normal"/>
    <w:link w:val="Heading9Char"/>
    <w:qFormat/>
    <w:rsid w:val="00E97217"/>
    <w:pPr>
      <w:ind w:left="720"/>
      <w:outlineLvl w:val="8"/>
    </w:pPr>
    <w:rPr>
      <w:i/>
    </w:rPr>
  </w:style>
  <w:style w:type="character" w:default="1" w:styleId="DefaultParagraphFont">
    <w:name w:val="Default Paragraph Font"/>
    <w:uiPriority w:val="1"/>
    <w:unhideWhenUsed/>
    <w:rsid w:val="00E97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217"/>
  </w:style>
  <w:style w:type="character" w:customStyle="1" w:styleId="Heading1Char">
    <w:name w:val="Heading 1 Char"/>
    <w:basedOn w:val="DefaultParagraphFont"/>
    <w:link w:val="Heading1"/>
    <w:rsid w:val="00E97217"/>
    <w:rPr>
      <w:rFonts w:ascii="Times New Roman" w:eastAsia="Times New Roman" w:hAnsi="Times New Roman" w:cs="Times New Roman"/>
      <w:b/>
      <w:sz w:val="32"/>
      <w:szCs w:val="20"/>
      <w:lang w:eastAsia="en-US"/>
    </w:rPr>
  </w:style>
  <w:style w:type="paragraph" w:styleId="BodyText">
    <w:name w:val="Body Text"/>
    <w:basedOn w:val="Normal"/>
    <w:link w:val="BodyTextChar"/>
    <w:rsid w:val="00E972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217"/>
    <w:rPr>
      <w:rFonts w:ascii="Times New Roman" w:eastAsia="Times New Roman" w:hAnsi="Times New Roman" w:cs="Times New Roman"/>
      <w:sz w:val="24"/>
      <w:lang w:val="en-US" w:eastAsia="en-US"/>
    </w:rPr>
  </w:style>
  <w:style w:type="paragraph" w:styleId="Footer">
    <w:name w:val="footer"/>
    <w:basedOn w:val="Normal"/>
    <w:link w:val="FooterChar"/>
    <w:rsid w:val="00E97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217"/>
    <w:rPr>
      <w:rFonts w:ascii="Times New Roman" w:eastAsia="Times New Roman" w:hAnsi="Times New Roman" w:cs="Times New Roman"/>
      <w:sz w:val="16"/>
      <w:lang w:val="en-US" w:eastAsia="en-US"/>
    </w:rPr>
  </w:style>
  <w:style w:type="paragraph" w:styleId="List">
    <w:name w:val="List"/>
    <w:basedOn w:val="BodyText"/>
    <w:next w:val="BodyText"/>
    <w:rsid w:val="00E97217"/>
    <w:pPr>
      <w:tabs>
        <w:tab w:val="left" w:pos="340"/>
      </w:tabs>
      <w:spacing w:before="60" w:after="60"/>
      <w:ind w:left="340" w:hanging="340"/>
    </w:pPr>
  </w:style>
  <w:style w:type="paragraph" w:styleId="ListBullet">
    <w:name w:val="List Bullet"/>
    <w:basedOn w:val="List"/>
    <w:rsid w:val="00E97217"/>
    <w:pPr>
      <w:numPr>
        <w:numId w:val="13"/>
      </w:numPr>
      <w:tabs>
        <w:tab w:val="clear" w:pos="340"/>
      </w:tabs>
      <w:spacing w:before="40" w:after="40"/>
    </w:pPr>
  </w:style>
  <w:style w:type="character" w:customStyle="1" w:styleId="SpecialBold">
    <w:name w:val="Special Bold"/>
    <w:basedOn w:val="DefaultParagraphFont"/>
    <w:rsid w:val="00E97217"/>
    <w:rPr>
      <w:b/>
      <w:spacing w:val="0"/>
    </w:rPr>
  </w:style>
  <w:style w:type="paragraph" w:styleId="ListBullet2">
    <w:name w:val="List Bullet 2"/>
    <w:basedOn w:val="List2"/>
    <w:rsid w:val="00E97217"/>
    <w:pPr>
      <w:numPr>
        <w:numId w:val="14"/>
      </w:numPr>
      <w:tabs>
        <w:tab w:val="clear" w:pos="680"/>
      </w:tabs>
    </w:pPr>
  </w:style>
  <w:style w:type="paragraph" w:styleId="Header">
    <w:name w:val="header"/>
    <w:basedOn w:val="Normal"/>
    <w:link w:val="HeaderChar"/>
    <w:rsid w:val="00E97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2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7217"/>
    <w:pPr>
      <w:spacing w:before="240" w:after="120"/>
      <w:outlineLvl w:val="0"/>
    </w:pPr>
    <w:rPr>
      <w:rFonts w:ascii="Times New Roman" w:hAnsi="Times New Roman"/>
      <w:b/>
      <w:sz w:val="28"/>
    </w:rPr>
  </w:style>
  <w:style w:type="paragraph" w:customStyle="1" w:styleId="AllowPageBreak">
    <w:name w:val="AllowPageBreak"/>
    <w:rsid w:val="00E972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217"/>
    <w:pPr>
      <w:tabs>
        <w:tab w:val="left" w:pos="680"/>
      </w:tabs>
      <w:spacing w:before="60" w:after="60"/>
      <w:ind w:left="680" w:hanging="340"/>
    </w:pPr>
  </w:style>
  <w:style w:type="character" w:customStyle="1" w:styleId="BoldandItalics">
    <w:name w:val="Bold and Italics"/>
    <w:qFormat/>
    <w:rsid w:val="00E97217"/>
    <w:rPr>
      <w:b/>
      <w:i/>
      <w:u w:val="none"/>
    </w:rPr>
  </w:style>
  <w:style w:type="character" w:customStyle="1" w:styleId="Heading2Char">
    <w:name w:val="Heading 2 Char"/>
    <w:basedOn w:val="DefaultParagraphFont"/>
    <w:link w:val="Heading2"/>
    <w:rsid w:val="00E972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2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2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2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2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2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217"/>
    <w:rPr>
      <w:rFonts w:ascii="Courier New" w:eastAsia="Times New Roman" w:hAnsi="Courier New" w:cs="Times New Roman"/>
      <w:i/>
      <w:szCs w:val="20"/>
      <w:lang w:val="en-US" w:eastAsia="en-US"/>
    </w:rPr>
  </w:style>
  <w:style w:type="paragraph" w:customStyle="1" w:styleId="HeadingBase">
    <w:name w:val="Heading Base"/>
    <w:rsid w:val="00E97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217"/>
    <w:pPr>
      <w:tabs>
        <w:tab w:val="right" w:leader="dot" w:pos="9072"/>
      </w:tabs>
      <w:ind w:left="567"/>
    </w:pPr>
    <w:rPr>
      <w:szCs w:val="22"/>
    </w:rPr>
  </w:style>
  <w:style w:type="paragraph" w:customStyle="1" w:styleId="TOCBase">
    <w:name w:val="TOC Base"/>
    <w:rsid w:val="00E97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217"/>
    <w:pPr>
      <w:tabs>
        <w:tab w:val="right" w:leader="dot" w:pos="9072"/>
      </w:tabs>
      <w:spacing w:before="40" w:after="40"/>
      <w:ind w:left="284"/>
    </w:pPr>
    <w:rPr>
      <w:rFonts w:ascii="Times New Roman" w:hAnsi="Times New Roman"/>
    </w:rPr>
  </w:style>
  <w:style w:type="paragraph" w:styleId="TOC1">
    <w:name w:val="toc 1"/>
    <w:basedOn w:val="TOCBase"/>
    <w:next w:val="Normal"/>
    <w:rsid w:val="00E972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217"/>
    <w:pPr>
      <w:spacing w:before="5040"/>
      <w:jc w:val="center"/>
    </w:pPr>
    <w:rPr>
      <w:sz w:val="48"/>
      <w:szCs w:val="72"/>
      <w:lang w:val="en-US"/>
    </w:rPr>
  </w:style>
  <w:style w:type="character" w:customStyle="1" w:styleId="TitleChar">
    <w:name w:val="Title Char"/>
    <w:basedOn w:val="DefaultParagraphFont"/>
    <w:link w:val="Title"/>
    <w:rsid w:val="00E97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217"/>
    <w:pPr>
      <w:tabs>
        <w:tab w:val="left" w:pos="3600"/>
        <w:tab w:val="left" w:pos="3958"/>
      </w:tabs>
    </w:pPr>
  </w:style>
  <w:style w:type="paragraph" w:customStyle="1" w:styleId="Note">
    <w:name w:val="Note"/>
    <w:basedOn w:val="BodyText"/>
    <w:rsid w:val="00E972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217"/>
    <w:pPr>
      <w:framePr w:wrap="auto" w:hAnchor="text" w:y="6049"/>
    </w:pPr>
    <w:rPr>
      <w:color w:val="000000"/>
      <w:sz w:val="40"/>
    </w:rPr>
  </w:style>
  <w:style w:type="paragraph" w:customStyle="1" w:styleId="TOCTitle">
    <w:name w:val="TOCTitle"/>
    <w:basedOn w:val="Heading1"/>
    <w:rsid w:val="00E97217"/>
    <w:pPr>
      <w:spacing w:after="240"/>
      <w:jc w:val="center"/>
      <w:outlineLvl w:val="9"/>
    </w:pPr>
    <w:rPr>
      <w:caps/>
    </w:rPr>
  </w:style>
  <w:style w:type="paragraph" w:customStyle="1" w:styleId="Version">
    <w:name w:val="Version"/>
    <w:rsid w:val="00E972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217"/>
    <w:pPr>
      <w:keepNext w:val="0"/>
      <w:tabs>
        <w:tab w:val="right" w:pos="4176"/>
      </w:tabs>
      <w:ind w:left="198" w:hanging="198"/>
    </w:pPr>
    <w:rPr>
      <w:rFonts w:ascii="Garamond" w:hAnsi="Garamond"/>
    </w:rPr>
  </w:style>
  <w:style w:type="paragraph" w:styleId="IndexHeading">
    <w:name w:val="index heading"/>
    <w:basedOn w:val="Normal"/>
    <w:next w:val="Index1"/>
    <w:semiHidden/>
    <w:rsid w:val="00E97217"/>
    <w:pPr>
      <w:spacing w:before="120" w:after="120"/>
    </w:pPr>
    <w:rPr>
      <w:rFonts w:ascii="Arial" w:hAnsi="Arial"/>
      <w:b/>
      <w:color w:val="918585"/>
      <w:sz w:val="24"/>
    </w:rPr>
  </w:style>
  <w:style w:type="paragraph" w:customStyle="1" w:styleId="Chapter">
    <w:name w:val="Chapter"/>
    <w:basedOn w:val="Normal"/>
    <w:rsid w:val="00E97217"/>
    <w:pPr>
      <w:spacing w:before="240"/>
    </w:pPr>
    <w:rPr>
      <w:rFonts w:ascii="Times New Roman" w:hAnsi="Times New Roman"/>
      <w:smallCaps/>
      <w:spacing w:val="80"/>
      <w:sz w:val="28"/>
    </w:rPr>
  </w:style>
  <w:style w:type="paragraph" w:customStyle="1" w:styleId="InChapter">
    <w:name w:val="InChapter"/>
    <w:basedOn w:val="Heading3"/>
    <w:rsid w:val="00E97217"/>
    <w:pPr>
      <w:spacing w:after="240"/>
      <w:outlineLvl w:val="9"/>
    </w:pPr>
    <w:rPr>
      <w:noProof/>
    </w:rPr>
  </w:style>
  <w:style w:type="paragraph" w:styleId="Index2">
    <w:name w:val="index 2"/>
    <w:basedOn w:val="Normal"/>
    <w:next w:val="Normal"/>
    <w:semiHidden/>
    <w:rsid w:val="00E97217"/>
    <w:pPr>
      <w:tabs>
        <w:tab w:val="right" w:pos="4176"/>
      </w:tabs>
      <w:ind w:left="568" w:hanging="284"/>
    </w:pPr>
    <w:rPr>
      <w:rFonts w:ascii="Garamond" w:hAnsi="Garamond"/>
    </w:rPr>
  </w:style>
  <w:style w:type="paragraph" w:customStyle="1" w:styleId="Byline">
    <w:name w:val="Byline"/>
    <w:rsid w:val="00E97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217"/>
    <w:pPr>
      <w:tabs>
        <w:tab w:val="clear" w:pos="3600"/>
        <w:tab w:val="clear" w:pos="3958"/>
      </w:tabs>
      <w:jc w:val="right"/>
    </w:pPr>
  </w:style>
  <w:style w:type="character" w:styleId="Emphasis">
    <w:name w:val="Emphasis"/>
    <w:basedOn w:val="DefaultParagraphFont"/>
    <w:qFormat/>
    <w:rsid w:val="00E97217"/>
    <w:rPr>
      <w:i/>
    </w:rPr>
  </w:style>
  <w:style w:type="paragraph" w:styleId="Caption">
    <w:name w:val="caption"/>
    <w:basedOn w:val="BodyText"/>
    <w:next w:val="Normal"/>
    <w:qFormat/>
    <w:rsid w:val="00E97217"/>
    <w:pPr>
      <w:framePr w:w="2268" w:hSpace="181" w:vSpace="181" w:wrap="around" w:vAnchor="text" w:hAnchor="page" w:x="1135" w:y="285" w:anchorLock="1"/>
    </w:pPr>
    <w:rPr>
      <w:i/>
    </w:rPr>
  </w:style>
  <w:style w:type="paragraph" w:customStyle="1" w:styleId="MiniTOCTitle">
    <w:name w:val="MiniTOCTitle"/>
    <w:basedOn w:val="Heading4"/>
    <w:rsid w:val="00E97217"/>
    <w:pPr>
      <w:spacing w:before="240"/>
      <w:outlineLvl w:val="9"/>
    </w:pPr>
    <w:rPr>
      <w:noProof/>
      <w:sz w:val="24"/>
    </w:rPr>
  </w:style>
  <w:style w:type="paragraph" w:customStyle="1" w:styleId="MiniTOCItem">
    <w:name w:val="MiniTOCItem"/>
    <w:basedOn w:val="ListBullet"/>
    <w:rsid w:val="00E97217"/>
    <w:pPr>
      <w:numPr>
        <w:numId w:val="0"/>
      </w:numPr>
      <w:tabs>
        <w:tab w:val="right" w:leader="dot" w:pos="6521"/>
      </w:tabs>
      <w:spacing w:before="0" w:after="0"/>
    </w:pPr>
  </w:style>
  <w:style w:type="paragraph" w:customStyle="1" w:styleId="TOFTitle">
    <w:name w:val="TOFTitle"/>
    <w:basedOn w:val="TOCTitle"/>
    <w:rsid w:val="00E97217"/>
  </w:style>
  <w:style w:type="paragraph" w:styleId="TableofFigures">
    <w:name w:val="table of figures"/>
    <w:basedOn w:val="Normal"/>
    <w:next w:val="Normal"/>
    <w:semiHidden/>
    <w:rsid w:val="00E97217"/>
    <w:pPr>
      <w:tabs>
        <w:tab w:val="right" w:leader="dot" w:pos="9072"/>
      </w:tabs>
      <w:ind w:left="970" w:hanging="403"/>
    </w:pPr>
    <w:rPr>
      <w:rFonts w:ascii="Times New Roman" w:hAnsi="Times New Roman"/>
      <w:b/>
    </w:rPr>
  </w:style>
  <w:style w:type="paragraph" w:styleId="ListNumber">
    <w:name w:val="List Number"/>
    <w:basedOn w:val="List"/>
    <w:rsid w:val="00E97217"/>
    <w:pPr>
      <w:numPr>
        <w:numId w:val="11"/>
      </w:numPr>
    </w:pPr>
  </w:style>
  <w:style w:type="character" w:customStyle="1" w:styleId="WingdingSymbols">
    <w:name w:val="Wingding Symbols"/>
    <w:rsid w:val="00E97217"/>
    <w:rPr>
      <w:rFonts w:ascii="Wingdings" w:hAnsi="Wingdings"/>
    </w:rPr>
  </w:style>
  <w:style w:type="paragraph" w:customStyle="1" w:styleId="TableHeading">
    <w:name w:val="Table Heading"/>
    <w:basedOn w:val="HeadingBase"/>
    <w:rsid w:val="00E97217"/>
    <w:pPr>
      <w:keepLines/>
      <w:pBdr>
        <w:bottom w:val="single" w:sz="6" w:space="1" w:color="918585"/>
      </w:pBdr>
      <w:spacing w:before="240"/>
    </w:pPr>
  </w:style>
  <w:style w:type="character" w:customStyle="1" w:styleId="HotSpot">
    <w:name w:val="HotSpot"/>
    <w:rsid w:val="00E97217"/>
    <w:rPr>
      <w:color w:val="0033CC"/>
      <w:u w:val="none"/>
    </w:rPr>
  </w:style>
  <w:style w:type="paragraph" w:customStyle="1" w:styleId="BodyTextRight">
    <w:name w:val="Body Text Right"/>
    <w:basedOn w:val="BodyText"/>
    <w:rsid w:val="00E97217"/>
    <w:pPr>
      <w:spacing w:before="0" w:after="0"/>
      <w:jc w:val="right"/>
    </w:pPr>
  </w:style>
  <w:style w:type="paragraph" w:styleId="Index3">
    <w:name w:val="index 3"/>
    <w:basedOn w:val="ListNumber2"/>
    <w:next w:val="Normal"/>
    <w:semiHidden/>
    <w:rsid w:val="00E97217"/>
    <w:pPr>
      <w:numPr>
        <w:numId w:val="0"/>
      </w:numPr>
      <w:tabs>
        <w:tab w:val="right" w:leader="dot" w:pos="4176"/>
      </w:tabs>
    </w:pPr>
  </w:style>
  <w:style w:type="paragraph" w:styleId="ListNumber2">
    <w:name w:val="List Number 2"/>
    <w:basedOn w:val="List2"/>
    <w:rsid w:val="00E97217"/>
    <w:pPr>
      <w:numPr>
        <w:numId w:val="10"/>
      </w:numPr>
      <w:tabs>
        <w:tab w:val="clear" w:pos="1060"/>
      </w:tabs>
    </w:pPr>
  </w:style>
  <w:style w:type="paragraph" w:customStyle="1" w:styleId="MarginNote">
    <w:name w:val="Margin Note"/>
    <w:basedOn w:val="BodyText"/>
    <w:rsid w:val="00E97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2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217"/>
    <w:rPr>
      <w:sz w:val="32"/>
    </w:rPr>
  </w:style>
  <w:style w:type="paragraph" w:customStyle="1" w:styleId="HeadingProcedure">
    <w:name w:val="Heading Procedure"/>
    <w:basedOn w:val="HeadingBase"/>
    <w:next w:val="Normal"/>
    <w:rsid w:val="00E97217"/>
    <w:pPr>
      <w:tabs>
        <w:tab w:val="left" w:pos="0"/>
      </w:tabs>
      <w:spacing w:before="120" w:after="60"/>
    </w:pPr>
    <w:rPr>
      <w:i/>
      <w:color w:val="918585"/>
      <w:sz w:val="22"/>
    </w:rPr>
  </w:style>
  <w:style w:type="paragraph" w:customStyle="1" w:styleId="TableBodyText">
    <w:name w:val="Table Body Text"/>
    <w:basedOn w:val="BodyText"/>
    <w:rsid w:val="00E97217"/>
    <w:pPr>
      <w:spacing w:before="60" w:after="60"/>
    </w:pPr>
  </w:style>
  <w:style w:type="paragraph" w:styleId="ListContinue">
    <w:name w:val="List Continue"/>
    <w:basedOn w:val="List"/>
    <w:rsid w:val="00E97217"/>
    <w:pPr>
      <w:ind w:firstLine="0"/>
    </w:pPr>
  </w:style>
  <w:style w:type="paragraph" w:customStyle="1" w:styleId="ListNote">
    <w:name w:val="List Note"/>
    <w:basedOn w:val="List"/>
    <w:rsid w:val="00E97217"/>
    <w:pPr>
      <w:pBdr>
        <w:top w:val="single" w:sz="6" w:space="2" w:color="918585"/>
        <w:bottom w:val="single" w:sz="6" w:space="2" w:color="918585"/>
      </w:pBdr>
      <w:tabs>
        <w:tab w:val="left" w:pos="1021"/>
      </w:tabs>
      <w:ind w:firstLine="0"/>
    </w:pPr>
  </w:style>
  <w:style w:type="paragraph" w:customStyle="1" w:styleId="Warning">
    <w:name w:val="Warning"/>
    <w:basedOn w:val="BodyText"/>
    <w:rsid w:val="00E97217"/>
    <w:pPr>
      <w:shd w:val="clear" w:color="auto" w:fill="D9D9D9"/>
      <w:tabs>
        <w:tab w:val="left" w:pos="992"/>
      </w:tabs>
      <w:ind w:left="119" w:right="119"/>
    </w:pPr>
    <w:rPr>
      <w:sz w:val="20"/>
    </w:rPr>
  </w:style>
  <w:style w:type="paragraph" w:customStyle="1" w:styleId="MarginIcons">
    <w:name w:val="Margin Icons"/>
    <w:basedOn w:val="BodyText"/>
    <w:rsid w:val="00E972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217"/>
    <w:rPr>
      <w:rFonts w:ascii="Courier New" w:hAnsi="Courier New"/>
    </w:rPr>
  </w:style>
  <w:style w:type="paragraph" w:customStyle="1" w:styleId="NoteBullet">
    <w:name w:val="Note Bullet"/>
    <w:basedOn w:val="Note"/>
    <w:rsid w:val="00E97217"/>
    <w:pPr>
      <w:tabs>
        <w:tab w:val="clear" w:pos="680"/>
      </w:tabs>
      <w:spacing w:before="60" w:after="60"/>
    </w:pPr>
  </w:style>
  <w:style w:type="paragraph" w:customStyle="1" w:styleId="SubHeading2">
    <w:name w:val="SubHeading2"/>
    <w:basedOn w:val="HeadingBase"/>
    <w:rsid w:val="00E97217"/>
    <w:pPr>
      <w:spacing w:before="240" w:after="60"/>
    </w:pPr>
    <w:rPr>
      <w:sz w:val="20"/>
    </w:rPr>
  </w:style>
  <w:style w:type="paragraph" w:customStyle="1" w:styleId="SubHeading1">
    <w:name w:val="SubHeading1"/>
    <w:basedOn w:val="HeadingBase"/>
    <w:rsid w:val="00E97217"/>
    <w:pPr>
      <w:spacing w:before="240" w:after="60"/>
    </w:pPr>
    <w:rPr>
      <w:color w:val="918585"/>
      <w:sz w:val="22"/>
    </w:rPr>
  </w:style>
  <w:style w:type="paragraph" w:customStyle="1" w:styleId="SideHeading">
    <w:name w:val="Side Heading"/>
    <w:basedOn w:val="HeadingBase"/>
    <w:rsid w:val="00E97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217"/>
    <w:pPr>
      <w:numPr>
        <w:numId w:val="12"/>
      </w:numPr>
    </w:pPr>
  </w:style>
  <w:style w:type="paragraph" w:styleId="PlainText">
    <w:name w:val="Plain Text"/>
    <w:basedOn w:val="Normal"/>
    <w:link w:val="PlainTextChar"/>
    <w:rsid w:val="00E97217"/>
    <w:rPr>
      <w:sz w:val="20"/>
    </w:rPr>
  </w:style>
  <w:style w:type="character" w:customStyle="1" w:styleId="PlainTextChar">
    <w:name w:val="Plain Text Char"/>
    <w:basedOn w:val="DefaultParagraphFont"/>
    <w:link w:val="PlainText"/>
    <w:rsid w:val="00E972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7217"/>
    <w:rPr>
      <w:b/>
      <w:smallCaps/>
    </w:rPr>
  </w:style>
  <w:style w:type="paragraph" w:customStyle="1" w:styleId="TableListNumber">
    <w:name w:val="Table List Number"/>
    <w:basedOn w:val="ListNumber"/>
    <w:rsid w:val="00E97217"/>
    <w:pPr>
      <w:numPr>
        <w:numId w:val="0"/>
      </w:numPr>
    </w:pPr>
  </w:style>
  <w:style w:type="paragraph" w:styleId="TOC4">
    <w:name w:val="toc 4"/>
    <w:basedOn w:val="TOCBase"/>
    <w:next w:val="Normal"/>
    <w:semiHidden/>
    <w:rsid w:val="00E97217"/>
    <w:pPr>
      <w:tabs>
        <w:tab w:val="right" w:leader="dot" w:pos="9071"/>
      </w:tabs>
      <w:ind w:left="1701"/>
    </w:pPr>
  </w:style>
  <w:style w:type="paragraph" w:customStyle="1" w:styleId="ListAlpha">
    <w:name w:val="List Alpha"/>
    <w:basedOn w:val="List"/>
    <w:rsid w:val="00E97217"/>
    <w:pPr>
      <w:numPr>
        <w:numId w:val="9"/>
      </w:numPr>
    </w:pPr>
  </w:style>
  <w:style w:type="paragraph" w:customStyle="1" w:styleId="ListAlpha2">
    <w:name w:val="List Alpha 2"/>
    <w:basedOn w:val="List2"/>
    <w:rsid w:val="00E97217"/>
    <w:pPr>
      <w:numPr>
        <w:numId w:val="8"/>
      </w:numPr>
    </w:pPr>
  </w:style>
  <w:style w:type="paragraph" w:styleId="List3">
    <w:name w:val="List 3"/>
    <w:basedOn w:val="BodyText"/>
    <w:rsid w:val="00E97217"/>
    <w:pPr>
      <w:tabs>
        <w:tab w:val="left" w:pos="1021"/>
      </w:tabs>
      <w:spacing w:before="60" w:after="60"/>
      <w:ind w:left="1020" w:hanging="340"/>
    </w:pPr>
  </w:style>
  <w:style w:type="paragraph" w:styleId="List4">
    <w:name w:val="List 4"/>
    <w:basedOn w:val="BodyText"/>
    <w:rsid w:val="00E97217"/>
    <w:pPr>
      <w:tabs>
        <w:tab w:val="left" w:pos="1361"/>
      </w:tabs>
      <w:spacing w:before="60" w:after="60"/>
      <w:ind w:left="1361" w:hanging="340"/>
    </w:pPr>
  </w:style>
  <w:style w:type="paragraph" w:styleId="List5">
    <w:name w:val="List 5"/>
    <w:basedOn w:val="BodyText"/>
    <w:rsid w:val="00E97217"/>
    <w:pPr>
      <w:tabs>
        <w:tab w:val="left" w:pos="1701"/>
      </w:tabs>
      <w:spacing w:before="60" w:after="60"/>
      <w:ind w:left="1701" w:hanging="340"/>
    </w:pPr>
  </w:style>
  <w:style w:type="paragraph" w:styleId="ListBullet3">
    <w:name w:val="List Bullet 3"/>
    <w:basedOn w:val="List3"/>
    <w:rsid w:val="00E97217"/>
    <w:pPr>
      <w:numPr>
        <w:numId w:val="15"/>
      </w:numPr>
      <w:tabs>
        <w:tab w:val="clear" w:pos="1021"/>
      </w:tabs>
      <w:ind w:left="1037" w:hanging="357"/>
    </w:pPr>
  </w:style>
  <w:style w:type="paragraph" w:styleId="ListBullet4">
    <w:name w:val="List Bullet 4"/>
    <w:basedOn w:val="List4"/>
    <w:rsid w:val="00E97217"/>
    <w:pPr>
      <w:numPr>
        <w:numId w:val="3"/>
      </w:numPr>
    </w:pPr>
  </w:style>
  <w:style w:type="paragraph" w:styleId="ListBullet5">
    <w:name w:val="List Bullet 5"/>
    <w:basedOn w:val="List5"/>
    <w:rsid w:val="00E97217"/>
    <w:pPr>
      <w:numPr>
        <w:numId w:val="4"/>
      </w:numPr>
    </w:pPr>
  </w:style>
  <w:style w:type="paragraph" w:styleId="ListContinue2">
    <w:name w:val="List Continue 2"/>
    <w:basedOn w:val="List2"/>
    <w:rsid w:val="00E97217"/>
    <w:pPr>
      <w:ind w:firstLine="0"/>
    </w:pPr>
  </w:style>
  <w:style w:type="paragraph" w:styleId="ListContinue3">
    <w:name w:val="List Continue 3"/>
    <w:basedOn w:val="List3"/>
    <w:rsid w:val="00E97217"/>
    <w:pPr>
      <w:ind w:left="1021" w:firstLine="0"/>
    </w:pPr>
  </w:style>
  <w:style w:type="paragraph" w:styleId="ListContinue4">
    <w:name w:val="List Continue 4"/>
    <w:basedOn w:val="List4"/>
    <w:rsid w:val="00E97217"/>
    <w:pPr>
      <w:ind w:firstLine="0"/>
    </w:pPr>
  </w:style>
  <w:style w:type="paragraph" w:styleId="ListContinue5">
    <w:name w:val="List Continue 5"/>
    <w:basedOn w:val="List5"/>
    <w:rsid w:val="00E97217"/>
    <w:pPr>
      <w:ind w:firstLine="0"/>
    </w:pPr>
  </w:style>
  <w:style w:type="paragraph" w:styleId="ListNumber3">
    <w:name w:val="List Number 3"/>
    <w:basedOn w:val="List3"/>
    <w:rsid w:val="00E97217"/>
    <w:pPr>
      <w:numPr>
        <w:numId w:val="5"/>
      </w:numPr>
    </w:pPr>
  </w:style>
  <w:style w:type="paragraph" w:styleId="ListNumber4">
    <w:name w:val="List Number 4"/>
    <w:basedOn w:val="List4"/>
    <w:rsid w:val="00E97217"/>
    <w:pPr>
      <w:numPr>
        <w:numId w:val="6"/>
      </w:numPr>
    </w:pPr>
  </w:style>
  <w:style w:type="paragraph" w:styleId="ListNumber5">
    <w:name w:val="List Number 5"/>
    <w:basedOn w:val="List5"/>
    <w:rsid w:val="00E97217"/>
    <w:pPr>
      <w:numPr>
        <w:numId w:val="7"/>
      </w:numPr>
    </w:pPr>
  </w:style>
  <w:style w:type="paragraph" w:styleId="BlockText">
    <w:name w:val="Block Text"/>
    <w:basedOn w:val="Normal"/>
    <w:rsid w:val="00E97217"/>
    <w:pPr>
      <w:spacing w:after="120"/>
      <w:ind w:left="1440" w:right="1440"/>
    </w:pPr>
  </w:style>
  <w:style w:type="character" w:customStyle="1" w:styleId="Subscript">
    <w:name w:val="Subscript"/>
    <w:basedOn w:val="DefaultParagraphFont"/>
    <w:rsid w:val="00E97217"/>
    <w:rPr>
      <w:sz w:val="16"/>
      <w:vertAlign w:val="subscript"/>
    </w:rPr>
  </w:style>
  <w:style w:type="character" w:customStyle="1" w:styleId="Superscript">
    <w:name w:val="Superscript"/>
    <w:basedOn w:val="DefaultParagraphFont"/>
    <w:rsid w:val="00E97217"/>
    <w:rPr>
      <w:sz w:val="16"/>
      <w:vertAlign w:val="superscript"/>
    </w:rPr>
  </w:style>
  <w:style w:type="character" w:customStyle="1" w:styleId="Symbols">
    <w:name w:val="Symbols"/>
    <w:basedOn w:val="DefaultParagraphFont"/>
    <w:rsid w:val="00E97217"/>
    <w:rPr>
      <w:rFonts w:ascii="Symbol" w:hAnsi="Symbol"/>
    </w:rPr>
  </w:style>
  <w:style w:type="character" w:customStyle="1" w:styleId="MenuOptions">
    <w:name w:val="Menu Options"/>
    <w:basedOn w:val="DefaultParagraphFont"/>
    <w:rsid w:val="00E97217"/>
    <w:rPr>
      <w:rFonts w:ascii="Arial Narrow" w:hAnsi="Arial Narrow"/>
      <w:smallCaps/>
    </w:rPr>
  </w:style>
  <w:style w:type="character" w:customStyle="1" w:styleId="Buttons">
    <w:name w:val="Buttons"/>
    <w:basedOn w:val="DefaultParagraphFont"/>
    <w:rsid w:val="00E97217"/>
    <w:rPr>
      <w:b/>
    </w:rPr>
  </w:style>
  <w:style w:type="character" w:customStyle="1" w:styleId="Underlined">
    <w:name w:val="Underlined"/>
    <w:basedOn w:val="DefaultParagraphFont"/>
    <w:rsid w:val="00E97217"/>
    <w:rPr>
      <w:u w:val="single"/>
    </w:rPr>
  </w:style>
  <w:style w:type="paragraph" w:customStyle="1" w:styleId="TableBodyTextRight">
    <w:name w:val="Table Body Text Right"/>
    <w:basedOn w:val="TableBodyText"/>
    <w:rsid w:val="00E97217"/>
    <w:pPr>
      <w:widowControl w:val="0"/>
      <w:autoSpaceDE w:val="0"/>
      <w:autoSpaceDN w:val="0"/>
      <w:adjustRightInd w:val="0"/>
      <w:jc w:val="right"/>
    </w:pPr>
    <w:rPr>
      <w:rFonts w:cs="Arial"/>
      <w:szCs w:val="18"/>
    </w:rPr>
  </w:style>
  <w:style w:type="paragraph" w:customStyle="1" w:styleId="CopyrightText">
    <w:name w:val="Copyright Text"/>
    <w:basedOn w:val="BodyText"/>
    <w:rsid w:val="00E97217"/>
    <w:rPr>
      <w:sz w:val="18"/>
    </w:rPr>
  </w:style>
  <w:style w:type="paragraph" w:customStyle="1" w:styleId="BodySmallRight">
    <w:name w:val="Body Small Right"/>
    <w:basedOn w:val="BodyTextRight"/>
    <w:rsid w:val="00E97217"/>
    <w:rPr>
      <w:sz w:val="18"/>
      <w:szCs w:val="18"/>
    </w:rPr>
  </w:style>
  <w:style w:type="paragraph" w:customStyle="1" w:styleId="MarginEdition">
    <w:name w:val="Margin Edition"/>
    <w:basedOn w:val="MarginNote"/>
    <w:rsid w:val="00E97217"/>
    <w:pPr>
      <w:spacing w:before="0" w:after="0"/>
    </w:pPr>
    <w:rPr>
      <w:rFonts w:ascii="Times New Roman" w:hAnsi="Times New Roman"/>
      <w:color w:val="999999"/>
    </w:rPr>
  </w:style>
  <w:style w:type="paragraph" w:customStyle="1" w:styleId="Spacer">
    <w:name w:val="Spacer"/>
    <w:basedOn w:val="Normal"/>
    <w:rsid w:val="00E97217"/>
    <w:rPr>
      <w:sz w:val="2"/>
      <w:szCs w:val="2"/>
    </w:rPr>
  </w:style>
  <w:style w:type="character" w:customStyle="1" w:styleId="Small">
    <w:name w:val="Small"/>
    <w:basedOn w:val="DefaultParagraphFont"/>
    <w:rsid w:val="00E97217"/>
    <w:rPr>
      <w:sz w:val="16"/>
    </w:rPr>
  </w:style>
  <w:style w:type="paragraph" w:customStyle="1" w:styleId="WideTable">
    <w:name w:val="Wide Table"/>
    <w:basedOn w:val="Normal"/>
    <w:rsid w:val="00E97217"/>
    <w:pPr>
      <w:ind w:left="-1418"/>
    </w:pPr>
    <w:rPr>
      <w:sz w:val="2"/>
      <w:szCs w:val="2"/>
    </w:rPr>
  </w:style>
  <w:style w:type="character" w:styleId="PageNumber">
    <w:name w:val="page number"/>
    <w:basedOn w:val="DefaultParagraphFont"/>
    <w:rsid w:val="00E97217"/>
  </w:style>
  <w:style w:type="paragraph" w:styleId="Quote">
    <w:name w:val="Quote"/>
    <w:basedOn w:val="Heading1"/>
    <w:link w:val="QuoteChar"/>
    <w:qFormat/>
    <w:rsid w:val="00E97217"/>
    <w:rPr>
      <w:b w:val="0"/>
      <w:sz w:val="72"/>
      <w:szCs w:val="72"/>
      <w:lang w:val="en-NZ"/>
    </w:rPr>
  </w:style>
  <w:style w:type="character" w:customStyle="1" w:styleId="QuoteChar">
    <w:name w:val="Quote Char"/>
    <w:basedOn w:val="DefaultParagraphFont"/>
    <w:link w:val="Quote"/>
    <w:rsid w:val="00E97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217"/>
    <w:pPr>
      <w:pageBreakBefore/>
    </w:pPr>
  </w:style>
  <w:style w:type="paragraph" w:customStyle="1" w:styleId="Border">
    <w:name w:val="Border"/>
    <w:basedOn w:val="Normal"/>
    <w:qFormat/>
    <w:rsid w:val="00E972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217"/>
    <w:rPr>
      <w:b/>
      <w:bCs/>
      <w:i/>
      <w:iCs/>
      <w:color w:val="auto"/>
    </w:rPr>
  </w:style>
  <w:style w:type="paragraph" w:styleId="IntenseQuote">
    <w:name w:val="Intense Quote"/>
    <w:basedOn w:val="Normal"/>
    <w:next w:val="Normal"/>
    <w:link w:val="IntenseQuoteChar"/>
    <w:uiPriority w:val="30"/>
    <w:qFormat/>
    <w:rsid w:val="00E972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2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7217"/>
    <w:rPr>
      <w:smallCaps/>
      <w:color w:val="auto"/>
      <w:u w:val="single"/>
    </w:rPr>
  </w:style>
  <w:style w:type="character" w:styleId="IntenseReference">
    <w:name w:val="Intense Reference"/>
    <w:basedOn w:val="DefaultParagraphFont"/>
    <w:uiPriority w:val="32"/>
    <w:qFormat/>
    <w:rsid w:val="00E97217"/>
    <w:rPr>
      <w:b/>
      <w:bCs/>
      <w:smallCaps/>
      <w:color w:val="auto"/>
      <w:spacing w:val="5"/>
      <w:u w:val="single"/>
    </w:rPr>
  </w:style>
  <w:style w:type="paragraph" w:customStyle="1" w:styleId="2ColumnHeading">
    <w:name w:val="2Column Heading"/>
    <w:basedOn w:val="BodyText"/>
    <w:qFormat/>
    <w:rsid w:val="00E97217"/>
    <w:pPr>
      <w:spacing w:after="60"/>
      <w:ind w:left="-2268"/>
    </w:pPr>
    <w:rPr>
      <w:b/>
    </w:rPr>
  </w:style>
  <w:style w:type="paragraph" w:customStyle="1" w:styleId="Heading1TOC">
    <w:name w:val="Heading1 TOC"/>
    <w:basedOn w:val="Normal"/>
    <w:qFormat/>
    <w:rsid w:val="00E97217"/>
    <w:pPr>
      <w:spacing w:before="240" w:after="120"/>
    </w:pPr>
    <w:rPr>
      <w:rFonts w:ascii="Times New Roman" w:hAnsi="Times New Roman"/>
      <w:b/>
      <w:sz w:val="32"/>
    </w:rPr>
  </w:style>
  <w:style w:type="paragraph" w:customStyle="1" w:styleId="Heading2TOC">
    <w:name w:val="Heading2 TOC"/>
    <w:basedOn w:val="Normal"/>
    <w:qFormat/>
    <w:rsid w:val="00E97217"/>
    <w:pPr>
      <w:spacing w:before="240" w:after="60"/>
    </w:pPr>
    <w:rPr>
      <w:rFonts w:ascii="Times New Roman" w:hAnsi="Times New Roman"/>
      <w:b/>
      <w:sz w:val="28"/>
    </w:rPr>
  </w:style>
  <w:style w:type="character" w:customStyle="1" w:styleId="Underline">
    <w:name w:val="Underline"/>
    <w:basedOn w:val="DefaultParagraphFont"/>
    <w:qFormat/>
    <w:rsid w:val="00E97217"/>
    <w:rPr>
      <w:u w:val="single"/>
    </w:rPr>
  </w:style>
  <w:style w:type="paragraph" w:styleId="BalloonText">
    <w:name w:val="Balloon Text"/>
    <w:basedOn w:val="Normal"/>
    <w:link w:val="BalloonTextChar"/>
    <w:rsid w:val="00E97217"/>
    <w:rPr>
      <w:rFonts w:ascii="Tahoma" w:hAnsi="Tahoma" w:cs="Tahoma"/>
      <w:sz w:val="16"/>
      <w:szCs w:val="16"/>
    </w:rPr>
  </w:style>
  <w:style w:type="character" w:customStyle="1" w:styleId="BalloonTextChar">
    <w:name w:val="Balloon Text Char"/>
    <w:basedOn w:val="DefaultParagraphFont"/>
    <w:link w:val="BalloonText"/>
    <w:rsid w:val="00E972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2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2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7587</Characters>
  <Application>Microsoft Office Word</Application>
  <DocSecurity>0</DocSecurity>
  <Lines>288</Lines>
  <Paragraphs>164</Paragraphs>
  <ScaleCrop>false</ScaleCrop>
  <Company>Author-it Software Corporation Ltd.</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FNSISV504A Negotiate treaty reinsurance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2012-05-26T16:26:00Z</dcterms:created>
  <dcterms:modified xsi:type="dcterms:W3CDTF">2012-05-26T16:26:00Z</dcterms:modified>
</cp:coreProperties>
</file>