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95E" w:rsidP="00A1295E">
      <w:pPr>
        <w:pStyle w:val="Title"/>
      </w:pPr>
      <w:r>
        <w:fldChar w:fldCharType="begin"/>
      </w:r>
      <w:r>
        <w:instrText xml:space="preserve"> TITLE   \* MERGEFORMAT </w:instrText>
      </w:r>
      <w:r>
        <w:fldChar w:fldCharType="separate"/>
      </w:r>
      <w:r>
        <w:t>FNSISV403A Survey potential risk exposure</w:t>
      </w:r>
      <w:r>
        <w:fldChar w:fldCharType="end"/>
      </w:r>
    </w:p>
    <w:p w:rsidR="00A1295E" w:rsidP="00A1295E">
      <w:pPr>
        <w:pStyle w:val="Version"/>
        <w:sectPr w:rsidSect="00C97C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7CEC" w:rsidP="00C97CEC">
      <w:pPr>
        <w:pStyle w:val="SuperHeading"/>
      </w:pPr>
      <w:r w:rsidRPr="00C97CEC">
        <w:t>FNSISV403A Survey potential risk exposure</w:t>
      </w:r>
    </w:p>
    <w:p w:rsidR="00000000" w:rsidRPr="00C97CEC" w:rsidP="00C97CEC">
      <w:pPr>
        <w:pStyle w:val="SuperHeading"/>
      </w:pPr>
    </w:p>
    <w:p w:rsidR="00000000" w:rsidRPr="00C97CEC" w:rsidP="00C97CEC">
      <w:pPr>
        <w:pStyle w:val="Heading1"/>
      </w:pPr>
      <w:bookmarkStart w:id="1" w:name="O_79503"/>
      <w:bookmarkEnd w:id="1"/>
      <w:r w:rsidRPr="00C97CEC">
        <w:t>Modification History</w:t>
      </w:r>
    </w:p>
    <w:p w:rsidR="00000000" w:rsidRPr="00C97CEC" w:rsidP="00C97CEC">
      <w:pPr>
        <w:pStyle w:val="BodyText"/>
      </w:pPr>
      <w:r w:rsidRPr="00C97CEC">
        <w:t>Not applicable.</w:t>
      </w:r>
    </w:p>
    <w:p w:rsidR="00000000" w:rsidRPr="00C97CEC" w:rsidP="00C97CEC">
      <w:pPr>
        <w:pStyle w:val="AllowPageBreak"/>
      </w:pPr>
    </w:p>
    <w:p w:rsidR="00000000" w:rsidRPr="00C97CEC" w:rsidP="00C97CEC">
      <w:pPr>
        <w:pStyle w:val="Heading1"/>
      </w:pPr>
      <w:bookmarkStart w:id="2" w:name="O_79504"/>
      <w:bookmarkEnd w:id="2"/>
      <w:r w:rsidRPr="00C97CEC">
        <w:t>Unit Descriptor</w:t>
      </w:r>
    </w:p>
    <w:tbl>
      <w:tblPr>
        <w:tblW w:w="0" w:type="auto"/>
        <w:tblLayout w:type="fixed"/>
        <w:tblCellMar>
          <w:left w:w="62" w:type="dxa"/>
          <w:right w:w="62" w:type="dxa"/>
        </w:tblCellMar>
        <w:tblLook w:val="0000"/>
      </w:tblPr>
      <w:tblGrid>
        <w:gridCol w:w="2634"/>
        <w:gridCol w:w="5888"/>
      </w:tblGrid>
      <w:tr w:rsidTr="00A1295E">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r w:rsidRPr="00C97CEC">
              <w:t>This unit describes the performance outcomes, skills and knowledge required to survey risk exposure including e</w:t>
            </w:r>
            <w:r w:rsidRPr="00C97CEC">
              <w:t>xamination of risk, analysis of data, reporting and making recommendations specifying loss control measures.</w:t>
            </w:r>
          </w:p>
          <w:p w:rsidR="00000000" w:rsidRPr="00C97CEC" w:rsidP="00C97CEC">
            <w:pPr>
              <w:pStyle w:val="BodyText"/>
            </w:pPr>
          </w:p>
          <w:p w:rsidR="00000000" w:rsidRPr="00C97CEC" w:rsidP="00C97CEC">
            <w:pPr>
              <w:pStyle w:val="BodyText"/>
            </w:pPr>
            <w:r w:rsidRPr="00C97CEC">
              <w:t>This unit is applicable to individuals working within enterprises and job roles subject to licensing, legislative, regulatory or certification req</w:t>
            </w:r>
            <w:r w:rsidRPr="00C97CEC">
              <w:t>uirements including legislation administered by the Australian Securities and Investments Commission (ASIC).</w:t>
            </w:r>
          </w:p>
        </w:tc>
      </w:tr>
    </w:tbl>
    <w:p w:rsidR="00000000" w:rsidRPr="00C97CEC" w:rsidP="00C97CEC">
      <w:pPr>
        <w:pStyle w:val="BodyText"/>
      </w:pPr>
    </w:p>
    <w:p w:rsidR="00000000" w:rsidRPr="00C97CEC" w:rsidP="00C97CEC">
      <w:pPr>
        <w:pStyle w:val="AllowPageBreak"/>
      </w:pPr>
    </w:p>
    <w:p w:rsidR="00000000" w:rsidRPr="00C97CEC" w:rsidP="00C97CEC">
      <w:pPr>
        <w:pStyle w:val="Heading1"/>
      </w:pPr>
      <w:bookmarkStart w:id="3" w:name="O_79505"/>
      <w:bookmarkEnd w:id="3"/>
      <w:r w:rsidRPr="00C97CEC">
        <w:t>Application of the Unit</w:t>
      </w:r>
    </w:p>
    <w:tbl>
      <w:tblPr>
        <w:tblW w:w="0" w:type="auto"/>
        <w:tblLayout w:type="fixed"/>
        <w:tblCellMar>
          <w:left w:w="62" w:type="dxa"/>
          <w:right w:w="62" w:type="dxa"/>
        </w:tblCellMar>
        <w:tblLook w:val="0000"/>
      </w:tblPr>
      <w:tblGrid>
        <w:gridCol w:w="2721"/>
        <w:gridCol w:w="5801"/>
      </w:tblGrid>
      <w:tr w:rsidTr="00A1295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r w:rsidRPr="00C97CEC">
              <w:t>This unit applies to underwriting job roles in a range of insurance sectors and may be applied within organisations of various sizes and across a range of customer bases.</w:t>
            </w:r>
          </w:p>
        </w:tc>
      </w:tr>
    </w:tbl>
    <w:p w:rsidR="00000000" w:rsidRPr="00C97CEC" w:rsidP="00C97CEC">
      <w:pPr>
        <w:pStyle w:val="BodyText"/>
      </w:pPr>
    </w:p>
    <w:p w:rsidR="00000000" w:rsidRPr="00C97CEC" w:rsidP="00C97CEC">
      <w:pPr>
        <w:pStyle w:val="AllowPageBreak"/>
      </w:pPr>
    </w:p>
    <w:p w:rsidR="00000000" w:rsidRPr="00C97CEC" w:rsidP="00C97CEC">
      <w:pPr>
        <w:pStyle w:val="Heading1"/>
      </w:pPr>
      <w:bookmarkStart w:id="4" w:name="O_79506"/>
      <w:bookmarkEnd w:id="4"/>
      <w:r w:rsidRPr="00C97CEC">
        <w:t>Licensing/Regulatory Information</w:t>
      </w:r>
    </w:p>
    <w:p w:rsidR="00000000" w:rsidRPr="00C97CEC" w:rsidP="00C97CEC">
      <w:pPr>
        <w:pStyle w:val="BodyText"/>
      </w:pPr>
      <w:r w:rsidRPr="00C97CEC">
        <w:t>Not applicable.</w:t>
      </w:r>
    </w:p>
    <w:p w:rsidR="00000000" w:rsidRPr="00C97CEC" w:rsidP="00C97CEC">
      <w:pPr>
        <w:pStyle w:val="AllowPageBreak"/>
      </w:pPr>
    </w:p>
    <w:p w:rsidR="00000000" w:rsidRPr="00C97CEC" w:rsidP="00C97CEC">
      <w:pPr>
        <w:pStyle w:val="Heading1"/>
      </w:pPr>
      <w:bookmarkStart w:id="5" w:name="O_79508"/>
      <w:bookmarkEnd w:id="5"/>
      <w:r w:rsidRPr="00C97CEC">
        <w:t>Pre-Requisites</w:t>
      </w:r>
    </w:p>
    <w:tbl>
      <w:tblPr>
        <w:tblW w:w="0" w:type="auto"/>
        <w:tblLayout w:type="fixed"/>
        <w:tblCellMar>
          <w:left w:w="62" w:type="dxa"/>
          <w:right w:w="62" w:type="dxa"/>
        </w:tblCellMar>
        <w:tblLook w:val="0000"/>
      </w:tblPr>
      <w:tblGrid>
        <w:gridCol w:w="2745"/>
        <w:gridCol w:w="1301"/>
        <w:gridCol w:w="4476"/>
      </w:tblGrid>
      <w:tr w:rsidTr="00A1295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p>
        </w:tc>
      </w:tr>
      <w:tr w:rsidTr="00A1295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p>
        </w:tc>
      </w:tr>
      <w:tr w:rsidTr="00A1295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p>
        </w:tc>
      </w:tr>
    </w:tbl>
    <w:p w:rsidR="00000000" w:rsidRPr="00C97CEC" w:rsidP="00C97CEC">
      <w:pPr>
        <w:pStyle w:val="BodyText"/>
      </w:pPr>
    </w:p>
    <w:p w:rsidR="00000000" w:rsidRPr="00C97CEC" w:rsidP="00C97CEC">
      <w:pPr>
        <w:pStyle w:val="AllowPageBreak"/>
      </w:pPr>
    </w:p>
    <w:p w:rsidR="00000000" w:rsidRPr="00C97CEC" w:rsidP="00C97CEC">
      <w:pPr>
        <w:pStyle w:val="Heading1"/>
      </w:pPr>
      <w:bookmarkStart w:id="6" w:name="O_79507"/>
      <w:bookmarkEnd w:id="6"/>
      <w:r w:rsidRPr="00C97CEC">
        <w:t>Employability Skills Information</w:t>
      </w:r>
    </w:p>
    <w:tbl>
      <w:tblPr>
        <w:tblW w:w="0" w:type="auto"/>
        <w:tblLayout w:type="fixed"/>
        <w:tblCellMar>
          <w:left w:w="62" w:type="dxa"/>
          <w:right w:w="62" w:type="dxa"/>
        </w:tblCellMar>
        <w:tblLook w:val="0000"/>
      </w:tblPr>
      <w:tblGrid>
        <w:gridCol w:w="2762"/>
        <w:gridCol w:w="5760"/>
      </w:tblGrid>
      <w:tr w:rsidTr="00A1295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r w:rsidRPr="00C97CEC">
              <w:t>This unit contains employability skills.</w:t>
            </w:r>
          </w:p>
        </w:tc>
      </w:tr>
    </w:tbl>
    <w:p w:rsidR="00000000" w:rsidRPr="00C97CEC" w:rsidP="00C97CEC">
      <w:pPr>
        <w:pStyle w:val="BodyText"/>
      </w:pPr>
    </w:p>
    <w:p w:rsidR="00000000" w:rsidRPr="00C97CEC" w:rsidP="00C97CEC">
      <w:pPr>
        <w:pStyle w:val="AllowPageBreak"/>
      </w:pPr>
    </w:p>
    <w:p w:rsidR="00000000" w:rsidRPr="00C97CEC" w:rsidP="00C97CEC">
      <w:pPr>
        <w:pStyle w:val="Heading1"/>
      </w:pPr>
      <w:bookmarkStart w:id="7" w:name="O_79509"/>
      <w:bookmarkEnd w:id="7"/>
      <w:r w:rsidRPr="00C97CEC">
        <w:t>Elements and Performance Criteria Pre-Content</w:t>
      </w:r>
    </w:p>
    <w:tbl>
      <w:tblPr>
        <w:tblW w:w="0" w:type="auto"/>
        <w:tblLayout w:type="fixed"/>
        <w:tblCellMar>
          <w:left w:w="62" w:type="dxa"/>
          <w:right w:w="62" w:type="dxa"/>
        </w:tblCellMar>
        <w:tblLook w:val="0000"/>
      </w:tblPr>
      <w:tblGrid>
        <w:gridCol w:w="2550"/>
        <w:gridCol w:w="5972"/>
      </w:tblGrid>
      <w:tr w:rsidTr="00A1295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r w:rsidRPr="00C97CEC">
              <w:t>Performance criteria describe the performance needed to demonstrate achievement of the element. Where bold italicised text is used, further information is detailed in the required skills and</w:t>
            </w:r>
            <w:r w:rsidRPr="00C97CEC">
              <w:t xml:space="preserve"> knowledge section and the range statement. Assessment of performance is to be consistent with the evidence guide.</w:t>
            </w:r>
          </w:p>
        </w:tc>
      </w:tr>
    </w:tbl>
    <w:p w:rsidR="00000000" w:rsidRPr="00C97CEC" w:rsidP="00C97CEC">
      <w:pPr>
        <w:pStyle w:val="BodyText"/>
      </w:pPr>
    </w:p>
    <w:p w:rsidR="00000000" w:rsidRPr="00C97CEC" w:rsidP="00C97CEC">
      <w:pPr>
        <w:pStyle w:val="AllowPageBreak"/>
      </w:pPr>
    </w:p>
    <w:p w:rsidR="00000000" w:rsidRPr="00C97CEC" w:rsidP="00C97CEC">
      <w:pPr>
        <w:pStyle w:val="Heading1"/>
      </w:pPr>
      <w:bookmarkStart w:id="8" w:name="O_79510"/>
      <w:bookmarkEnd w:id="8"/>
      <w:r w:rsidRPr="00C97CEC">
        <w:t>Elements and Performance Criteria</w:t>
      </w:r>
    </w:p>
    <w:tbl>
      <w:tblPr>
        <w:tblW w:w="0" w:type="auto"/>
        <w:tblLayout w:type="fixed"/>
        <w:tblCellMar>
          <w:left w:w="62" w:type="dxa"/>
          <w:right w:w="62" w:type="dxa"/>
        </w:tblCellMar>
        <w:tblLook w:val="0000"/>
      </w:tblPr>
      <w:tblGrid>
        <w:gridCol w:w="2550"/>
        <w:gridCol w:w="5972"/>
      </w:tblGrid>
      <w:tr w:rsidTr="00A1295E">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r w:rsidRPr="00C97CEC">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PERFORMANCE CRITERIA</w:t>
            </w:r>
          </w:p>
        </w:tc>
      </w:tr>
      <w:tr w:rsidTr="00A1295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List"/>
              <w:rPr>
                <w:lang w:val="en-NZ"/>
              </w:rPr>
            </w:pPr>
            <w:r w:rsidRPr="00C97CEC">
              <w:t>1.</w:t>
            </w:r>
            <w:r w:rsidRPr="00C97CEC">
              <w:tab/>
              <w:t>Determine hazards and exposures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List2"/>
            </w:pPr>
            <w:r w:rsidRPr="00C97CEC">
              <w:t>1.1.</w:t>
            </w:r>
            <w:r w:rsidRPr="00C97CEC">
              <w:tab/>
            </w:r>
            <w:r w:rsidRPr="00C97CEC">
              <w:rPr>
                <w:rStyle w:val="BoldandItalics"/>
              </w:rPr>
              <w:t>Comprehensive physical examination</w:t>
            </w:r>
            <w:r w:rsidRPr="00C97CEC">
              <w:t xml:space="preserve"> of risk is undertaken including </w:t>
            </w:r>
            <w:r w:rsidRPr="00C97CEC">
              <w:rPr>
                <w:rStyle w:val="BoldandItalics"/>
              </w:rPr>
              <w:t>hazard indicators</w:t>
            </w:r>
          </w:p>
          <w:p w:rsidR="00000000" w:rsidP="00C97CEC">
            <w:pPr>
              <w:pStyle w:val="List2"/>
              <w:rPr>
                <w:lang w:val="en-NZ"/>
              </w:rPr>
            </w:pPr>
            <w:r w:rsidRPr="00C97CEC">
              <w:t>1.2.</w:t>
            </w:r>
            <w:r w:rsidRPr="00C97CEC">
              <w:tab/>
              <w:t xml:space="preserve">Client and relevant third parties are interviewed to identify potential </w:t>
            </w:r>
            <w:r w:rsidRPr="00C97CEC">
              <w:rPr>
                <w:rStyle w:val="BoldandItalics"/>
              </w:rPr>
              <w:t>risk</w:t>
            </w:r>
            <w:r w:rsidRPr="00C97CEC">
              <w:t xml:space="preserve"> components</w:t>
            </w:r>
          </w:p>
        </w:tc>
      </w:tr>
      <w:tr w:rsidTr="00A1295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List"/>
              <w:rPr>
                <w:lang w:val="en-NZ"/>
              </w:rPr>
            </w:pPr>
            <w:r w:rsidRPr="00C97CEC">
              <w:t>2.</w:t>
            </w:r>
            <w:r w:rsidRPr="00C97CEC">
              <w:tab/>
              <w:t>Analyse level of hazards and exposures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List2"/>
            </w:pPr>
            <w:r w:rsidRPr="00C97CEC">
              <w:t>2.1.</w:t>
            </w:r>
            <w:r w:rsidRPr="00C97CEC">
              <w:tab/>
              <w:t xml:space="preserve">Risk type is assessed against </w:t>
            </w:r>
            <w:r w:rsidRPr="00C97CEC">
              <w:t>known exposure factors</w:t>
            </w:r>
          </w:p>
          <w:p w:rsidR="00000000" w:rsidRPr="00C97CEC" w:rsidP="00C97CEC">
            <w:pPr>
              <w:pStyle w:val="List2"/>
            </w:pPr>
            <w:r w:rsidRPr="00C97CEC">
              <w:t>2.2.</w:t>
            </w:r>
            <w:r w:rsidRPr="00C97CEC">
              <w:tab/>
              <w:t xml:space="preserve">Risk type is assessed for compliance with </w:t>
            </w:r>
            <w:r w:rsidRPr="00C97CEC">
              <w:rPr>
                <w:rStyle w:val="BoldandItalics"/>
              </w:rPr>
              <w:t>relevant legislation</w:t>
            </w:r>
            <w:r w:rsidRPr="00C97CEC">
              <w:t xml:space="preserve"> and </w:t>
            </w:r>
            <w:r w:rsidRPr="00C97CEC">
              <w:rPr>
                <w:rStyle w:val="BoldandItalics"/>
              </w:rPr>
              <w:t>organisation policy</w:t>
            </w:r>
          </w:p>
          <w:p w:rsidR="00000000" w:rsidRPr="00C97CEC" w:rsidP="00C97CEC">
            <w:pPr>
              <w:pStyle w:val="List2"/>
            </w:pPr>
            <w:r w:rsidRPr="00C97CEC">
              <w:t>2.3.</w:t>
            </w:r>
            <w:r w:rsidRPr="00C97CEC">
              <w:tab/>
              <w:t>Acceptability of risk is determined within organisation underwriting requirements</w:t>
            </w:r>
          </w:p>
          <w:p w:rsidR="00000000" w:rsidP="00C97CEC">
            <w:pPr>
              <w:pStyle w:val="List2"/>
              <w:rPr>
                <w:lang w:val="en-NZ"/>
              </w:rPr>
            </w:pPr>
            <w:r w:rsidRPr="00C97CEC">
              <w:t>2.4.</w:t>
            </w:r>
            <w:r w:rsidRPr="00C97CEC">
              <w:tab/>
              <w:t>Maximum probable loss is estimated, where applica</w:t>
            </w:r>
            <w:r w:rsidRPr="00C97CEC">
              <w:t>ble</w:t>
            </w:r>
          </w:p>
        </w:tc>
      </w:tr>
      <w:tr w:rsidTr="00A1295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List"/>
              <w:rPr>
                <w:lang w:val="en-NZ"/>
              </w:rPr>
            </w:pPr>
            <w:r w:rsidRPr="00C97CEC">
              <w:t>3.</w:t>
            </w:r>
            <w:r w:rsidRPr="00C97CEC">
              <w:tab/>
              <w:t>Report and recommend on condition of risk exposure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List2"/>
            </w:pPr>
            <w:r w:rsidRPr="00C97CEC">
              <w:t>3.1.</w:t>
            </w:r>
            <w:r w:rsidRPr="00C97CEC">
              <w:tab/>
              <w:t>Condition and improvements to risk are fully documented according to organisation policy and procedures</w:t>
            </w:r>
          </w:p>
          <w:p w:rsidR="00000000" w:rsidP="00C97CEC">
            <w:pPr>
              <w:pStyle w:val="List2"/>
              <w:rPr>
                <w:lang w:val="en-NZ"/>
              </w:rPr>
            </w:pPr>
            <w:r w:rsidRPr="00C97CEC">
              <w:t>3.2.</w:t>
            </w:r>
            <w:r w:rsidRPr="00C97CEC">
              <w:tab/>
              <w:t>Loss control measures as applicable are specified as a condition of risk acceptance</w:t>
            </w:r>
            <w:r w:rsidRPr="00C97CEC">
              <w:t xml:space="preserve"> and renewal</w:t>
            </w:r>
          </w:p>
        </w:tc>
      </w:tr>
      <w:tr w:rsidTr="00A1295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List"/>
              <w:rPr>
                <w:lang w:val="en-NZ"/>
              </w:rPr>
            </w:pPr>
            <w:r w:rsidRPr="00C97CEC">
              <w:t>4.</w:t>
            </w:r>
            <w:r w:rsidRPr="00C97CEC">
              <w:tab/>
              <w:t>Monitor and review loss control measures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List2"/>
            </w:pPr>
            <w:r w:rsidRPr="00C97CEC">
              <w:t>4.1.</w:t>
            </w:r>
            <w:r w:rsidRPr="00C97CEC">
              <w:tab/>
              <w:t>Loss control measures are followed up and recorded according to organisation policy and procedures</w:t>
            </w:r>
          </w:p>
          <w:p w:rsidR="00000000" w:rsidRPr="00C97CEC" w:rsidP="00C97CEC">
            <w:pPr>
              <w:pStyle w:val="List2"/>
            </w:pPr>
            <w:r w:rsidRPr="00C97CEC">
              <w:t>4.2.</w:t>
            </w:r>
            <w:r w:rsidRPr="00C97CEC">
              <w:tab/>
              <w:t>Risk improvement is monitored against loss control measures</w:t>
            </w:r>
          </w:p>
          <w:p w:rsidR="00000000" w:rsidRPr="00C97CEC" w:rsidP="00C97CEC">
            <w:pPr>
              <w:pStyle w:val="List2"/>
            </w:pPr>
            <w:r w:rsidRPr="00C97CEC">
              <w:t>4.3.</w:t>
            </w:r>
            <w:r w:rsidRPr="00C97CEC">
              <w:tab/>
            </w:r>
            <w:r w:rsidRPr="00C97CEC">
              <w:t>Follow-up risk surveys are conducted as required</w:t>
            </w:r>
          </w:p>
        </w:tc>
      </w:tr>
    </w:tbl>
    <w:p w:rsidR="00000000" w:rsidRPr="00C97CEC" w:rsidP="00C97CEC">
      <w:pPr>
        <w:pStyle w:val="BodyText"/>
      </w:pPr>
    </w:p>
    <w:p w:rsidR="00000000" w:rsidRPr="00C97CEC" w:rsidP="00C97CEC">
      <w:pPr>
        <w:pStyle w:val="AllowPageBreak"/>
      </w:pPr>
    </w:p>
    <w:p w:rsidR="00000000" w:rsidRPr="00C97CEC" w:rsidP="00C97CEC">
      <w:pPr>
        <w:pStyle w:val="Heading1"/>
      </w:pPr>
      <w:bookmarkStart w:id="9" w:name="O_79511"/>
      <w:bookmarkEnd w:id="9"/>
      <w:r w:rsidRPr="00C97CEC">
        <w:t>Required Skills and Knowledge</w:t>
      </w:r>
    </w:p>
    <w:tbl>
      <w:tblPr>
        <w:tblW w:w="0" w:type="auto"/>
        <w:tblLayout w:type="fixed"/>
        <w:tblCellMar>
          <w:left w:w="62" w:type="dxa"/>
          <w:right w:w="62" w:type="dxa"/>
        </w:tblCellMar>
        <w:tblLook w:val="0000"/>
      </w:tblPr>
      <w:tblGrid>
        <w:gridCol w:w="8522"/>
      </w:tblGrid>
      <w:tr w:rsidTr="00A129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REQUIRED SKILLS AND KNOWLEDGE</w:t>
            </w:r>
          </w:p>
        </w:tc>
      </w:tr>
      <w:tr w:rsidTr="00A129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t>This section describes the skills and knowledge required for this unit.</w:t>
            </w:r>
          </w:p>
        </w:tc>
      </w:tr>
      <w:tr w:rsidTr="00A12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Required skills</w:t>
            </w:r>
          </w:p>
        </w:tc>
      </w:tr>
      <w:tr w:rsidTr="00A12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ListBullet"/>
            </w:pPr>
            <w:r w:rsidRPr="00C97CEC">
              <w:t>well-developed communication skills to:</w:t>
            </w:r>
          </w:p>
          <w:p w:rsidR="00000000" w:rsidRPr="00C97CEC" w:rsidP="00C97CEC">
            <w:pPr>
              <w:pStyle w:val="ListBullet2"/>
            </w:pPr>
            <w:r w:rsidRPr="00C97CEC">
              <w:t>determine and confirm information, using questioning and active listening as required</w:t>
            </w:r>
          </w:p>
          <w:p w:rsidR="00000000" w:rsidRPr="00C97CEC" w:rsidP="00C97CEC">
            <w:pPr>
              <w:pStyle w:val="ListBullet2"/>
            </w:pPr>
            <w:r w:rsidRPr="00C97CEC">
              <w:t>relate effectively to customers</w:t>
            </w:r>
          </w:p>
          <w:p w:rsidR="00000000" w:rsidRPr="00C97CEC" w:rsidP="00C97CEC">
            <w:pPr>
              <w:pStyle w:val="ListBullet2"/>
            </w:pPr>
            <w:r w:rsidRPr="00C97CEC">
              <w:t>liaise with others, share information, listen and understand</w:t>
            </w:r>
          </w:p>
          <w:p w:rsidR="00000000" w:rsidRPr="00C97CEC" w:rsidP="00C97CEC">
            <w:pPr>
              <w:pStyle w:val="ListBullet2"/>
            </w:pPr>
            <w:r w:rsidRPr="00C97CEC">
              <w:t>use language and concepts appropriate to cultural differences</w:t>
            </w:r>
          </w:p>
          <w:p w:rsidR="00000000" w:rsidRPr="00C97CEC" w:rsidP="00C97CEC">
            <w:pPr>
              <w:pStyle w:val="ListBullet"/>
            </w:pPr>
            <w:r w:rsidRPr="00C97CEC">
              <w:t>numeracy and IT skills to:</w:t>
            </w:r>
          </w:p>
          <w:p w:rsidR="00000000" w:rsidRPr="00C97CEC" w:rsidP="00C97CEC">
            <w:pPr>
              <w:pStyle w:val="ListBullet2"/>
            </w:pPr>
            <w:r w:rsidRPr="00C97CEC">
              <w:t>perform calculations related to achieving required outcomes</w:t>
            </w:r>
          </w:p>
          <w:p w:rsidR="00000000" w:rsidRPr="00C97CEC" w:rsidP="00C97CEC">
            <w:pPr>
              <w:pStyle w:val="ListBullet2"/>
            </w:pPr>
            <w:r w:rsidRPr="00C97CEC">
              <w:t xml:space="preserve">use computer applications (word processing, spreadsheet, database, specific purpose computer systems) to </w:t>
            </w:r>
            <w:r w:rsidRPr="00C97CEC">
              <w:t>assist in achieving required outcomes</w:t>
            </w:r>
          </w:p>
          <w:p w:rsidR="00000000" w:rsidRPr="00C97CEC" w:rsidP="00C97CEC">
            <w:pPr>
              <w:pStyle w:val="ListBullet2"/>
            </w:pPr>
            <w:r w:rsidRPr="00C97CEC">
              <w:t>access and update records electronically</w:t>
            </w:r>
          </w:p>
          <w:p w:rsidR="00000000" w:rsidRPr="00C97CEC" w:rsidP="00C97CEC">
            <w:pPr>
              <w:pStyle w:val="ListBullet2"/>
            </w:pPr>
            <w:r w:rsidRPr="00C97CEC">
              <w:t>access web-based information services</w:t>
            </w:r>
          </w:p>
          <w:p w:rsidR="00000000" w:rsidRPr="00C97CEC" w:rsidP="00C97CEC">
            <w:pPr>
              <w:pStyle w:val="ListBullet"/>
            </w:pPr>
            <w:r w:rsidRPr="00C97CEC">
              <w:t>well-developed literacy skills to read and interpret documentation from a variety of sources and record and consolidate relevant related i</w:t>
            </w:r>
            <w:r w:rsidRPr="00C97CEC">
              <w:t>nformation</w:t>
            </w:r>
          </w:p>
          <w:p w:rsidR="00000000" w:rsidRPr="00C97CEC" w:rsidP="00C97CEC">
            <w:pPr>
              <w:pStyle w:val="ListBullet"/>
            </w:pPr>
            <w:r w:rsidRPr="00C97CEC">
              <w:t>self-management skills for complying with ethical, legal and procedural requirements research and analysis skills for accessing and interpreting relevant information</w:t>
            </w:r>
          </w:p>
          <w:p w:rsidR="00000000" w:rsidP="00C97CEC">
            <w:pPr>
              <w:pStyle w:val="ListBullet"/>
              <w:rPr>
                <w:lang w:val="en-NZ"/>
              </w:rPr>
            </w:pPr>
            <w:r w:rsidRPr="00C97CEC">
              <w:t>organisational skills, including the ability to plan and sequence work</w:t>
            </w:r>
          </w:p>
        </w:tc>
      </w:tr>
      <w:tr w:rsidTr="00A12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Required knowledge</w:t>
            </w:r>
          </w:p>
        </w:tc>
      </w:tr>
      <w:tr w:rsidTr="00A12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ListBullet"/>
            </w:pPr>
            <w:r w:rsidRPr="00C97CEC">
              <w:t>Australia/NZ Standard AS/NZS 4360: 2004 Risk Management</w:t>
            </w:r>
          </w:p>
          <w:p w:rsidR="00000000" w:rsidRPr="00C97CEC" w:rsidP="00C97CEC">
            <w:pPr>
              <w:pStyle w:val="ListBullet"/>
            </w:pPr>
            <w:r w:rsidRPr="00C97CEC">
              <w:t>how to calculate Maximum Probable Loss (MPL)</w:t>
            </w:r>
          </w:p>
          <w:p w:rsidR="00000000" w:rsidRPr="00C97CEC" w:rsidP="00C97CEC">
            <w:pPr>
              <w:pStyle w:val="ListBullet"/>
            </w:pPr>
            <w:r w:rsidRPr="00C97CEC">
              <w:t>industry market position relative to product/line of business</w:t>
            </w:r>
          </w:p>
          <w:p w:rsidR="00000000" w:rsidRPr="00C97CEC" w:rsidP="00C97CEC">
            <w:pPr>
              <w:pStyle w:val="ListBullet"/>
            </w:pPr>
            <w:r w:rsidRPr="00C97CEC">
              <w:t>organisation policy, procedures, underwriting guidelines and authorities</w:t>
            </w:r>
          </w:p>
          <w:p w:rsidR="00000000" w:rsidRPr="00C97CEC" w:rsidP="00C97CEC">
            <w:pPr>
              <w:pStyle w:val="ListBullet"/>
            </w:pPr>
            <w:r w:rsidRPr="00C97CEC">
              <w:t>organisation products</w:t>
            </w:r>
          </w:p>
          <w:p w:rsidR="00000000" w:rsidRPr="00C97CEC" w:rsidP="00C97CEC">
            <w:pPr>
              <w:pStyle w:val="ListBullet"/>
            </w:pPr>
            <w:r w:rsidRPr="00C97CEC">
              <w:t>reinsurance</w:t>
            </w:r>
          </w:p>
          <w:p w:rsidR="00000000" w:rsidRPr="00C97CEC" w:rsidP="00C97CEC">
            <w:pPr>
              <w:pStyle w:val="ListBullet"/>
            </w:pPr>
            <w:r w:rsidRPr="00C97CEC">
              <w:t>relative industry hazards</w:t>
            </w:r>
          </w:p>
          <w:p w:rsidR="00000000" w:rsidRPr="00C97CEC" w:rsidP="00C97CEC">
            <w:pPr>
              <w:pStyle w:val="ListBullet"/>
            </w:pPr>
            <w:r w:rsidRPr="00C97CEC">
              <w:t>relevant legislative and compliance requirements, especially Financial Services Reform Act (FSRA) and Corporations Act</w:t>
            </w:r>
          </w:p>
          <w:p w:rsidR="00000000" w:rsidRPr="00C97CEC" w:rsidP="00C97CEC">
            <w:pPr>
              <w:pStyle w:val="ListBullet"/>
            </w:pPr>
            <w:r w:rsidRPr="00C97CEC">
              <w:t>risk prevention methods and application</w:t>
            </w:r>
          </w:p>
          <w:p w:rsidR="00000000" w:rsidRPr="00C97CEC" w:rsidP="00C97CEC">
            <w:pPr>
              <w:pStyle w:val="ListBullet"/>
            </w:pPr>
            <w:r w:rsidRPr="00C97CEC">
              <w:t xml:space="preserve">statutory hazard, health and safety </w:t>
            </w:r>
            <w:r w:rsidRPr="00C97CEC">
              <w:t>legislation</w:t>
            </w:r>
          </w:p>
        </w:tc>
      </w:tr>
    </w:tbl>
    <w:p w:rsidR="00000000" w:rsidRPr="00C97CEC" w:rsidP="00C97CEC">
      <w:pPr>
        <w:pStyle w:val="BodyText"/>
      </w:pPr>
    </w:p>
    <w:p w:rsidR="00000000" w:rsidRPr="00C97CEC" w:rsidP="00C97CEC">
      <w:pPr>
        <w:pStyle w:val="AllowPageBreak"/>
      </w:pPr>
    </w:p>
    <w:p w:rsidR="00000000" w:rsidRPr="00C97CEC" w:rsidP="00C97CEC">
      <w:pPr>
        <w:pStyle w:val="Heading1"/>
      </w:pPr>
      <w:bookmarkStart w:id="10" w:name="O_79512"/>
      <w:bookmarkEnd w:id="10"/>
      <w:r w:rsidRPr="00C97CEC">
        <w:t>Evidence Guide</w:t>
      </w:r>
    </w:p>
    <w:tbl>
      <w:tblPr>
        <w:tblW w:w="9570" w:type="dxa"/>
        <w:tblLayout w:type="fixed"/>
        <w:tblCellMar>
          <w:left w:w="62" w:type="dxa"/>
          <w:right w:w="62" w:type="dxa"/>
        </w:tblCellMar>
        <w:tblLook w:val="0000"/>
      </w:tblPr>
      <w:tblGrid>
        <w:gridCol w:w="2808"/>
        <w:gridCol w:w="6762"/>
      </w:tblGrid>
      <w:tr w:rsidTr="00A129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EVIDENCE GUIDE</w:t>
            </w:r>
          </w:p>
        </w:tc>
      </w:tr>
      <w:tr w:rsidTr="00A129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t xml:space="preserve">The Evidence Guide provides advice on assessment and must be read in conjunction with the performance criteria, required skills and knowledge, </w:t>
            </w:r>
            <w:r w:rsidRPr="00C97CEC">
              <w:t>range statement and the Assessment Guidelines for the Training Package.</w:t>
            </w:r>
          </w:p>
        </w:tc>
      </w:tr>
      <w:tr w:rsidTr="00A12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p>
        </w:tc>
      </w:tr>
      <w:tr w:rsidTr="00A12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r w:rsidRPr="00C97CEC">
              <w:t xml:space="preserve"> Evidence of the ability to:</w:t>
            </w:r>
          </w:p>
          <w:p w:rsidR="00000000" w:rsidRPr="00C97CEC" w:rsidP="00C97CEC">
            <w:pPr>
              <w:pStyle w:val="ListBullet"/>
            </w:pPr>
            <w:r w:rsidRPr="00C97CEC">
              <w:t>interpret and comply with all legal obligations and organisation procedures in order to identify and thoroughly assess risks, and develop a suitable policy</w:t>
            </w:r>
          </w:p>
          <w:p w:rsidR="00000000" w:rsidRPr="00C97CEC" w:rsidP="00C97CEC">
            <w:pPr>
              <w:pStyle w:val="ListBullet"/>
            </w:pPr>
            <w:r w:rsidRPr="00C97CEC">
              <w:t>apply all relevant legal obligations and organisation procedures in order to identify and thoroughly</w:t>
            </w:r>
            <w:r w:rsidRPr="00C97CEC">
              <w:t xml:space="preserve"> assess risks</w:t>
            </w:r>
          </w:p>
          <w:p w:rsidR="00000000" w:rsidRPr="00C97CEC" w:rsidP="00C97CEC">
            <w:pPr>
              <w:pStyle w:val="ListBullet"/>
            </w:pPr>
            <w:r w:rsidRPr="00C97CEC">
              <w:t>maintain a sound understanding of relevant organisation products and services and relevant underwriting guidelines and procedures</w:t>
            </w:r>
          </w:p>
          <w:p w:rsidR="00000000" w:rsidRPr="00C97CEC" w:rsidP="00C97CEC">
            <w:pPr>
              <w:pStyle w:val="ListBullet"/>
            </w:pPr>
            <w:r w:rsidRPr="00C97CEC">
              <w:t>conduct comprehensive surveys of potential risk exposure and develop recommendations to control or minimise risk</w:t>
            </w:r>
            <w:r w:rsidRPr="00C97CEC">
              <w:t xml:space="preserve"> of loss</w:t>
            </w:r>
          </w:p>
          <w:p w:rsidR="00000000" w:rsidP="00C97CEC">
            <w:pPr>
              <w:pStyle w:val="ListBullet"/>
              <w:rPr>
                <w:lang w:val="en-NZ"/>
              </w:rPr>
            </w:pPr>
            <w:r w:rsidRPr="00C97CEC">
              <w:t>monitor loss control measures in accordance with underwriter's guidelines and organisation procedures.</w:t>
            </w:r>
          </w:p>
        </w:tc>
      </w:tr>
      <w:tr w:rsidTr="00A12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r w:rsidRPr="00C97CEC">
              <w:t>Assessment must ensure:</w:t>
            </w:r>
          </w:p>
          <w:p w:rsidR="00000000" w:rsidRPr="00C97CEC" w:rsidP="00C97CEC">
            <w:pPr>
              <w:pStyle w:val="ListBullet"/>
            </w:pPr>
            <w:r w:rsidRPr="00C97CEC">
              <w:t>competency is demonstrated in the context of the work environment and</w:t>
            </w:r>
            <w:r w:rsidRPr="00C97CEC">
              <w:t xml:space="preserve"> conditions specified in the range statement either in a relevant workplace or a closely simulated work environment</w:t>
            </w:r>
          </w:p>
          <w:p w:rsidR="00000000" w:rsidRPr="00C97CEC" w:rsidP="00C97CEC">
            <w:pPr>
              <w:pStyle w:val="ListBullet"/>
            </w:pPr>
            <w:r w:rsidRPr="00C97CEC">
              <w:t>access to and the use of a range of common office equipment, technology, software and consumables</w:t>
            </w:r>
          </w:p>
          <w:p w:rsidR="00000000" w:rsidRPr="00C97CEC" w:rsidP="00C97CEC">
            <w:pPr>
              <w:pStyle w:val="ListBullet"/>
            </w:pPr>
            <w:r w:rsidRPr="00C97CEC">
              <w:t>access to organisation records</w:t>
            </w:r>
          </w:p>
          <w:p w:rsidR="00000000" w:rsidP="00C97CEC">
            <w:pPr>
              <w:pStyle w:val="ListBullet"/>
              <w:rPr>
                <w:lang w:val="en-NZ"/>
              </w:rPr>
            </w:pPr>
            <w:r w:rsidRPr="00C97CEC">
              <w:t>access to o</w:t>
            </w:r>
            <w:r w:rsidRPr="00C97CEC">
              <w:t>rganisation policies and procedures.</w:t>
            </w:r>
          </w:p>
        </w:tc>
      </w:tr>
      <w:tr w:rsidTr="00A12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r w:rsidRPr="00C97CEC">
              <w:t>A range of assessment methods should be used to assess practical skills and knowledge. The following examples, in combination, are appropriate for this unit:</w:t>
            </w:r>
          </w:p>
          <w:p w:rsidR="00000000" w:rsidRPr="00C97CEC" w:rsidP="00C97CEC">
            <w:pPr>
              <w:pStyle w:val="ListBullet"/>
            </w:pPr>
            <w:r w:rsidRPr="00C97CEC">
              <w:t>evaluating an integrated activity, which combines the elements of competency for the unit, or a cluster of related units of competency</w:t>
            </w:r>
          </w:p>
          <w:p w:rsidR="00000000" w:rsidRPr="00C97CEC" w:rsidP="00C97CEC">
            <w:pPr>
              <w:pStyle w:val="ListBullet"/>
            </w:pPr>
            <w:r w:rsidRPr="00C97CEC">
              <w:t>observing processes and procedures in workplaces</w:t>
            </w:r>
          </w:p>
          <w:p w:rsidR="00000000" w:rsidRPr="00C97CEC" w:rsidP="00C97CEC">
            <w:pPr>
              <w:pStyle w:val="ListBullet"/>
            </w:pPr>
            <w:r w:rsidRPr="00C97CEC">
              <w:t>verbal or written questioning on underpinning knowledge and skills</w:t>
            </w:r>
          </w:p>
          <w:p w:rsidR="00000000" w:rsidRPr="00C97CEC" w:rsidP="00C97CEC">
            <w:pPr>
              <w:pStyle w:val="ListBullet"/>
            </w:pPr>
            <w:r w:rsidRPr="00C97CEC">
              <w:t>evalu</w:t>
            </w:r>
            <w:r w:rsidRPr="00C97CEC">
              <w:t>ating samples of work</w:t>
            </w:r>
          </w:p>
          <w:p w:rsidR="00000000" w:rsidP="00C97CEC">
            <w:pPr>
              <w:pStyle w:val="ListBullet"/>
              <w:rPr>
                <w:lang w:val="en-NZ"/>
              </w:rPr>
            </w:pPr>
            <w:r w:rsidRPr="00C97CEC">
              <w:t>accessing and validating third party reports.</w:t>
            </w:r>
          </w:p>
        </w:tc>
      </w:tr>
      <w:tr w:rsidTr="00A12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p>
        </w:tc>
      </w:tr>
    </w:tbl>
    <w:p w:rsidR="00000000" w:rsidRPr="00C97CEC" w:rsidP="00C97CEC">
      <w:pPr>
        <w:pStyle w:val="BodyText"/>
      </w:pPr>
    </w:p>
    <w:p w:rsidR="00000000" w:rsidRPr="00C97CEC" w:rsidP="00C97CEC">
      <w:pPr>
        <w:pStyle w:val="AllowPageBreak"/>
      </w:pPr>
    </w:p>
    <w:p w:rsidR="00000000" w:rsidRPr="00C97CEC" w:rsidP="00C97CEC">
      <w:pPr>
        <w:pStyle w:val="Heading1"/>
      </w:pPr>
      <w:bookmarkStart w:id="11" w:name="O_79513"/>
      <w:bookmarkEnd w:id="11"/>
      <w:r w:rsidRPr="00C97CEC">
        <w:t>Range Statement</w:t>
      </w:r>
    </w:p>
    <w:tbl>
      <w:tblPr>
        <w:tblW w:w="0" w:type="auto"/>
        <w:tblLayout w:type="fixed"/>
        <w:tblCellMar>
          <w:left w:w="62" w:type="dxa"/>
          <w:right w:w="62" w:type="dxa"/>
        </w:tblCellMar>
        <w:tblLook w:val="0000"/>
      </w:tblPr>
      <w:tblGrid>
        <w:gridCol w:w="2524"/>
        <w:gridCol w:w="5998"/>
      </w:tblGrid>
      <w:tr w:rsidTr="00A129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RANGE STATEMENT</w:t>
            </w:r>
          </w:p>
        </w:tc>
      </w:tr>
      <w:tr w:rsidTr="00A129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t>The range statement relates to the unit of competency as</w:t>
            </w:r>
            <w:r w:rsidRPr="00C97CEC">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C97CEC">
              <w:t xml:space="preserve"> (depending on the work situation, needs of the candidate, accessibility of the item, and local industry and regional contexts) may also be included.</w:t>
            </w:r>
          </w:p>
        </w:tc>
      </w:tr>
      <w:tr w:rsidTr="00A1295E">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BoldandItalics"/>
              </w:rPr>
              <w:t>Comprehensive physical examination</w:t>
            </w:r>
            <w:r w:rsidRPr="00C97CEC">
              <w:t xml:space="preserve"> may include reference to:</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ListBullet"/>
              <w:rPr>
                <w:lang w:val="en-NZ"/>
              </w:rPr>
            </w:pPr>
            <w:r w:rsidRPr="00C97CEC">
              <w:t xml:space="preserve">organisation standard risk procedures, as </w:t>
            </w:r>
            <w:r w:rsidRPr="00C97CEC">
              <w:t>defined by individual insurers.</w:t>
            </w:r>
          </w:p>
        </w:tc>
      </w:tr>
      <w:tr w:rsidTr="00A1295E">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BoldandItalics"/>
              </w:rPr>
              <w:t>Hazard indicators</w:t>
            </w:r>
            <w:r w:rsidRPr="00C97CEC">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ListBullet"/>
            </w:pPr>
            <w:r w:rsidRPr="00C97CEC">
              <w:t>adjoining occupations</w:t>
            </w:r>
          </w:p>
          <w:p w:rsidR="00000000" w:rsidRPr="00C97CEC" w:rsidP="00C97CEC">
            <w:pPr>
              <w:pStyle w:val="ListBullet"/>
            </w:pPr>
            <w:r w:rsidRPr="00C97CEC">
              <w:t>compliance with statutory requirements (storage and licensing)</w:t>
            </w:r>
          </w:p>
          <w:p w:rsidR="00000000" w:rsidRPr="00C97CEC" w:rsidP="00C97CEC">
            <w:pPr>
              <w:pStyle w:val="ListBullet"/>
            </w:pPr>
            <w:r w:rsidRPr="00C97CEC">
              <w:t>construction standard of premises</w:t>
            </w:r>
          </w:p>
          <w:p w:rsidR="00000000" w:rsidRPr="00C97CEC" w:rsidP="00C97CEC">
            <w:pPr>
              <w:pStyle w:val="ListBullet"/>
            </w:pPr>
            <w:r w:rsidRPr="00C97CEC">
              <w:t>degree of quality control</w:t>
            </w:r>
          </w:p>
          <w:p w:rsidR="00000000" w:rsidRPr="00C97CEC" w:rsidP="00C97CEC">
            <w:pPr>
              <w:pStyle w:val="ListBullet"/>
            </w:pPr>
            <w:r w:rsidRPr="00C97CEC">
              <w:t>incident reporting systems</w:t>
            </w:r>
          </w:p>
          <w:p w:rsidR="00000000" w:rsidRPr="00C97CEC" w:rsidP="00C97CEC">
            <w:pPr>
              <w:pStyle w:val="ListBullet"/>
            </w:pPr>
            <w:r w:rsidRPr="00C97CEC">
              <w:t>level of maintenance/housekeeping</w:t>
            </w:r>
          </w:p>
          <w:p w:rsidR="00000000" w:rsidRPr="00C97CEC" w:rsidP="00C97CEC">
            <w:pPr>
              <w:pStyle w:val="ListBullet"/>
            </w:pPr>
            <w:r w:rsidRPr="00C97CEC">
              <w:t>management and staff attitude and commitment to safety and security of property and persons</w:t>
            </w:r>
          </w:p>
          <w:p w:rsidR="00000000" w:rsidRPr="00C97CEC" w:rsidP="00C97CEC">
            <w:pPr>
              <w:pStyle w:val="ListBullet"/>
            </w:pPr>
            <w:r w:rsidRPr="00C97CEC">
              <w:t>protection levels for fire and burglary</w:t>
            </w:r>
          </w:p>
          <w:p w:rsidR="00000000" w:rsidRPr="00C97CEC" w:rsidP="00C97CEC">
            <w:pPr>
              <w:pStyle w:val="ListBullet"/>
            </w:pPr>
            <w:r w:rsidRPr="00C97CEC">
              <w:t>proximity to other business premises/remote locations</w:t>
            </w:r>
          </w:p>
          <w:p w:rsidR="00000000" w:rsidRPr="00C97CEC" w:rsidP="00C97CEC">
            <w:pPr>
              <w:pStyle w:val="ListBullet"/>
            </w:pPr>
            <w:r w:rsidRPr="00C97CEC">
              <w:t xml:space="preserve">response times to services, such as </w:t>
            </w:r>
            <w:r w:rsidRPr="00C97CEC">
              <w:t>fire/security/police</w:t>
            </w:r>
          </w:p>
          <w:p w:rsidR="00000000" w:rsidRPr="00C97CEC" w:rsidP="00C97CEC">
            <w:pPr>
              <w:pStyle w:val="ListBullet"/>
            </w:pPr>
            <w:r w:rsidRPr="00C97CEC">
              <w:t>risk management programs</w:t>
            </w:r>
          </w:p>
          <w:p w:rsidR="00000000" w:rsidP="00C97CEC">
            <w:pPr>
              <w:pStyle w:val="ListBullet"/>
              <w:rPr>
                <w:lang w:val="en-NZ"/>
              </w:rPr>
            </w:pPr>
            <w:r w:rsidRPr="00C97CEC">
              <w:t>security program.</w:t>
            </w:r>
          </w:p>
        </w:tc>
      </w:tr>
      <w:tr w:rsidTr="00A1295E">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BoldandItalics"/>
              </w:rPr>
              <w:t>Relevant legislation</w:t>
            </w:r>
            <w:r w:rsidRPr="00C97CEC">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ListBullet"/>
            </w:pPr>
            <w:r w:rsidRPr="00C97CEC">
              <w:t>building codes</w:t>
            </w:r>
          </w:p>
          <w:p w:rsidR="00000000" w:rsidRPr="00C97CEC" w:rsidP="00C97CEC">
            <w:pPr>
              <w:pStyle w:val="ListBullet"/>
            </w:pPr>
            <w:r w:rsidRPr="00C97CEC">
              <w:t>FSRA</w:t>
            </w:r>
          </w:p>
          <w:p w:rsidR="00000000" w:rsidRPr="00C97CEC" w:rsidP="00C97CEC">
            <w:pPr>
              <w:pStyle w:val="ListBullet"/>
            </w:pPr>
            <w:r w:rsidRPr="00C97CEC">
              <w:t>safety and hazardous goods</w:t>
            </w:r>
          </w:p>
          <w:p w:rsidR="00000000" w:rsidP="00C97CEC">
            <w:pPr>
              <w:pStyle w:val="ListBullet"/>
              <w:rPr>
                <w:lang w:val="en-NZ"/>
              </w:rPr>
            </w:pPr>
            <w:r w:rsidRPr="00C97CEC">
              <w:t>workers compensation and other industrial legislation.</w:t>
            </w:r>
          </w:p>
        </w:tc>
      </w:tr>
      <w:tr w:rsidTr="00A1295E">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BoldandItalics"/>
              </w:rPr>
              <w:t>Organisation policy</w:t>
            </w:r>
            <w:r w:rsidRPr="00C97CEC">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ListBullet"/>
            </w:pPr>
            <w:r w:rsidRPr="00C97CEC">
              <w:t>diary keeping procedures.</w:t>
            </w:r>
          </w:p>
        </w:tc>
      </w:tr>
    </w:tbl>
    <w:p w:rsidR="00A1295E" w:rsidP="00C97CEC">
      <w:pPr>
        <w:pStyle w:val="BodyText"/>
      </w:pPr>
    </w:p>
    <w:p w:rsidR="00A1295E" w:rsidP="00C97CEC">
      <w:pPr>
        <w:pStyle w:val="BodyText"/>
      </w:pPr>
    </w:p>
    <w:p w:rsidR="00000000" w:rsidRPr="00C97CEC" w:rsidP="00C97CEC">
      <w:pPr>
        <w:pStyle w:val="Heading1"/>
      </w:pPr>
      <w:bookmarkStart w:id="12" w:name="O_79514"/>
      <w:bookmarkEnd w:id="12"/>
      <w:r w:rsidRPr="00C97CEC">
        <w:t>Unit Sector(s)</w:t>
      </w:r>
    </w:p>
    <w:tbl>
      <w:tblPr>
        <w:tblW w:w="0" w:type="auto"/>
        <w:tblLayout w:type="fixed"/>
        <w:tblCellMar>
          <w:left w:w="62" w:type="dxa"/>
          <w:right w:w="62" w:type="dxa"/>
        </w:tblCellMar>
        <w:tblLook w:val="0000"/>
      </w:tblPr>
      <w:tblGrid>
        <w:gridCol w:w="2594"/>
        <w:gridCol w:w="5928"/>
      </w:tblGrid>
      <w:tr w:rsidTr="00A1295E">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r w:rsidRPr="00C97CEC">
              <w:t>Insurance services</w:t>
            </w:r>
          </w:p>
        </w:tc>
      </w:tr>
    </w:tbl>
    <w:p w:rsidR="00000000" w:rsidRPr="00C97CEC" w:rsidP="00C97CEC">
      <w:pPr>
        <w:pStyle w:val="BodyText"/>
      </w:pPr>
    </w:p>
    <w:p w:rsidR="00000000" w:rsidRPr="00C97CEC" w:rsidP="00C97CEC">
      <w:pPr>
        <w:pStyle w:val="AllowPageBreak"/>
      </w:pPr>
    </w:p>
    <w:p w:rsidR="00000000" w:rsidRPr="00C97CEC" w:rsidP="00C97CEC">
      <w:pPr>
        <w:pStyle w:val="Heading1"/>
      </w:pPr>
      <w:bookmarkStart w:id="13" w:name="O_156485"/>
      <w:bookmarkEnd w:id="13"/>
      <w:r w:rsidRPr="00C97CEC">
        <w:t>Competency field</w:t>
      </w:r>
    </w:p>
    <w:tbl>
      <w:tblPr>
        <w:tblW w:w="0" w:type="auto"/>
        <w:tblLayout w:type="fixed"/>
        <w:tblCellMar>
          <w:left w:w="62" w:type="dxa"/>
          <w:right w:w="62" w:type="dxa"/>
        </w:tblCellMar>
        <w:tblLook w:val="0000"/>
      </w:tblPr>
      <w:tblGrid>
        <w:gridCol w:w="2754"/>
        <w:gridCol w:w="5768"/>
      </w:tblGrid>
      <w:tr w:rsidTr="00A1295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p>
        </w:tc>
      </w:tr>
    </w:tbl>
    <w:p w:rsidR="00000000" w:rsidRPr="00C97CEC" w:rsidP="00C97CEC">
      <w:pPr>
        <w:pStyle w:val="BodyText"/>
      </w:pPr>
    </w:p>
    <w:p w:rsidR="00000000" w:rsidRPr="00C97CEC" w:rsidP="00C97CEC">
      <w:pPr>
        <w:pStyle w:val="AllowPageBreak"/>
      </w:pPr>
    </w:p>
    <w:p w:rsidR="00000000" w:rsidRPr="00C97CEC" w:rsidP="00C97CEC">
      <w:pPr>
        <w:pStyle w:val="Heading1"/>
      </w:pPr>
      <w:bookmarkStart w:id="14" w:name="O_156484"/>
      <w:bookmarkEnd w:id="14"/>
      <w:r w:rsidRPr="00C97CEC">
        <w:t>Co-requisite units</w:t>
      </w:r>
    </w:p>
    <w:tbl>
      <w:tblPr>
        <w:tblW w:w="0" w:type="auto"/>
        <w:tblLayout w:type="fixed"/>
        <w:tblCellMar>
          <w:left w:w="62" w:type="dxa"/>
          <w:right w:w="62" w:type="dxa"/>
        </w:tblCellMar>
        <w:tblLook w:val="0000"/>
      </w:tblPr>
      <w:tblGrid>
        <w:gridCol w:w="2629"/>
        <w:gridCol w:w="1324"/>
        <w:gridCol w:w="4569"/>
      </w:tblGrid>
      <w:tr w:rsidTr="00A1295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r w:rsidRPr="00C97CE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CEC">
            <w:pPr>
              <w:pStyle w:val="BodyText"/>
              <w:rPr>
                <w:lang w:val="en-NZ"/>
              </w:rPr>
            </w:pPr>
          </w:p>
        </w:tc>
      </w:tr>
      <w:tr w:rsidTr="00A1295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CEC" w:rsidP="00C97CEC">
            <w:pPr>
              <w:pStyle w:val="BodyText"/>
            </w:pPr>
          </w:p>
        </w:tc>
      </w:tr>
    </w:tbl>
    <w:p w:rsidR="00000000" w:rsidRPr="00C97CEC" w:rsidP="00C97CEC">
      <w:pPr>
        <w:pStyle w:val="BodyText"/>
      </w:pPr>
    </w:p>
    <w:p w:rsidR="00000000" w:rsidRPr="00C97CEC" w:rsidP="00C97CEC"/>
    <w:sectPr w:rsidSect="00C97C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95E" w:rsidP="00A12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5E" w:rsidP="00C97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295E" w:rsidP="00C97C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295E" w:rsidP="00C97C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95E" w:rsidP="00A129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5E" w:rsidP="00C97CEC">
    <w:pPr>
      <w:pStyle w:val="Header"/>
      <w:framePr w:wrap="around"/>
    </w:pPr>
    <w:r>
      <w:fldChar w:fldCharType="begin"/>
    </w:r>
    <w:r>
      <w:instrText xml:space="preserve"> TITLE   \* MERGEFORMAT </w:instrText>
    </w:r>
    <w:r>
      <w:fldChar w:fldCharType="separate"/>
    </w:r>
    <w:r>
      <w:t>FNSISV403A Survey potential risk exposure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295E" w:rsidP="00C97C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40C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5A6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E8A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C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CEC"/>
    <w:pPr>
      <w:spacing w:before="360" w:after="60"/>
      <w:outlineLvl w:val="0"/>
    </w:pPr>
    <w:rPr>
      <w:sz w:val="32"/>
    </w:rPr>
  </w:style>
  <w:style w:type="paragraph" w:styleId="Heading2">
    <w:name w:val="heading 2"/>
    <w:basedOn w:val="HeadingBase"/>
    <w:next w:val="BodyText"/>
    <w:link w:val="Heading2Char"/>
    <w:qFormat/>
    <w:rsid w:val="00C97CEC"/>
    <w:pPr>
      <w:keepLines/>
      <w:spacing w:before="240" w:after="120"/>
      <w:outlineLvl w:val="1"/>
    </w:pPr>
    <w:rPr>
      <w:sz w:val="28"/>
      <w:szCs w:val="40"/>
    </w:rPr>
  </w:style>
  <w:style w:type="paragraph" w:styleId="Heading3">
    <w:name w:val="heading 3"/>
    <w:basedOn w:val="HeadingBase"/>
    <w:next w:val="BodyText"/>
    <w:link w:val="Heading3Char"/>
    <w:qFormat/>
    <w:rsid w:val="00C97CEC"/>
    <w:pPr>
      <w:spacing w:before="180" w:after="120"/>
      <w:outlineLvl w:val="2"/>
    </w:pPr>
    <w:rPr>
      <w:spacing w:val="-10"/>
      <w:kern w:val="32"/>
    </w:rPr>
  </w:style>
  <w:style w:type="paragraph" w:styleId="Heading4">
    <w:name w:val="heading 4"/>
    <w:basedOn w:val="HeadingBase"/>
    <w:next w:val="BodyText"/>
    <w:link w:val="Heading4Char"/>
    <w:qFormat/>
    <w:rsid w:val="00C97CEC"/>
    <w:pPr>
      <w:spacing w:before="160" w:after="120"/>
      <w:outlineLvl w:val="3"/>
    </w:pPr>
    <w:rPr>
      <w:sz w:val="22"/>
    </w:rPr>
  </w:style>
  <w:style w:type="paragraph" w:styleId="Heading5">
    <w:name w:val="heading 5"/>
    <w:basedOn w:val="HeadingBase"/>
    <w:next w:val="Normal"/>
    <w:link w:val="Heading5Char"/>
    <w:qFormat/>
    <w:rsid w:val="00C97CEC"/>
    <w:pPr>
      <w:spacing w:before="80"/>
      <w:outlineLvl w:val="4"/>
    </w:pPr>
    <w:rPr>
      <w:color w:val="918585"/>
      <w:sz w:val="20"/>
    </w:rPr>
  </w:style>
  <w:style w:type="paragraph" w:styleId="Heading6">
    <w:name w:val="heading 6"/>
    <w:basedOn w:val="HeadingBase"/>
    <w:next w:val="Normal"/>
    <w:link w:val="Heading6Char"/>
    <w:qFormat/>
    <w:rsid w:val="00C97CEC"/>
    <w:pPr>
      <w:spacing w:before="60"/>
      <w:outlineLvl w:val="5"/>
    </w:pPr>
    <w:rPr>
      <w:color w:val="918585"/>
      <w:sz w:val="20"/>
    </w:rPr>
  </w:style>
  <w:style w:type="paragraph" w:styleId="Heading7">
    <w:name w:val="heading 7"/>
    <w:basedOn w:val="Normal"/>
    <w:next w:val="Normal"/>
    <w:link w:val="Heading7Char"/>
    <w:qFormat/>
    <w:rsid w:val="00C97CEC"/>
    <w:pPr>
      <w:ind w:left="720"/>
      <w:outlineLvl w:val="6"/>
    </w:pPr>
    <w:rPr>
      <w:i/>
    </w:rPr>
  </w:style>
  <w:style w:type="paragraph" w:styleId="Heading8">
    <w:name w:val="heading 8"/>
    <w:basedOn w:val="Normal"/>
    <w:next w:val="Normal"/>
    <w:link w:val="Heading8Char"/>
    <w:qFormat/>
    <w:rsid w:val="00C97CEC"/>
    <w:pPr>
      <w:ind w:left="720"/>
      <w:outlineLvl w:val="7"/>
    </w:pPr>
    <w:rPr>
      <w:i/>
    </w:rPr>
  </w:style>
  <w:style w:type="paragraph" w:styleId="Heading9">
    <w:name w:val="heading 9"/>
    <w:basedOn w:val="Normal"/>
    <w:next w:val="Normal"/>
    <w:link w:val="Heading9Char"/>
    <w:qFormat/>
    <w:rsid w:val="00C97CEC"/>
    <w:pPr>
      <w:ind w:left="720"/>
      <w:outlineLvl w:val="8"/>
    </w:pPr>
    <w:rPr>
      <w:i/>
    </w:rPr>
  </w:style>
  <w:style w:type="character" w:default="1" w:styleId="DefaultParagraphFont">
    <w:name w:val="Default Paragraph Font"/>
    <w:uiPriority w:val="1"/>
    <w:unhideWhenUsed/>
    <w:rsid w:val="00C97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CEC"/>
  </w:style>
  <w:style w:type="character" w:customStyle="1" w:styleId="Heading1Char">
    <w:name w:val="Heading 1 Char"/>
    <w:basedOn w:val="DefaultParagraphFont"/>
    <w:link w:val="Heading1"/>
    <w:rsid w:val="00C97CEC"/>
    <w:rPr>
      <w:rFonts w:ascii="Times New Roman" w:eastAsia="Times New Roman" w:hAnsi="Times New Roman" w:cs="Times New Roman"/>
      <w:b/>
      <w:sz w:val="32"/>
      <w:szCs w:val="20"/>
      <w:lang w:eastAsia="en-US"/>
    </w:rPr>
  </w:style>
  <w:style w:type="paragraph" w:styleId="BodyText">
    <w:name w:val="Body Text"/>
    <w:basedOn w:val="Normal"/>
    <w:link w:val="BodyTextChar"/>
    <w:rsid w:val="00C97C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CEC"/>
    <w:rPr>
      <w:rFonts w:ascii="Times New Roman" w:eastAsia="Times New Roman" w:hAnsi="Times New Roman" w:cs="Times New Roman"/>
      <w:sz w:val="24"/>
      <w:lang w:val="en-US" w:eastAsia="en-US"/>
    </w:rPr>
  </w:style>
  <w:style w:type="paragraph" w:styleId="Footer">
    <w:name w:val="footer"/>
    <w:basedOn w:val="Normal"/>
    <w:link w:val="FooterChar"/>
    <w:rsid w:val="00C97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CEC"/>
    <w:rPr>
      <w:rFonts w:ascii="Times New Roman" w:eastAsia="Times New Roman" w:hAnsi="Times New Roman" w:cs="Times New Roman"/>
      <w:sz w:val="16"/>
      <w:lang w:val="en-US" w:eastAsia="en-US"/>
    </w:rPr>
  </w:style>
  <w:style w:type="paragraph" w:styleId="List">
    <w:name w:val="List"/>
    <w:basedOn w:val="BodyText"/>
    <w:next w:val="BodyText"/>
    <w:rsid w:val="00C97CEC"/>
    <w:pPr>
      <w:tabs>
        <w:tab w:val="left" w:pos="340"/>
      </w:tabs>
      <w:spacing w:before="60" w:after="60"/>
      <w:ind w:left="340" w:hanging="340"/>
    </w:pPr>
  </w:style>
  <w:style w:type="paragraph" w:styleId="ListBullet">
    <w:name w:val="List Bullet"/>
    <w:basedOn w:val="List"/>
    <w:rsid w:val="00C97CEC"/>
    <w:pPr>
      <w:numPr>
        <w:numId w:val="13"/>
      </w:numPr>
      <w:tabs>
        <w:tab w:val="clear" w:pos="340"/>
      </w:tabs>
      <w:spacing w:before="40" w:after="40"/>
    </w:pPr>
  </w:style>
  <w:style w:type="character" w:customStyle="1" w:styleId="SpecialBold">
    <w:name w:val="Special Bold"/>
    <w:basedOn w:val="DefaultParagraphFont"/>
    <w:rsid w:val="00C97CEC"/>
    <w:rPr>
      <w:b/>
      <w:spacing w:val="0"/>
    </w:rPr>
  </w:style>
  <w:style w:type="paragraph" w:styleId="ListBullet2">
    <w:name w:val="List Bullet 2"/>
    <w:basedOn w:val="List2"/>
    <w:rsid w:val="00C97CEC"/>
    <w:pPr>
      <w:numPr>
        <w:numId w:val="14"/>
      </w:numPr>
      <w:tabs>
        <w:tab w:val="clear" w:pos="680"/>
      </w:tabs>
    </w:pPr>
  </w:style>
  <w:style w:type="paragraph" w:styleId="Header">
    <w:name w:val="header"/>
    <w:basedOn w:val="Normal"/>
    <w:link w:val="HeaderChar"/>
    <w:rsid w:val="00C97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C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CEC"/>
    <w:pPr>
      <w:spacing w:before="240" w:after="120"/>
      <w:outlineLvl w:val="0"/>
    </w:pPr>
    <w:rPr>
      <w:rFonts w:ascii="Times New Roman" w:hAnsi="Times New Roman"/>
      <w:b/>
      <w:sz w:val="28"/>
    </w:rPr>
  </w:style>
  <w:style w:type="paragraph" w:customStyle="1" w:styleId="AllowPageBreak">
    <w:name w:val="AllowPageBreak"/>
    <w:rsid w:val="00C97C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7CEC"/>
    <w:pPr>
      <w:tabs>
        <w:tab w:val="left" w:pos="680"/>
      </w:tabs>
      <w:spacing w:before="60" w:after="60"/>
      <w:ind w:left="680" w:hanging="340"/>
    </w:pPr>
  </w:style>
  <w:style w:type="character" w:customStyle="1" w:styleId="BoldandItalics">
    <w:name w:val="Bold and Italics"/>
    <w:qFormat/>
    <w:rsid w:val="00C97CEC"/>
    <w:rPr>
      <w:b/>
      <w:i/>
      <w:u w:val="none"/>
    </w:rPr>
  </w:style>
  <w:style w:type="character" w:customStyle="1" w:styleId="Heading2Char">
    <w:name w:val="Heading 2 Char"/>
    <w:basedOn w:val="DefaultParagraphFont"/>
    <w:link w:val="Heading2"/>
    <w:rsid w:val="00C97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C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C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CEC"/>
    <w:rPr>
      <w:rFonts w:ascii="Courier New" w:eastAsia="Times New Roman" w:hAnsi="Courier New" w:cs="Times New Roman"/>
      <w:i/>
      <w:szCs w:val="20"/>
      <w:lang w:val="en-US" w:eastAsia="en-US"/>
    </w:rPr>
  </w:style>
  <w:style w:type="paragraph" w:customStyle="1" w:styleId="HeadingBase">
    <w:name w:val="Heading Base"/>
    <w:rsid w:val="00C97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CEC"/>
    <w:pPr>
      <w:tabs>
        <w:tab w:val="right" w:leader="dot" w:pos="9072"/>
      </w:tabs>
      <w:ind w:left="567"/>
    </w:pPr>
    <w:rPr>
      <w:szCs w:val="22"/>
    </w:rPr>
  </w:style>
  <w:style w:type="paragraph" w:customStyle="1" w:styleId="TOCBase">
    <w:name w:val="TOC Base"/>
    <w:rsid w:val="00C97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CEC"/>
    <w:pPr>
      <w:tabs>
        <w:tab w:val="right" w:leader="dot" w:pos="9072"/>
      </w:tabs>
      <w:spacing w:before="40" w:after="40"/>
      <w:ind w:left="284"/>
    </w:pPr>
    <w:rPr>
      <w:rFonts w:ascii="Times New Roman" w:hAnsi="Times New Roman"/>
    </w:rPr>
  </w:style>
  <w:style w:type="paragraph" w:styleId="TOC1">
    <w:name w:val="toc 1"/>
    <w:basedOn w:val="TOCBase"/>
    <w:next w:val="Normal"/>
    <w:rsid w:val="00C97C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CEC"/>
    <w:pPr>
      <w:spacing w:before="5040"/>
      <w:jc w:val="center"/>
    </w:pPr>
    <w:rPr>
      <w:sz w:val="48"/>
      <w:szCs w:val="72"/>
      <w:lang w:val="en-US"/>
    </w:rPr>
  </w:style>
  <w:style w:type="character" w:customStyle="1" w:styleId="TitleChar">
    <w:name w:val="Title Char"/>
    <w:basedOn w:val="DefaultParagraphFont"/>
    <w:link w:val="Title"/>
    <w:rsid w:val="00C97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CEC"/>
    <w:pPr>
      <w:tabs>
        <w:tab w:val="left" w:pos="3600"/>
        <w:tab w:val="left" w:pos="3958"/>
      </w:tabs>
    </w:pPr>
  </w:style>
  <w:style w:type="paragraph" w:customStyle="1" w:styleId="Note">
    <w:name w:val="Note"/>
    <w:basedOn w:val="BodyText"/>
    <w:rsid w:val="00C97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CEC"/>
    <w:pPr>
      <w:framePr w:wrap="auto" w:hAnchor="text" w:y="6049"/>
    </w:pPr>
    <w:rPr>
      <w:color w:val="000000"/>
      <w:sz w:val="40"/>
    </w:rPr>
  </w:style>
  <w:style w:type="paragraph" w:customStyle="1" w:styleId="TOCTitle">
    <w:name w:val="TOCTitle"/>
    <w:basedOn w:val="Heading1"/>
    <w:rsid w:val="00C97CEC"/>
    <w:pPr>
      <w:spacing w:after="240"/>
      <w:jc w:val="center"/>
      <w:outlineLvl w:val="9"/>
    </w:pPr>
    <w:rPr>
      <w:caps/>
    </w:rPr>
  </w:style>
  <w:style w:type="paragraph" w:customStyle="1" w:styleId="Version">
    <w:name w:val="Version"/>
    <w:rsid w:val="00C97C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CEC"/>
    <w:pPr>
      <w:keepNext w:val="0"/>
      <w:tabs>
        <w:tab w:val="right" w:pos="4176"/>
      </w:tabs>
      <w:ind w:left="198" w:hanging="198"/>
    </w:pPr>
    <w:rPr>
      <w:rFonts w:ascii="Garamond" w:hAnsi="Garamond"/>
    </w:rPr>
  </w:style>
  <w:style w:type="paragraph" w:styleId="IndexHeading">
    <w:name w:val="index heading"/>
    <w:basedOn w:val="Normal"/>
    <w:next w:val="Index1"/>
    <w:semiHidden/>
    <w:rsid w:val="00C97CEC"/>
    <w:pPr>
      <w:spacing w:before="120" w:after="120"/>
    </w:pPr>
    <w:rPr>
      <w:rFonts w:ascii="Arial" w:hAnsi="Arial"/>
      <w:b/>
      <w:color w:val="918585"/>
      <w:sz w:val="24"/>
    </w:rPr>
  </w:style>
  <w:style w:type="paragraph" w:customStyle="1" w:styleId="Chapter">
    <w:name w:val="Chapter"/>
    <w:basedOn w:val="Normal"/>
    <w:rsid w:val="00C97CEC"/>
    <w:pPr>
      <w:spacing w:before="240"/>
    </w:pPr>
    <w:rPr>
      <w:rFonts w:ascii="Times New Roman" w:hAnsi="Times New Roman"/>
      <w:smallCaps/>
      <w:spacing w:val="80"/>
      <w:sz w:val="28"/>
    </w:rPr>
  </w:style>
  <w:style w:type="paragraph" w:customStyle="1" w:styleId="InChapter">
    <w:name w:val="InChapter"/>
    <w:basedOn w:val="Heading3"/>
    <w:rsid w:val="00C97CEC"/>
    <w:pPr>
      <w:spacing w:after="240"/>
      <w:outlineLvl w:val="9"/>
    </w:pPr>
    <w:rPr>
      <w:noProof/>
    </w:rPr>
  </w:style>
  <w:style w:type="paragraph" w:styleId="Index2">
    <w:name w:val="index 2"/>
    <w:basedOn w:val="Normal"/>
    <w:next w:val="Normal"/>
    <w:semiHidden/>
    <w:rsid w:val="00C97CEC"/>
    <w:pPr>
      <w:tabs>
        <w:tab w:val="right" w:pos="4176"/>
      </w:tabs>
      <w:ind w:left="568" w:hanging="284"/>
    </w:pPr>
    <w:rPr>
      <w:rFonts w:ascii="Garamond" w:hAnsi="Garamond"/>
    </w:rPr>
  </w:style>
  <w:style w:type="paragraph" w:customStyle="1" w:styleId="Byline">
    <w:name w:val="Byline"/>
    <w:rsid w:val="00C97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CEC"/>
    <w:pPr>
      <w:tabs>
        <w:tab w:val="clear" w:pos="3600"/>
        <w:tab w:val="clear" w:pos="3958"/>
      </w:tabs>
      <w:jc w:val="right"/>
    </w:pPr>
  </w:style>
  <w:style w:type="character" w:styleId="Emphasis">
    <w:name w:val="Emphasis"/>
    <w:basedOn w:val="DefaultParagraphFont"/>
    <w:qFormat/>
    <w:rsid w:val="00C97CEC"/>
    <w:rPr>
      <w:i/>
    </w:rPr>
  </w:style>
  <w:style w:type="paragraph" w:styleId="Caption">
    <w:name w:val="caption"/>
    <w:basedOn w:val="BodyText"/>
    <w:next w:val="Normal"/>
    <w:qFormat/>
    <w:rsid w:val="00C97CEC"/>
    <w:pPr>
      <w:framePr w:w="2268" w:hSpace="181" w:vSpace="181" w:wrap="around" w:vAnchor="text" w:hAnchor="page" w:x="1135" w:y="285" w:anchorLock="1"/>
    </w:pPr>
    <w:rPr>
      <w:i/>
    </w:rPr>
  </w:style>
  <w:style w:type="paragraph" w:customStyle="1" w:styleId="MiniTOCTitle">
    <w:name w:val="MiniTOCTitle"/>
    <w:basedOn w:val="Heading4"/>
    <w:rsid w:val="00C97CEC"/>
    <w:pPr>
      <w:spacing w:before="240"/>
      <w:outlineLvl w:val="9"/>
    </w:pPr>
    <w:rPr>
      <w:noProof/>
      <w:sz w:val="24"/>
    </w:rPr>
  </w:style>
  <w:style w:type="paragraph" w:customStyle="1" w:styleId="MiniTOCItem">
    <w:name w:val="MiniTOCItem"/>
    <w:basedOn w:val="ListBullet"/>
    <w:rsid w:val="00C97CEC"/>
    <w:pPr>
      <w:numPr>
        <w:numId w:val="0"/>
      </w:numPr>
      <w:tabs>
        <w:tab w:val="right" w:leader="dot" w:pos="6521"/>
      </w:tabs>
      <w:spacing w:before="0" w:after="0"/>
    </w:pPr>
  </w:style>
  <w:style w:type="paragraph" w:customStyle="1" w:styleId="TOFTitle">
    <w:name w:val="TOFTitle"/>
    <w:basedOn w:val="TOCTitle"/>
    <w:rsid w:val="00C97CEC"/>
  </w:style>
  <w:style w:type="paragraph" w:styleId="TableofFigures">
    <w:name w:val="table of figures"/>
    <w:basedOn w:val="Normal"/>
    <w:next w:val="Normal"/>
    <w:semiHidden/>
    <w:rsid w:val="00C97CEC"/>
    <w:pPr>
      <w:tabs>
        <w:tab w:val="right" w:leader="dot" w:pos="9072"/>
      </w:tabs>
      <w:ind w:left="970" w:hanging="403"/>
    </w:pPr>
    <w:rPr>
      <w:rFonts w:ascii="Times New Roman" w:hAnsi="Times New Roman"/>
      <w:b/>
    </w:rPr>
  </w:style>
  <w:style w:type="paragraph" w:styleId="ListNumber">
    <w:name w:val="List Number"/>
    <w:basedOn w:val="List"/>
    <w:rsid w:val="00C97CEC"/>
    <w:pPr>
      <w:numPr>
        <w:numId w:val="11"/>
      </w:numPr>
    </w:pPr>
  </w:style>
  <w:style w:type="character" w:customStyle="1" w:styleId="WingdingSymbols">
    <w:name w:val="Wingding Symbols"/>
    <w:rsid w:val="00C97CEC"/>
    <w:rPr>
      <w:rFonts w:ascii="Wingdings" w:hAnsi="Wingdings"/>
    </w:rPr>
  </w:style>
  <w:style w:type="paragraph" w:customStyle="1" w:styleId="TableHeading">
    <w:name w:val="Table Heading"/>
    <w:basedOn w:val="HeadingBase"/>
    <w:rsid w:val="00C97CEC"/>
    <w:pPr>
      <w:keepLines/>
      <w:pBdr>
        <w:bottom w:val="single" w:sz="6" w:space="1" w:color="918585"/>
      </w:pBdr>
      <w:spacing w:before="240"/>
    </w:pPr>
  </w:style>
  <w:style w:type="character" w:customStyle="1" w:styleId="HotSpot">
    <w:name w:val="HotSpot"/>
    <w:rsid w:val="00C97CEC"/>
    <w:rPr>
      <w:color w:val="0033CC"/>
      <w:u w:val="none"/>
    </w:rPr>
  </w:style>
  <w:style w:type="paragraph" w:customStyle="1" w:styleId="BodyTextRight">
    <w:name w:val="Body Text Right"/>
    <w:basedOn w:val="BodyText"/>
    <w:rsid w:val="00C97CEC"/>
    <w:pPr>
      <w:spacing w:before="0" w:after="0"/>
      <w:jc w:val="right"/>
    </w:pPr>
  </w:style>
  <w:style w:type="paragraph" w:styleId="Index3">
    <w:name w:val="index 3"/>
    <w:basedOn w:val="ListNumber2"/>
    <w:next w:val="Normal"/>
    <w:semiHidden/>
    <w:rsid w:val="00C97CEC"/>
    <w:pPr>
      <w:numPr>
        <w:numId w:val="0"/>
      </w:numPr>
      <w:tabs>
        <w:tab w:val="right" w:leader="dot" w:pos="4176"/>
      </w:tabs>
    </w:pPr>
  </w:style>
  <w:style w:type="paragraph" w:styleId="ListNumber2">
    <w:name w:val="List Number 2"/>
    <w:basedOn w:val="List2"/>
    <w:rsid w:val="00C97CEC"/>
    <w:pPr>
      <w:numPr>
        <w:numId w:val="10"/>
      </w:numPr>
      <w:tabs>
        <w:tab w:val="clear" w:pos="1060"/>
      </w:tabs>
    </w:pPr>
  </w:style>
  <w:style w:type="paragraph" w:customStyle="1" w:styleId="MarginNote">
    <w:name w:val="Margin Note"/>
    <w:basedOn w:val="BodyText"/>
    <w:rsid w:val="00C97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C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CEC"/>
    <w:rPr>
      <w:sz w:val="32"/>
    </w:rPr>
  </w:style>
  <w:style w:type="paragraph" w:customStyle="1" w:styleId="HeadingProcedure">
    <w:name w:val="Heading Procedure"/>
    <w:basedOn w:val="HeadingBase"/>
    <w:next w:val="Normal"/>
    <w:rsid w:val="00C97CEC"/>
    <w:pPr>
      <w:tabs>
        <w:tab w:val="left" w:pos="0"/>
      </w:tabs>
      <w:spacing w:before="120" w:after="60"/>
    </w:pPr>
    <w:rPr>
      <w:i/>
      <w:color w:val="918585"/>
      <w:sz w:val="22"/>
    </w:rPr>
  </w:style>
  <w:style w:type="paragraph" w:customStyle="1" w:styleId="TableBodyText">
    <w:name w:val="Table Body Text"/>
    <w:basedOn w:val="BodyText"/>
    <w:rsid w:val="00C97CEC"/>
    <w:pPr>
      <w:spacing w:before="60" w:after="60"/>
    </w:pPr>
  </w:style>
  <w:style w:type="paragraph" w:styleId="ListContinue">
    <w:name w:val="List Continue"/>
    <w:basedOn w:val="List"/>
    <w:rsid w:val="00C97CEC"/>
    <w:pPr>
      <w:ind w:firstLine="0"/>
    </w:pPr>
  </w:style>
  <w:style w:type="paragraph" w:customStyle="1" w:styleId="ListNote">
    <w:name w:val="List Note"/>
    <w:basedOn w:val="List"/>
    <w:rsid w:val="00C97CEC"/>
    <w:pPr>
      <w:pBdr>
        <w:top w:val="single" w:sz="6" w:space="2" w:color="918585"/>
        <w:bottom w:val="single" w:sz="6" w:space="2" w:color="918585"/>
      </w:pBdr>
      <w:tabs>
        <w:tab w:val="left" w:pos="1021"/>
      </w:tabs>
      <w:ind w:firstLine="0"/>
    </w:pPr>
  </w:style>
  <w:style w:type="paragraph" w:customStyle="1" w:styleId="Warning">
    <w:name w:val="Warning"/>
    <w:basedOn w:val="BodyText"/>
    <w:rsid w:val="00C97CEC"/>
    <w:pPr>
      <w:shd w:val="clear" w:color="auto" w:fill="D9D9D9"/>
      <w:tabs>
        <w:tab w:val="left" w:pos="992"/>
      </w:tabs>
      <w:ind w:left="119" w:right="119"/>
    </w:pPr>
    <w:rPr>
      <w:sz w:val="20"/>
    </w:rPr>
  </w:style>
  <w:style w:type="paragraph" w:customStyle="1" w:styleId="MarginIcons">
    <w:name w:val="Margin Icons"/>
    <w:basedOn w:val="BodyText"/>
    <w:rsid w:val="00C97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CEC"/>
    <w:rPr>
      <w:rFonts w:ascii="Courier New" w:hAnsi="Courier New"/>
    </w:rPr>
  </w:style>
  <w:style w:type="paragraph" w:customStyle="1" w:styleId="NoteBullet">
    <w:name w:val="Note Bullet"/>
    <w:basedOn w:val="Note"/>
    <w:rsid w:val="00C97CEC"/>
    <w:pPr>
      <w:tabs>
        <w:tab w:val="clear" w:pos="680"/>
      </w:tabs>
      <w:spacing w:before="60" w:after="60"/>
    </w:pPr>
  </w:style>
  <w:style w:type="paragraph" w:customStyle="1" w:styleId="SubHeading2">
    <w:name w:val="SubHeading2"/>
    <w:basedOn w:val="HeadingBase"/>
    <w:rsid w:val="00C97CEC"/>
    <w:pPr>
      <w:spacing w:before="240" w:after="60"/>
    </w:pPr>
    <w:rPr>
      <w:sz w:val="20"/>
    </w:rPr>
  </w:style>
  <w:style w:type="paragraph" w:customStyle="1" w:styleId="SubHeading1">
    <w:name w:val="SubHeading1"/>
    <w:basedOn w:val="HeadingBase"/>
    <w:rsid w:val="00C97CEC"/>
    <w:pPr>
      <w:spacing w:before="240" w:after="60"/>
    </w:pPr>
    <w:rPr>
      <w:color w:val="918585"/>
      <w:sz w:val="22"/>
    </w:rPr>
  </w:style>
  <w:style w:type="paragraph" w:customStyle="1" w:styleId="SideHeading">
    <w:name w:val="Side Heading"/>
    <w:basedOn w:val="HeadingBase"/>
    <w:rsid w:val="00C97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CEC"/>
    <w:pPr>
      <w:numPr>
        <w:numId w:val="12"/>
      </w:numPr>
    </w:pPr>
  </w:style>
  <w:style w:type="paragraph" w:styleId="PlainText">
    <w:name w:val="Plain Text"/>
    <w:basedOn w:val="Normal"/>
    <w:link w:val="PlainTextChar"/>
    <w:rsid w:val="00C97CEC"/>
    <w:rPr>
      <w:sz w:val="20"/>
    </w:rPr>
  </w:style>
  <w:style w:type="character" w:customStyle="1" w:styleId="PlainTextChar">
    <w:name w:val="Plain Text Char"/>
    <w:basedOn w:val="DefaultParagraphFont"/>
    <w:link w:val="PlainText"/>
    <w:rsid w:val="00C97C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CEC"/>
    <w:rPr>
      <w:b/>
      <w:smallCaps/>
    </w:rPr>
  </w:style>
  <w:style w:type="paragraph" w:customStyle="1" w:styleId="TableListNumber">
    <w:name w:val="Table List Number"/>
    <w:basedOn w:val="ListNumber"/>
    <w:rsid w:val="00C97CEC"/>
    <w:pPr>
      <w:numPr>
        <w:numId w:val="0"/>
      </w:numPr>
    </w:pPr>
  </w:style>
  <w:style w:type="paragraph" w:styleId="TOC4">
    <w:name w:val="toc 4"/>
    <w:basedOn w:val="TOCBase"/>
    <w:next w:val="Normal"/>
    <w:semiHidden/>
    <w:rsid w:val="00C97CEC"/>
    <w:pPr>
      <w:tabs>
        <w:tab w:val="right" w:leader="dot" w:pos="9071"/>
      </w:tabs>
      <w:ind w:left="1701"/>
    </w:pPr>
  </w:style>
  <w:style w:type="paragraph" w:customStyle="1" w:styleId="ListAlpha">
    <w:name w:val="List Alpha"/>
    <w:basedOn w:val="List"/>
    <w:rsid w:val="00C97CEC"/>
    <w:pPr>
      <w:numPr>
        <w:numId w:val="9"/>
      </w:numPr>
    </w:pPr>
  </w:style>
  <w:style w:type="paragraph" w:customStyle="1" w:styleId="ListAlpha2">
    <w:name w:val="List Alpha 2"/>
    <w:basedOn w:val="List2"/>
    <w:rsid w:val="00C97CEC"/>
    <w:pPr>
      <w:numPr>
        <w:numId w:val="8"/>
      </w:numPr>
    </w:pPr>
  </w:style>
  <w:style w:type="paragraph" w:styleId="List3">
    <w:name w:val="List 3"/>
    <w:basedOn w:val="BodyText"/>
    <w:rsid w:val="00C97CEC"/>
    <w:pPr>
      <w:tabs>
        <w:tab w:val="left" w:pos="1021"/>
      </w:tabs>
      <w:spacing w:before="60" w:after="60"/>
      <w:ind w:left="1020" w:hanging="340"/>
    </w:pPr>
  </w:style>
  <w:style w:type="paragraph" w:styleId="List4">
    <w:name w:val="List 4"/>
    <w:basedOn w:val="BodyText"/>
    <w:rsid w:val="00C97CEC"/>
    <w:pPr>
      <w:tabs>
        <w:tab w:val="left" w:pos="1361"/>
      </w:tabs>
      <w:spacing w:before="60" w:after="60"/>
      <w:ind w:left="1361" w:hanging="340"/>
    </w:pPr>
  </w:style>
  <w:style w:type="paragraph" w:styleId="List5">
    <w:name w:val="List 5"/>
    <w:basedOn w:val="BodyText"/>
    <w:rsid w:val="00C97CEC"/>
    <w:pPr>
      <w:tabs>
        <w:tab w:val="left" w:pos="1701"/>
      </w:tabs>
      <w:spacing w:before="60" w:after="60"/>
      <w:ind w:left="1701" w:hanging="340"/>
    </w:pPr>
  </w:style>
  <w:style w:type="paragraph" w:styleId="ListBullet3">
    <w:name w:val="List Bullet 3"/>
    <w:basedOn w:val="List3"/>
    <w:rsid w:val="00C97CEC"/>
    <w:pPr>
      <w:numPr>
        <w:numId w:val="15"/>
      </w:numPr>
      <w:tabs>
        <w:tab w:val="clear" w:pos="1021"/>
      </w:tabs>
      <w:ind w:left="1037" w:hanging="357"/>
    </w:pPr>
  </w:style>
  <w:style w:type="paragraph" w:styleId="ListBullet4">
    <w:name w:val="List Bullet 4"/>
    <w:basedOn w:val="List4"/>
    <w:rsid w:val="00C97CEC"/>
    <w:pPr>
      <w:numPr>
        <w:numId w:val="3"/>
      </w:numPr>
    </w:pPr>
  </w:style>
  <w:style w:type="paragraph" w:styleId="ListBullet5">
    <w:name w:val="List Bullet 5"/>
    <w:basedOn w:val="List5"/>
    <w:rsid w:val="00C97CEC"/>
    <w:pPr>
      <w:numPr>
        <w:numId w:val="4"/>
      </w:numPr>
    </w:pPr>
  </w:style>
  <w:style w:type="paragraph" w:styleId="ListContinue2">
    <w:name w:val="List Continue 2"/>
    <w:basedOn w:val="List2"/>
    <w:rsid w:val="00C97CEC"/>
    <w:pPr>
      <w:ind w:firstLine="0"/>
    </w:pPr>
  </w:style>
  <w:style w:type="paragraph" w:styleId="ListContinue3">
    <w:name w:val="List Continue 3"/>
    <w:basedOn w:val="List3"/>
    <w:rsid w:val="00C97CEC"/>
    <w:pPr>
      <w:ind w:left="1021" w:firstLine="0"/>
    </w:pPr>
  </w:style>
  <w:style w:type="paragraph" w:styleId="ListContinue4">
    <w:name w:val="List Continue 4"/>
    <w:basedOn w:val="List4"/>
    <w:rsid w:val="00C97CEC"/>
    <w:pPr>
      <w:ind w:firstLine="0"/>
    </w:pPr>
  </w:style>
  <w:style w:type="paragraph" w:styleId="ListContinue5">
    <w:name w:val="List Continue 5"/>
    <w:basedOn w:val="List5"/>
    <w:rsid w:val="00C97CEC"/>
    <w:pPr>
      <w:ind w:firstLine="0"/>
    </w:pPr>
  </w:style>
  <w:style w:type="paragraph" w:styleId="ListNumber3">
    <w:name w:val="List Number 3"/>
    <w:basedOn w:val="List3"/>
    <w:rsid w:val="00C97CEC"/>
    <w:pPr>
      <w:numPr>
        <w:numId w:val="5"/>
      </w:numPr>
    </w:pPr>
  </w:style>
  <w:style w:type="paragraph" w:styleId="ListNumber4">
    <w:name w:val="List Number 4"/>
    <w:basedOn w:val="List4"/>
    <w:rsid w:val="00C97CEC"/>
    <w:pPr>
      <w:numPr>
        <w:numId w:val="6"/>
      </w:numPr>
    </w:pPr>
  </w:style>
  <w:style w:type="paragraph" w:styleId="ListNumber5">
    <w:name w:val="List Number 5"/>
    <w:basedOn w:val="List5"/>
    <w:rsid w:val="00C97CEC"/>
    <w:pPr>
      <w:numPr>
        <w:numId w:val="7"/>
      </w:numPr>
    </w:pPr>
  </w:style>
  <w:style w:type="paragraph" w:styleId="BlockText">
    <w:name w:val="Block Text"/>
    <w:basedOn w:val="Normal"/>
    <w:rsid w:val="00C97CEC"/>
    <w:pPr>
      <w:spacing w:after="120"/>
      <w:ind w:left="1440" w:right="1440"/>
    </w:pPr>
  </w:style>
  <w:style w:type="character" w:customStyle="1" w:styleId="Subscript">
    <w:name w:val="Subscript"/>
    <w:basedOn w:val="DefaultParagraphFont"/>
    <w:rsid w:val="00C97CEC"/>
    <w:rPr>
      <w:sz w:val="16"/>
      <w:vertAlign w:val="subscript"/>
    </w:rPr>
  </w:style>
  <w:style w:type="character" w:customStyle="1" w:styleId="Superscript">
    <w:name w:val="Superscript"/>
    <w:basedOn w:val="DefaultParagraphFont"/>
    <w:rsid w:val="00C97CEC"/>
    <w:rPr>
      <w:sz w:val="16"/>
      <w:vertAlign w:val="superscript"/>
    </w:rPr>
  </w:style>
  <w:style w:type="character" w:customStyle="1" w:styleId="Symbols">
    <w:name w:val="Symbols"/>
    <w:basedOn w:val="DefaultParagraphFont"/>
    <w:rsid w:val="00C97CEC"/>
    <w:rPr>
      <w:rFonts w:ascii="Symbol" w:hAnsi="Symbol"/>
    </w:rPr>
  </w:style>
  <w:style w:type="character" w:customStyle="1" w:styleId="MenuOptions">
    <w:name w:val="Menu Options"/>
    <w:basedOn w:val="DefaultParagraphFont"/>
    <w:rsid w:val="00C97CEC"/>
    <w:rPr>
      <w:rFonts w:ascii="Arial Narrow" w:hAnsi="Arial Narrow"/>
      <w:smallCaps/>
    </w:rPr>
  </w:style>
  <w:style w:type="character" w:customStyle="1" w:styleId="Buttons">
    <w:name w:val="Buttons"/>
    <w:basedOn w:val="DefaultParagraphFont"/>
    <w:rsid w:val="00C97CEC"/>
    <w:rPr>
      <w:b/>
    </w:rPr>
  </w:style>
  <w:style w:type="character" w:customStyle="1" w:styleId="Underlined">
    <w:name w:val="Underlined"/>
    <w:basedOn w:val="DefaultParagraphFont"/>
    <w:rsid w:val="00C97CEC"/>
    <w:rPr>
      <w:u w:val="single"/>
    </w:rPr>
  </w:style>
  <w:style w:type="paragraph" w:customStyle="1" w:styleId="TableBodyTextRight">
    <w:name w:val="Table Body Text Right"/>
    <w:basedOn w:val="TableBodyText"/>
    <w:rsid w:val="00C97CEC"/>
    <w:pPr>
      <w:widowControl w:val="0"/>
      <w:autoSpaceDE w:val="0"/>
      <w:autoSpaceDN w:val="0"/>
      <w:adjustRightInd w:val="0"/>
      <w:jc w:val="right"/>
    </w:pPr>
    <w:rPr>
      <w:rFonts w:cs="Arial"/>
      <w:szCs w:val="18"/>
    </w:rPr>
  </w:style>
  <w:style w:type="paragraph" w:customStyle="1" w:styleId="CopyrightText">
    <w:name w:val="Copyright Text"/>
    <w:basedOn w:val="BodyText"/>
    <w:rsid w:val="00C97CEC"/>
    <w:rPr>
      <w:sz w:val="18"/>
    </w:rPr>
  </w:style>
  <w:style w:type="paragraph" w:customStyle="1" w:styleId="BodySmallRight">
    <w:name w:val="Body Small Right"/>
    <w:basedOn w:val="BodyTextRight"/>
    <w:rsid w:val="00C97CEC"/>
    <w:rPr>
      <w:sz w:val="18"/>
      <w:szCs w:val="18"/>
    </w:rPr>
  </w:style>
  <w:style w:type="paragraph" w:customStyle="1" w:styleId="MarginEdition">
    <w:name w:val="Margin Edition"/>
    <w:basedOn w:val="MarginNote"/>
    <w:rsid w:val="00C97CEC"/>
    <w:pPr>
      <w:spacing w:before="0" w:after="0"/>
    </w:pPr>
    <w:rPr>
      <w:rFonts w:ascii="Times New Roman" w:hAnsi="Times New Roman"/>
      <w:color w:val="999999"/>
    </w:rPr>
  </w:style>
  <w:style w:type="paragraph" w:customStyle="1" w:styleId="Spacer">
    <w:name w:val="Spacer"/>
    <w:basedOn w:val="Normal"/>
    <w:rsid w:val="00C97CEC"/>
    <w:rPr>
      <w:sz w:val="2"/>
      <w:szCs w:val="2"/>
    </w:rPr>
  </w:style>
  <w:style w:type="character" w:customStyle="1" w:styleId="Small">
    <w:name w:val="Small"/>
    <w:basedOn w:val="DefaultParagraphFont"/>
    <w:rsid w:val="00C97CEC"/>
    <w:rPr>
      <w:sz w:val="16"/>
    </w:rPr>
  </w:style>
  <w:style w:type="paragraph" w:customStyle="1" w:styleId="WideTable">
    <w:name w:val="Wide Table"/>
    <w:basedOn w:val="Normal"/>
    <w:rsid w:val="00C97CEC"/>
    <w:pPr>
      <w:ind w:left="-1418"/>
    </w:pPr>
    <w:rPr>
      <w:sz w:val="2"/>
      <w:szCs w:val="2"/>
    </w:rPr>
  </w:style>
  <w:style w:type="character" w:styleId="PageNumber">
    <w:name w:val="page number"/>
    <w:basedOn w:val="DefaultParagraphFont"/>
    <w:rsid w:val="00C97CEC"/>
  </w:style>
  <w:style w:type="paragraph" w:styleId="Quote">
    <w:name w:val="Quote"/>
    <w:basedOn w:val="Heading1"/>
    <w:link w:val="QuoteChar"/>
    <w:qFormat/>
    <w:rsid w:val="00C97CEC"/>
    <w:rPr>
      <w:b w:val="0"/>
      <w:sz w:val="72"/>
      <w:szCs w:val="72"/>
      <w:lang w:val="en-NZ"/>
    </w:rPr>
  </w:style>
  <w:style w:type="character" w:customStyle="1" w:styleId="QuoteChar">
    <w:name w:val="Quote Char"/>
    <w:basedOn w:val="DefaultParagraphFont"/>
    <w:link w:val="Quote"/>
    <w:rsid w:val="00C97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CEC"/>
    <w:pPr>
      <w:pageBreakBefore/>
    </w:pPr>
  </w:style>
  <w:style w:type="paragraph" w:customStyle="1" w:styleId="Border">
    <w:name w:val="Border"/>
    <w:basedOn w:val="Normal"/>
    <w:qFormat/>
    <w:rsid w:val="00C97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CEC"/>
    <w:rPr>
      <w:b/>
      <w:bCs/>
      <w:i/>
      <w:iCs/>
      <w:color w:val="auto"/>
    </w:rPr>
  </w:style>
  <w:style w:type="paragraph" w:styleId="IntenseQuote">
    <w:name w:val="Intense Quote"/>
    <w:basedOn w:val="Normal"/>
    <w:next w:val="Normal"/>
    <w:link w:val="IntenseQuoteChar"/>
    <w:uiPriority w:val="30"/>
    <w:qFormat/>
    <w:rsid w:val="00C97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C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CEC"/>
    <w:rPr>
      <w:smallCaps/>
      <w:color w:val="auto"/>
      <w:u w:val="single"/>
    </w:rPr>
  </w:style>
  <w:style w:type="character" w:styleId="IntenseReference">
    <w:name w:val="Intense Reference"/>
    <w:basedOn w:val="DefaultParagraphFont"/>
    <w:uiPriority w:val="32"/>
    <w:qFormat/>
    <w:rsid w:val="00C97CEC"/>
    <w:rPr>
      <w:b/>
      <w:bCs/>
      <w:smallCaps/>
      <w:color w:val="auto"/>
      <w:spacing w:val="5"/>
      <w:u w:val="single"/>
    </w:rPr>
  </w:style>
  <w:style w:type="paragraph" w:customStyle="1" w:styleId="2ColumnHeading">
    <w:name w:val="2Column Heading"/>
    <w:basedOn w:val="BodyText"/>
    <w:qFormat/>
    <w:rsid w:val="00C97CEC"/>
    <w:pPr>
      <w:spacing w:after="60"/>
      <w:ind w:left="-2268"/>
    </w:pPr>
    <w:rPr>
      <w:b/>
    </w:rPr>
  </w:style>
  <w:style w:type="paragraph" w:customStyle="1" w:styleId="Heading1TOC">
    <w:name w:val="Heading1 TOC"/>
    <w:basedOn w:val="Normal"/>
    <w:qFormat/>
    <w:rsid w:val="00C97CEC"/>
    <w:pPr>
      <w:spacing w:before="240" w:after="120"/>
    </w:pPr>
    <w:rPr>
      <w:rFonts w:ascii="Times New Roman" w:hAnsi="Times New Roman"/>
      <w:b/>
      <w:sz w:val="32"/>
    </w:rPr>
  </w:style>
  <w:style w:type="paragraph" w:customStyle="1" w:styleId="Heading2TOC">
    <w:name w:val="Heading2 TOC"/>
    <w:basedOn w:val="Normal"/>
    <w:qFormat/>
    <w:rsid w:val="00C97CEC"/>
    <w:pPr>
      <w:spacing w:before="240" w:after="60"/>
    </w:pPr>
    <w:rPr>
      <w:rFonts w:ascii="Times New Roman" w:hAnsi="Times New Roman"/>
      <w:b/>
      <w:sz w:val="28"/>
    </w:rPr>
  </w:style>
  <w:style w:type="character" w:customStyle="1" w:styleId="Underline">
    <w:name w:val="Underline"/>
    <w:basedOn w:val="DefaultParagraphFont"/>
    <w:qFormat/>
    <w:rsid w:val="00C97CEC"/>
    <w:rPr>
      <w:u w:val="single"/>
    </w:rPr>
  </w:style>
  <w:style w:type="paragraph" w:styleId="BalloonText">
    <w:name w:val="Balloon Text"/>
    <w:basedOn w:val="Normal"/>
    <w:link w:val="BalloonTextChar"/>
    <w:rsid w:val="00C97CEC"/>
    <w:rPr>
      <w:rFonts w:ascii="Tahoma" w:hAnsi="Tahoma" w:cs="Tahoma"/>
      <w:sz w:val="16"/>
      <w:szCs w:val="16"/>
    </w:rPr>
  </w:style>
  <w:style w:type="character" w:customStyle="1" w:styleId="BalloonTextChar">
    <w:name w:val="Balloon Text Char"/>
    <w:basedOn w:val="DefaultParagraphFont"/>
    <w:link w:val="BalloonText"/>
    <w:rsid w:val="00C97C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C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C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1036</Words>
  <Characters>6727</Characters>
  <Application>Microsoft Office Word</Application>
  <DocSecurity>0</DocSecurity>
  <Lines>245</Lines>
  <Paragraphs>125</Paragraphs>
  <ScaleCrop>false</ScaleCrop>
  <Company>Author-it Software Corporation Ltd.</Company>
  <LinksUpToDate>false</LinksUpToDate>
  <CharactersWithSpaces>7693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FNSISV403A Survey potential risk exposure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2012-05-26T16:25:00Z</dcterms:created>
  <dcterms:modified xsi:type="dcterms:W3CDTF">2012-05-26T16:25:00Z</dcterms:modified>
</cp:coreProperties>
</file>