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6AAF" w:rsidP="001D6AAF">
      <w:pPr>
        <w:pStyle w:val="Title"/>
      </w:pPr>
      <w:r>
        <w:fldChar w:fldCharType="begin"/>
      </w:r>
      <w:r>
        <w:instrText xml:space="preserve"> TITLE   \* MERGEFORMAT </w:instrText>
      </w:r>
      <w:r>
        <w:fldChar w:fldCharType="separate"/>
      </w:r>
      <w:r>
        <w:t>FNSISV402A Underwrite new business</w:t>
      </w:r>
      <w:r>
        <w:fldChar w:fldCharType="end"/>
      </w:r>
    </w:p>
    <w:p w:rsidR="001D6AAF" w:rsidP="001D6AAF">
      <w:pPr>
        <w:pStyle w:val="Version"/>
        <w:sectPr w:rsidSect="00A07B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07B12" w:rsidP="00A07B12">
      <w:pPr>
        <w:pStyle w:val="SuperHeading"/>
      </w:pPr>
      <w:r w:rsidRPr="00A07B12">
        <w:t>FNSISV402A Underwrite new business</w:t>
      </w:r>
    </w:p>
    <w:p w:rsidR="00000000" w:rsidRPr="00A07B12" w:rsidP="00A07B12">
      <w:pPr>
        <w:pStyle w:val="SuperHeading"/>
      </w:pPr>
    </w:p>
    <w:p w:rsidR="00000000" w:rsidRPr="00A07B12" w:rsidP="00A07B12">
      <w:pPr>
        <w:pStyle w:val="Heading1"/>
      </w:pPr>
      <w:bookmarkStart w:id="1" w:name="O_79491"/>
      <w:bookmarkEnd w:id="1"/>
      <w:r w:rsidRPr="00A07B12">
        <w:t>Modification History</w:t>
      </w:r>
    </w:p>
    <w:p w:rsidR="00000000" w:rsidRPr="00A07B12" w:rsidP="00A07B12">
      <w:pPr>
        <w:pStyle w:val="BodyText"/>
      </w:pPr>
      <w:r w:rsidRPr="00A07B12">
        <w:t>Not applicable.</w:t>
      </w:r>
    </w:p>
    <w:p w:rsidR="00000000" w:rsidRPr="00A07B12" w:rsidP="00A07B12">
      <w:pPr>
        <w:pStyle w:val="AllowPageBreak"/>
      </w:pPr>
    </w:p>
    <w:p w:rsidR="00000000" w:rsidRPr="00A07B12" w:rsidP="00A07B12">
      <w:pPr>
        <w:pStyle w:val="Heading1"/>
      </w:pPr>
      <w:bookmarkStart w:id="2" w:name="O_79492"/>
      <w:bookmarkEnd w:id="2"/>
      <w:r w:rsidRPr="00A07B12">
        <w:t>Unit Descriptor</w:t>
      </w:r>
    </w:p>
    <w:tbl>
      <w:tblPr>
        <w:tblW w:w="0" w:type="auto"/>
        <w:tblLayout w:type="fixed"/>
        <w:tblCellMar>
          <w:left w:w="62" w:type="dxa"/>
          <w:right w:w="62" w:type="dxa"/>
        </w:tblCellMar>
        <w:tblLook w:val="0000"/>
      </w:tblPr>
      <w:tblGrid>
        <w:gridCol w:w="2647"/>
        <w:gridCol w:w="5875"/>
      </w:tblGrid>
      <w:tr w:rsidTr="001D6AAF">
        <w:tblPrEx>
          <w:tblW w:w="0" w:type="auto"/>
          <w:tblLayout w:type="fixed"/>
          <w:tblCellMar>
            <w:left w:w="62" w:type="dxa"/>
            <w:right w:w="62" w:type="dxa"/>
          </w:tblCellMar>
          <w:tblLook w:val="0000"/>
        </w:tblPrEx>
        <w:tc>
          <w:tcPr>
            <w:tcW w:w="2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12">
            <w:pPr>
              <w:pStyle w:val="BodyText"/>
              <w:rPr>
                <w:lang w:val="en-NZ"/>
              </w:rPr>
            </w:pPr>
            <w:r w:rsidRPr="00A07B12">
              <w:rPr>
                <w:rStyle w:val="SpecialBold"/>
              </w:rPr>
              <w:t>Unit descriptor</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B12" w:rsidP="00A07B12">
            <w:pPr>
              <w:pStyle w:val="BodyText"/>
            </w:pPr>
            <w:r w:rsidRPr="00A07B12">
              <w:t>This unit describes the performance outcomes, skills and knowledge required to conduct underwriting of new</w:t>
            </w:r>
            <w:r w:rsidRPr="00A07B12">
              <w:t xml:space="preserve"> business including determining the terms and conditions, risk acceptance, evaluating the response of the customer, negotiating and finalising the cover.</w:t>
            </w:r>
          </w:p>
          <w:p w:rsidR="00000000" w:rsidRPr="00A07B12" w:rsidP="00A07B12">
            <w:pPr>
              <w:pStyle w:val="BodyText"/>
            </w:pPr>
          </w:p>
          <w:p w:rsidR="00000000" w:rsidRPr="00A07B12" w:rsidP="00A07B12">
            <w:pPr>
              <w:pStyle w:val="BodyText"/>
            </w:pPr>
            <w:r w:rsidRPr="00A07B12">
              <w:t>This unit is applicable to individuals working within enterprises and job roles subject to licensing,</w:t>
            </w:r>
            <w:r w:rsidRPr="00A07B12">
              <w:t xml:space="preserve"> legislative, regulatory or certification requirements including legislation administered by the Australian Securities and Investments Commission (ASIC).</w:t>
            </w:r>
          </w:p>
        </w:tc>
      </w:tr>
    </w:tbl>
    <w:p w:rsidR="00000000" w:rsidRPr="00A07B12" w:rsidP="00A07B12">
      <w:pPr>
        <w:pStyle w:val="BodyText"/>
      </w:pPr>
    </w:p>
    <w:p w:rsidR="00000000" w:rsidRPr="00A07B12" w:rsidP="00A07B12">
      <w:pPr>
        <w:pStyle w:val="AllowPageBreak"/>
      </w:pPr>
    </w:p>
    <w:p w:rsidR="00000000" w:rsidRPr="00A07B12" w:rsidP="00A07B12">
      <w:pPr>
        <w:pStyle w:val="Heading1"/>
      </w:pPr>
      <w:bookmarkStart w:id="3" w:name="O_79493"/>
      <w:bookmarkEnd w:id="3"/>
      <w:r w:rsidRPr="00A07B12">
        <w:t>Application of the Unit</w:t>
      </w:r>
    </w:p>
    <w:tbl>
      <w:tblPr>
        <w:tblW w:w="0" w:type="auto"/>
        <w:tblLayout w:type="fixed"/>
        <w:tblCellMar>
          <w:left w:w="62" w:type="dxa"/>
          <w:right w:w="62" w:type="dxa"/>
        </w:tblCellMar>
        <w:tblLook w:val="0000"/>
      </w:tblPr>
      <w:tblGrid>
        <w:gridCol w:w="2721"/>
        <w:gridCol w:w="5801"/>
      </w:tblGrid>
      <w:tr w:rsidTr="001D6AAF">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12">
            <w:pPr>
              <w:pStyle w:val="BodyText"/>
              <w:rPr>
                <w:lang w:val="en-NZ"/>
              </w:rPr>
            </w:pPr>
            <w:r w:rsidRPr="00A07B12">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B12" w:rsidP="00A07B12">
            <w:pPr>
              <w:pStyle w:val="BodyText"/>
            </w:pPr>
            <w:r w:rsidRPr="00A07B12">
              <w:t>This unit applies to underwriting job roles in a range of insurance sectors and may be applied within organisations of various sizes and across a range of customer bases.</w:t>
            </w:r>
          </w:p>
        </w:tc>
      </w:tr>
    </w:tbl>
    <w:p w:rsidR="00000000" w:rsidRPr="00A07B12" w:rsidP="00A07B12">
      <w:pPr>
        <w:pStyle w:val="BodyText"/>
      </w:pPr>
    </w:p>
    <w:p w:rsidR="00000000" w:rsidRPr="00A07B12" w:rsidP="00A07B12">
      <w:pPr>
        <w:pStyle w:val="AllowPageBreak"/>
      </w:pPr>
    </w:p>
    <w:p w:rsidR="00000000" w:rsidRPr="00A07B12" w:rsidP="00A07B12">
      <w:pPr>
        <w:pStyle w:val="Heading1"/>
      </w:pPr>
      <w:bookmarkStart w:id="4" w:name="O_79494"/>
      <w:bookmarkEnd w:id="4"/>
      <w:r w:rsidRPr="00A07B12">
        <w:t>Licensing/Regulatory Information</w:t>
      </w:r>
    </w:p>
    <w:p w:rsidR="00000000" w:rsidRPr="00A07B12" w:rsidP="00A07B12">
      <w:pPr>
        <w:pStyle w:val="BodyText"/>
      </w:pPr>
      <w:r w:rsidRPr="00A07B12">
        <w:t>Not applicable.</w:t>
      </w:r>
    </w:p>
    <w:p w:rsidR="00000000" w:rsidRPr="00A07B12" w:rsidP="00A07B12">
      <w:pPr>
        <w:pStyle w:val="AllowPageBreak"/>
      </w:pPr>
    </w:p>
    <w:p w:rsidR="00000000" w:rsidRPr="00A07B12" w:rsidP="00A07B12">
      <w:pPr>
        <w:pStyle w:val="Heading1"/>
      </w:pPr>
      <w:bookmarkStart w:id="5" w:name="O_79496"/>
      <w:bookmarkEnd w:id="5"/>
      <w:r w:rsidRPr="00A07B12">
        <w:t>Pre-Requisites</w:t>
      </w:r>
    </w:p>
    <w:tbl>
      <w:tblPr>
        <w:tblW w:w="0" w:type="auto"/>
        <w:tblLayout w:type="fixed"/>
        <w:tblCellMar>
          <w:left w:w="62" w:type="dxa"/>
          <w:right w:w="62" w:type="dxa"/>
        </w:tblCellMar>
        <w:tblLook w:val="0000"/>
      </w:tblPr>
      <w:tblGrid>
        <w:gridCol w:w="2745"/>
        <w:gridCol w:w="1301"/>
        <w:gridCol w:w="4476"/>
      </w:tblGrid>
      <w:tr w:rsidTr="001D6AAF">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12">
            <w:pPr>
              <w:pStyle w:val="BodyText"/>
              <w:rPr>
                <w:lang w:val="en-NZ"/>
              </w:rPr>
            </w:pPr>
            <w:r w:rsidRPr="00A07B12">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12">
            <w:pPr>
              <w:pStyle w:val="BodyText"/>
              <w:rPr>
                <w:lang w:val="en-NZ"/>
              </w:rPr>
            </w:pPr>
          </w:p>
        </w:tc>
      </w:tr>
      <w:tr w:rsidTr="001D6AAF">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12">
            <w:pPr>
              <w:pStyle w:val="BodyText"/>
              <w:rPr>
                <w:lang w:val="en-NZ"/>
              </w:rPr>
            </w:pPr>
          </w:p>
        </w:tc>
      </w:tr>
      <w:tr w:rsidTr="001D6AAF">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B12" w:rsidP="00A07B12">
            <w:pPr>
              <w:pStyle w:val="BodyText"/>
            </w:pPr>
          </w:p>
        </w:tc>
      </w:tr>
    </w:tbl>
    <w:p w:rsidR="00000000" w:rsidRPr="00A07B12" w:rsidP="00A07B12">
      <w:pPr>
        <w:pStyle w:val="BodyText"/>
      </w:pPr>
    </w:p>
    <w:p w:rsidR="00000000" w:rsidRPr="00A07B12" w:rsidP="00A07B12">
      <w:pPr>
        <w:pStyle w:val="AllowPageBreak"/>
      </w:pPr>
    </w:p>
    <w:p w:rsidR="00000000" w:rsidRPr="00A07B12" w:rsidP="00A07B12">
      <w:pPr>
        <w:pStyle w:val="Heading1"/>
      </w:pPr>
      <w:bookmarkStart w:id="6" w:name="O_79495"/>
      <w:bookmarkEnd w:id="6"/>
      <w:r w:rsidRPr="00A07B12">
        <w:t>Employability Skills Information</w:t>
      </w:r>
    </w:p>
    <w:tbl>
      <w:tblPr>
        <w:tblW w:w="0" w:type="auto"/>
        <w:tblLayout w:type="fixed"/>
        <w:tblCellMar>
          <w:left w:w="62" w:type="dxa"/>
          <w:right w:w="62" w:type="dxa"/>
        </w:tblCellMar>
        <w:tblLook w:val="0000"/>
      </w:tblPr>
      <w:tblGrid>
        <w:gridCol w:w="2762"/>
        <w:gridCol w:w="5760"/>
      </w:tblGrid>
      <w:tr w:rsidTr="001D6AAF">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12">
            <w:pPr>
              <w:pStyle w:val="BodyText"/>
              <w:rPr>
                <w:lang w:val="en-NZ"/>
              </w:rPr>
            </w:pPr>
            <w:r w:rsidRPr="00A07B12">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B12" w:rsidP="00A07B12">
            <w:pPr>
              <w:pStyle w:val="BodyText"/>
            </w:pPr>
            <w:r w:rsidRPr="00A07B12">
              <w:t>This unit contains employability skills.</w:t>
            </w:r>
          </w:p>
        </w:tc>
      </w:tr>
    </w:tbl>
    <w:p w:rsidR="00000000" w:rsidRPr="00A07B12" w:rsidP="00A07B12">
      <w:pPr>
        <w:pStyle w:val="BodyText"/>
      </w:pPr>
    </w:p>
    <w:p w:rsidR="00000000" w:rsidRPr="00A07B12" w:rsidP="00A07B12">
      <w:pPr>
        <w:pStyle w:val="AllowPageBreak"/>
      </w:pPr>
    </w:p>
    <w:p w:rsidR="00000000" w:rsidRPr="00A07B12" w:rsidP="00A07B12">
      <w:pPr>
        <w:pStyle w:val="Heading1"/>
      </w:pPr>
      <w:bookmarkStart w:id="7" w:name="O_79497"/>
      <w:bookmarkEnd w:id="7"/>
      <w:r w:rsidRPr="00A07B12">
        <w:t>Elements and Performance Criteria Pre-Content</w:t>
      </w:r>
    </w:p>
    <w:tbl>
      <w:tblPr>
        <w:tblW w:w="0" w:type="auto"/>
        <w:tblLayout w:type="fixed"/>
        <w:tblCellMar>
          <w:left w:w="62" w:type="dxa"/>
          <w:right w:w="62" w:type="dxa"/>
        </w:tblCellMar>
        <w:tblLook w:val="0000"/>
      </w:tblPr>
      <w:tblGrid>
        <w:gridCol w:w="2625"/>
        <w:gridCol w:w="5897"/>
      </w:tblGrid>
      <w:tr w:rsidTr="001D6AAF">
        <w:tblPrEx>
          <w:tblW w:w="0" w:type="auto"/>
          <w:tblLayout w:type="fixed"/>
          <w:tblCellMar>
            <w:left w:w="62" w:type="dxa"/>
            <w:right w:w="62" w:type="dxa"/>
          </w:tblCellMar>
          <w:tblLook w:val="0000"/>
        </w:tblPrEx>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12">
            <w:pPr>
              <w:pStyle w:val="BodyText"/>
              <w:rPr>
                <w:lang w:val="en-NZ"/>
              </w:rPr>
            </w:pPr>
            <w:r w:rsidRPr="00A07B12">
              <w:t>Elements describe the essential outcomes of a unit of competency.</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B12" w:rsidP="00A07B12">
            <w:pPr>
              <w:pStyle w:val="BodyText"/>
            </w:pPr>
            <w:r w:rsidRPr="00A07B12">
              <w:t>Performance criteria describe the performance needed to demonstrate achievement of the element. Where bold italicised text is used, further information is detailed in the required skills and</w:t>
            </w:r>
            <w:r w:rsidRPr="00A07B12">
              <w:t xml:space="preserve"> knowledge section and the range statement. Assessment of performance is to be consistent with the evidence guide.</w:t>
            </w:r>
          </w:p>
        </w:tc>
      </w:tr>
    </w:tbl>
    <w:p w:rsidR="00000000" w:rsidRPr="00A07B12" w:rsidP="00A07B12">
      <w:pPr>
        <w:pStyle w:val="BodyText"/>
      </w:pPr>
    </w:p>
    <w:p w:rsidR="00000000" w:rsidRPr="00A07B12" w:rsidP="00A07B12">
      <w:pPr>
        <w:pStyle w:val="AllowPageBreak"/>
      </w:pPr>
    </w:p>
    <w:p w:rsidR="00000000" w:rsidRPr="00A07B12" w:rsidP="00A07B12">
      <w:pPr>
        <w:pStyle w:val="Heading1"/>
      </w:pPr>
      <w:bookmarkStart w:id="8" w:name="O_79498"/>
      <w:bookmarkEnd w:id="8"/>
      <w:r w:rsidRPr="00A07B12">
        <w:t>Elements and Performance Criteria</w:t>
      </w:r>
    </w:p>
    <w:tbl>
      <w:tblPr>
        <w:tblW w:w="0" w:type="auto"/>
        <w:tblLayout w:type="fixed"/>
        <w:tblCellMar>
          <w:left w:w="62" w:type="dxa"/>
          <w:right w:w="62" w:type="dxa"/>
        </w:tblCellMar>
        <w:tblLook w:val="0000"/>
      </w:tblPr>
      <w:tblGrid>
        <w:gridCol w:w="2625"/>
        <w:gridCol w:w="5897"/>
      </w:tblGrid>
      <w:tr w:rsidTr="001D6AAF">
        <w:tblPrEx>
          <w:tblW w:w="0" w:type="auto"/>
          <w:tblLayout w:type="fixed"/>
          <w:tblCellMar>
            <w:left w:w="62" w:type="dxa"/>
            <w:right w:w="62" w:type="dxa"/>
          </w:tblCellMar>
          <w:tblLook w:val="0000"/>
        </w:tblPrEx>
        <w:trPr>
          <w:tblHeader/>
        </w:trPr>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B12" w:rsidP="00A07B12">
            <w:pPr>
              <w:pStyle w:val="BodyText"/>
            </w:pPr>
            <w:r w:rsidRPr="00A07B12">
              <w:rPr>
                <w:rStyle w:val="SpecialBold"/>
              </w:rPr>
              <w:t>ELEMENT</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12">
            <w:pPr>
              <w:pStyle w:val="BodyText"/>
              <w:rPr>
                <w:lang w:val="en-NZ"/>
              </w:rPr>
            </w:pPr>
            <w:r w:rsidRPr="00A07B12">
              <w:rPr>
                <w:rStyle w:val="SpecialBold"/>
              </w:rPr>
              <w:t>PERFORMANCE CRITERIA</w:t>
            </w:r>
          </w:p>
        </w:tc>
      </w:tr>
      <w:tr w:rsidTr="001D6AAF">
        <w:tblPrEx>
          <w:tblW w:w="0" w:type="auto"/>
          <w:tblLayout w:type="fixed"/>
          <w:tblCellMar>
            <w:left w:w="62" w:type="dxa"/>
            <w:right w:w="62" w:type="dxa"/>
          </w:tblCellMar>
          <w:tblLook w:val="0000"/>
        </w:tblPrEx>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12">
            <w:pPr>
              <w:pStyle w:val="List"/>
              <w:rPr>
                <w:lang w:val="en-NZ"/>
              </w:rPr>
            </w:pPr>
            <w:r w:rsidRPr="00A07B12">
              <w:t>1.</w:t>
            </w:r>
            <w:r w:rsidRPr="00A07B12">
              <w:tab/>
              <w:t>Determine terms and conditions of risk acceptability</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B12" w:rsidP="00A07B12">
            <w:pPr>
              <w:pStyle w:val="List2"/>
            </w:pPr>
            <w:r w:rsidRPr="00A07B12">
              <w:t>1.1.</w:t>
            </w:r>
            <w:r w:rsidRPr="00A07B12">
              <w:tab/>
            </w:r>
            <w:r w:rsidRPr="00A07B12">
              <w:rPr>
                <w:rStyle w:val="BoldandItalics"/>
              </w:rPr>
              <w:t>Risk acceptance information</w:t>
            </w:r>
            <w:r w:rsidRPr="00A07B12">
              <w:t xml:space="preserve"> is collected including determining the terms and conditions of risk acceptance, evaluating the response of the customer, negotiating and finalising the cover is identified and reviewed</w:t>
            </w:r>
          </w:p>
          <w:p w:rsidR="00000000" w:rsidRPr="00A07B12" w:rsidP="00A07B12">
            <w:pPr>
              <w:pStyle w:val="List2"/>
            </w:pPr>
            <w:r w:rsidRPr="00A07B12">
              <w:t>1.2.</w:t>
            </w:r>
            <w:r w:rsidRPr="00A07B12">
              <w:tab/>
              <w:t>Risk acceptability is determined with</w:t>
            </w:r>
            <w:r w:rsidRPr="00A07B12">
              <w:t>in authority limitations and capacities</w:t>
            </w:r>
          </w:p>
          <w:p w:rsidR="00000000" w:rsidRPr="00A07B12" w:rsidP="00A07B12">
            <w:pPr>
              <w:pStyle w:val="List2"/>
            </w:pPr>
            <w:r w:rsidRPr="00A07B12">
              <w:t>1.3.</w:t>
            </w:r>
            <w:r w:rsidRPr="00A07B12">
              <w:tab/>
            </w:r>
            <w:r w:rsidRPr="00A07B12">
              <w:rPr>
                <w:rStyle w:val="BoldandItalics"/>
              </w:rPr>
              <w:t>Terms and conditions of risk acceptance</w:t>
            </w:r>
            <w:r w:rsidRPr="00A07B12">
              <w:t xml:space="preserve"> are determined in accordance with </w:t>
            </w:r>
            <w:r w:rsidRPr="00A07B12">
              <w:rPr>
                <w:rStyle w:val="BoldandItalics"/>
              </w:rPr>
              <w:t>risk acceptance criteria</w:t>
            </w:r>
          </w:p>
          <w:p w:rsidR="00000000" w:rsidRPr="00A07B12" w:rsidP="00A07B12">
            <w:pPr>
              <w:pStyle w:val="List2"/>
            </w:pPr>
            <w:r w:rsidRPr="00A07B12">
              <w:t>1.4.</w:t>
            </w:r>
            <w:r w:rsidRPr="00A07B12">
              <w:tab/>
              <w:t>Referrals are determined, where appropriate</w:t>
            </w:r>
          </w:p>
          <w:p w:rsidR="00000000" w:rsidP="00A07B12">
            <w:pPr>
              <w:pStyle w:val="List2"/>
              <w:rPr>
                <w:lang w:val="en-NZ"/>
              </w:rPr>
            </w:pPr>
            <w:r w:rsidRPr="00A07B12">
              <w:t>1.5.</w:t>
            </w:r>
            <w:r w:rsidRPr="00A07B12">
              <w:tab/>
              <w:t>Facultative reinsurance is placed, where appropriate</w:t>
            </w:r>
          </w:p>
        </w:tc>
      </w:tr>
      <w:tr w:rsidTr="001D6AAF">
        <w:tblPrEx>
          <w:tblW w:w="0" w:type="auto"/>
          <w:tblLayout w:type="fixed"/>
          <w:tblCellMar>
            <w:left w:w="62" w:type="dxa"/>
            <w:right w:w="62" w:type="dxa"/>
          </w:tblCellMar>
          <w:tblLook w:val="0000"/>
        </w:tblPrEx>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12">
            <w:pPr>
              <w:pStyle w:val="List"/>
              <w:rPr>
                <w:lang w:val="en-NZ"/>
              </w:rPr>
            </w:pPr>
            <w:r w:rsidRPr="00A07B12">
              <w:t>2.</w:t>
            </w:r>
            <w:r w:rsidRPr="00A07B12">
              <w:tab/>
              <w:t>C</w:t>
            </w:r>
            <w:r w:rsidRPr="00A07B12">
              <w:t>ommunicate result of risk assessment</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B12" w:rsidP="00A07B12">
            <w:pPr>
              <w:pStyle w:val="List2"/>
            </w:pPr>
            <w:r w:rsidRPr="00A07B12">
              <w:t>2.1.</w:t>
            </w:r>
            <w:r w:rsidRPr="00A07B12">
              <w:tab/>
              <w:t>Quotation, if required, is prepared and communicated</w:t>
            </w:r>
          </w:p>
          <w:p w:rsidR="00000000" w:rsidRPr="00A07B12" w:rsidP="00A07B12">
            <w:pPr>
              <w:pStyle w:val="List2"/>
            </w:pPr>
            <w:r w:rsidRPr="00A07B12">
              <w:t>2.2.</w:t>
            </w:r>
            <w:r w:rsidRPr="00A07B12">
              <w:tab/>
              <w:t xml:space="preserve">Terms and conditions of risk acceptance, including expiry date of offer and pricing, are advised to </w:t>
            </w:r>
            <w:r w:rsidRPr="00A07B12">
              <w:rPr>
                <w:rStyle w:val="BoldandItalics"/>
              </w:rPr>
              <w:t>client</w:t>
            </w:r>
            <w:r w:rsidRPr="00A07B12">
              <w:t xml:space="preserve"> within appropriate timeframes</w:t>
            </w:r>
          </w:p>
          <w:p w:rsidR="00000000" w:rsidP="00A07B12">
            <w:pPr>
              <w:pStyle w:val="List2"/>
              <w:rPr>
                <w:lang w:val="en-NZ"/>
              </w:rPr>
            </w:pPr>
            <w:r w:rsidRPr="00A07B12">
              <w:t>2.3.</w:t>
            </w:r>
            <w:r w:rsidRPr="00A07B12">
              <w:tab/>
            </w:r>
            <w:r w:rsidRPr="00A07B12">
              <w:rPr>
                <w:rStyle w:val="BoldandItalics"/>
              </w:rPr>
              <w:t>Rejection of r</w:t>
            </w:r>
            <w:r w:rsidRPr="00A07B12">
              <w:rPr>
                <w:rStyle w:val="BoldandItalics"/>
              </w:rPr>
              <w:t>isk</w:t>
            </w:r>
            <w:r w:rsidRPr="00A07B12">
              <w:t>, if applicable, is advised as soon as it is evident that the risk falls outside the guidelines or as soon as a decision is made not to underwrite the risk</w:t>
            </w:r>
          </w:p>
        </w:tc>
      </w:tr>
      <w:tr w:rsidTr="001D6AAF">
        <w:tblPrEx>
          <w:tblW w:w="0" w:type="auto"/>
          <w:tblLayout w:type="fixed"/>
          <w:tblCellMar>
            <w:left w:w="62" w:type="dxa"/>
            <w:right w:w="62" w:type="dxa"/>
          </w:tblCellMar>
          <w:tblLook w:val="0000"/>
        </w:tblPrEx>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12">
            <w:pPr>
              <w:pStyle w:val="List"/>
              <w:rPr>
                <w:lang w:val="en-NZ"/>
              </w:rPr>
            </w:pPr>
            <w:r w:rsidRPr="00A07B12">
              <w:t>3.</w:t>
            </w:r>
            <w:r w:rsidRPr="00A07B12">
              <w:tab/>
              <w:t>Evaluate client response</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B12" w:rsidP="00A07B12">
            <w:pPr>
              <w:pStyle w:val="List2"/>
            </w:pPr>
            <w:r w:rsidRPr="00A07B12">
              <w:t>3.1.</w:t>
            </w:r>
            <w:r w:rsidRPr="00A07B12">
              <w:tab/>
              <w:t>Client response is assessed to determine whether action to modi</w:t>
            </w:r>
            <w:r w:rsidRPr="00A07B12">
              <w:t>fy terms and conditions is required</w:t>
            </w:r>
          </w:p>
          <w:p w:rsidR="00000000" w:rsidRPr="00A07B12" w:rsidP="00A07B12">
            <w:pPr>
              <w:pStyle w:val="List2"/>
            </w:pPr>
            <w:r w:rsidRPr="00A07B12">
              <w:t>3.2.</w:t>
            </w:r>
            <w:r w:rsidRPr="00A07B12">
              <w:tab/>
              <w:t>Offer is modified as necessary and advice to client is prepared according to operating procedures</w:t>
            </w:r>
          </w:p>
          <w:p w:rsidR="00000000" w:rsidP="00A07B12">
            <w:pPr>
              <w:pStyle w:val="List2"/>
              <w:rPr>
                <w:lang w:val="en-NZ"/>
              </w:rPr>
            </w:pPr>
            <w:r w:rsidRPr="00A07B12">
              <w:t>3.3.</w:t>
            </w:r>
            <w:r w:rsidRPr="00A07B12">
              <w:tab/>
            </w:r>
            <w:r w:rsidRPr="00A07B12">
              <w:t>Modified offer complies with underwriting acceptance authorities and criteria, or an appropriate referral approval is sought</w:t>
            </w:r>
          </w:p>
        </w:tc>
      </w:tr>
      <w:tr w:rsidTr="001D6AAF">
        <w:tblPrEx>
          <w:tblW w:w="0" w:type="auto"/>
          <w:tblLayout w:type="fixed"/>
          <w:tblCellMar>
            <w:left w:w="62" w:type="dxa"/>
            <w:right w:w="62" w:type="dxa"/>
          </w:tblCellMar>
          <w:tblLook w:val="0000"/>
        </w:tblPrEx>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12">
            <w:pPr>
              <w:pStyle w:val="List"/>
              <w:rPr>
                <w:lang w:val="en-NZ"/>
              </w:rPr>
            </w:pPr>
            <w:r w:rsidRPr="00A07B12">
              <w:t>4.</w:t>
            </w:r>
            <w:r w:rsidRPr="00A07B12">
              <w:tab/>
              <w:t>Negotiate agreement</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B12" w:rsidP="00A07B12">
            <w:pPr>
              <w:pStyle w:val="List2"/>
            </w:pPr>
            <w:r w:rsidRPr="00A07B12">
              <w:t>4.1.</w:t>
            </w:r>
            <w:r w:rsidRPr="00A07B12">
              <w:tab/>
              <w:t xml:space="preserve">Negotiation is undertaken on revised offer to reach mutually satisfactory agreement, including charge </w:t>
            </w:r>
            <w:r w:rsidRPr="00A07B12">
              <w:t>to reinsurance where applicable</w:t>
            </w:r>
          </w:p>
          <w:p w:rsidR="00000000" w:rsidRPr="00A07B12" w:rsidP="00A07B12">
            <w:pPr>
              <w:pStyle w:val="List2"/>
            </w:pPr>
            <w:r w:rsidRPr="00A07B12">
              <w:t>4.2.</w:t>
            </w:r>
            <w:r w:rsidRPr="00A07B12">
              <w:tab/>
              <w:t xml:space="preserve">The client is advised of acceptance or </w:t>
            </w:r>
            <w:r w:rsidRPr="00A07B12">
              <w:rPr>
                <w:rStyle w:val="BoldandItalics"/>
              </w:rPr>
              <w:t>rejection of the risk</w:t>
            </w:r>
            <w:r w:rsidRPr="00A07B12">
              <w:t xml:space="preserve"> according to operating procedures</w:t>
            </w:r>
          </w:p>
          <w:p w:rsidR="00000000" w:rsidP="00A07B12">
            <w:pPr>
              <w:pStyle w:val="List2"/>
              <w:rPr>
                <w:lang w:val="en-NZ"/>
              </w:rPr>
            </w:pPr>
            <w:r w:rsidRPr="00A07B12">
              <w:t>4.3.</w:t>
            </w:r>
            <w:r w:rsidRPr="00A07B12">
              <w:tab/>
              <w:t>If conditions are placed on the acceptance of risk, a mechanism is established for checking that the conditions have be</w:t>
            </w:r>
            <w:r w:rsidRPr="00A07B12">
              <w:t>en met</w:t>
            </w:r>
          </w:p>
        </w:tc>
      </w:tr>
      <w:tr w:rsidTr="001D6AAF">
        <w:tblPrEx>
          <w:tblW w:w="0" w:type="auto"/>
          <w:tblLayout w:type="fixed"/>
          <w:tblCellMar>
            <w:left w:w="62" w:type="dxa"/>
            <w:right w:w="62" w:type="dxa"/>
          </w:tblCellMar>
          <w:tblLook w:val="0000"/>
        </w:tblPrEx>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12">
            <w:pPr>
              <w:pStyle w:val="List"/>
              <w:rPr>
                <w:lang w:val="en-NZ"/>
              </w:rPr>
            </w:pPr>
            <w:r w:rsidRPr="00A07B12">
              <w:t>5.</w:t>
            </w:r>
            <w:r w:rsidRPr="00A07B12">
              <w:tab/>
              <w:t>Issue interim cover where required</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B12" w:rsidP="00A07B12">
            <w:pPr>
              <w:pStyle w:val="List2"/>
            </w:pPr>
            <w:r w:rsidRPr="00A07B12">
              <w:t>5.1.</w:t>
            </w:r>
            <w:r w:rsidRPr="00A07B12">
              <w:tab/>
            </w:r>
            <w:r w:rsidRPr="00A07B12">
              <w:rPr>
                <w:rStyle w:val="BoldandItalics"/>
              </w:rPr>
              <w:t>Disclosure requirements</w:t>
            </w:r>
            <w:r w:rsidRPr="00A07B12">
              <w:t xml:space="preserve"> are adhered to in all cases</w:t>
            </w:r>
          </w:p>
          <w:p w:rsidR="00000000" w:rsidRPr="00A07B12" w:rsidP="00A07B12">
            <w:pPr>
              <w:pStyle w:val="List2"/>
            </w:pPr>
            <w:r w:rsidRPr="00A07B12">
              <w:t>5.2.</w:t>
            </w:r>
            <w:r w:rsidRPr="00A07B12">
              <w:tab/>
            </w:r>
            <w:r w:rsidRPr="00A07B12">
              <w:rPr>
                <w:rStyle w:val="BoldandItalics"/>
              </w:rPr>
              <w:t>Initial documentation</w:t>
            </w:r>
            <w:r w:rsidRPr="00A07B12">
              <w:t xml:space="preserve"> is issued to the client in organisation format and according to operating procedures</w:t>
            </w:r>
          </w:p>
          <w:p w:rsidR="00000000" w:rsidRPr="00A07B12" w:rsidP="00A07B12">
            <w:pPr>
              <w:pStyle w:val="List2"/>
            </w:pPr>
            <w:r w:rsidRPr="00A07B12">
              <w:t>5.3.</w:t>
            </w:r>
            <w:r w:rsidRPr="00A07B12">
              <w:tab/>
              <w:t>Reinsurance cover is confirmed, as a</w:t>
            </w:r>
            <w:r w:rsidRPr="00A07B12">
              <w:t>ppropriate</w:t>
            </w:r>
          </w:p>
          <w:p w:rsidR="00000000" w:rsidRPr="00A07B12" w:rsidP="00A07B12">
            <w:pPr>
              <w:pStyle w:val="List2"/>
            </w:pPr>
            <w:r w:rsidRPr="00A07B12">
              <w:t>5.4.</w:t>
            </w:r>
            <w:r w:rsidRPr="00A07B12">
              <w:tab/>
              <w:t>Additional information is obtained, as required</w:t>
            </w:r>
          </w:p>
          <w:p w:rsidR="00000000" w:rsidRPr="00A07B12" w:rsidP="00A07B12">
            <w:pPr>
              <w:pStyle w:val="List2"/>
            </w:pPr>
            <w:r w:rsidRPr="00A07B12">
              <w:t>5.5.</w:t>
            </w:r>
            <w:r w:rsidRPr="00A07B12">
              <w:tab/>
              <w:t>Documents are filed and stored in accordance with organisation operating procedures</w:t>
            </w:r>
          </w:p>
          <w:p w:rsidR="00000000" w:rsidRPr="00A07B12" w:rsidP="00A07B12">
            <w:pPr>
              <w:pStyle w:val="List2"/>
            </w:pPr>
            <w:r w:rsidRPr="00A07B12">
              <w:t>5.6.</w:t>
            </w:r>
            <w:r w:rsidRPr="00A07B12">
              <w:tab/>
              <w:t>Expiry of interim cover is monitored following standard operating procedures, to ensure that any r</w:t>
            </w:r>
            <w:r w:rsidRPr="00A07B12">
              <w:t>equired terms are met prior to issue of policy</w:t>
            </w:r>
          </w:p>
        </w:tc>
      </w:tr>
    </w:tbl>
    <w:p w:rsidR="00000000" w:rsidRPr="00A07B12" w:rsidP="00A07B12">
      <w:pPr>
        <w:pStyle w:val="BodyText"/>
      </w:pPr>
    </w:p>
    <w:p w:rsidR="00000000" w:rsidRPr="00A07B12" w:rsidP="00A07B12">
      <w:pPr>
        <w:pStyle w:val="AllowPageBreak"/>
      </w:pPr>
    </w:p>
    <w:p w:rsidR="00000000" w:rsidRPr="00A07B12" w:rsidP="00A07B12">
      <w:pPr>
        <w:pStyle w:val="Heading1"/>
      </w:pPr>
      <w:bookmarkStart w:id="9" w:name="O_79499"/>
      <w:bookmarkEnd w:id="9"/>
      <w:r w:rsidRPr="00A07B12">
        <w:t>Required Skills and Knowledge</w:t>
      </w:r>
    </w:p>
    <w:tbl>
      <w:tblPr>
        <w:tblW w:w="0" w:type="auto"/>
        <w:tblLayout w:type="fixed"/>
        <w:tblCellMar>
          <w:left w:w="62" w:type="dxa"/>
          <w:right w:w="62" w:type="dxa"/>
        </w:tblCellMar>
        <w:tblLook w:val="0000"/>
      </w:tblPr>
      <w:tblGrid>
        <w:gridCol w:w="8522"/>
      </w:tblGrid>
      <w:tr w:rsidTr="001D6AA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07B12">
            <w:pPr>
              <w:pStyle w:val="BodyText"/>
              <w:rPr>
                <w:lang w:val="en-NZ"/>
              </w:rPr>
            </w:pPr>
            <w:r w:rsidRPr="00A07B12">
              <w:rPr>
                <w:rStyle w:val="SpecialBold"/>
              </w:rPr>
              <w:t>REQUIRED SKILLS AND KNOWLEDGE</w:t>
            </w:r>
          </w:p>
        </w:tc>
      </w:tr>
      <w:tr w:rsidTr="001D6AA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07B12">
            <w:pPr>
              <w:pStyle w:val="BodyText"/>
              <w:rPr>
                <w:lang w:val="en-NZ"/>
              </w:rPr>
            </w:pPr>
            <w:r w:rsidRPr="00A07B12">
              <w:t>This section describes the skills and knowledge required for this unit.</w:t>
            </w:r>
          </w:p>
        </w:tc>
      </w:tr>
      <w:tr w:rsidTr="001D6AA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12">
            <w:pPr>
              <w:pStyle w:val="BodyText"/>
              <w:rPr>
                <w:lang w:val="en-NZ"/>
              </w:rPr>
            </w:pPr>
            <w:r w:rsidRPr="00A07B12">
              <w:rPr>
                <w:rStyle w:val="SpecialBold"/>
              </w:rPr>
              <w:t>Required skills</w:t>
            </w:r>
          </w:p>
        </w:tc>
      </w:tr>
      <w:tr w:rsidTr="001D6AA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B12" w:rsidP="00A07B12">
            <w:pPr>
              <w:pStyle w:val="ListBullet"/>
            </w:pPr>
            <w:r w:rsidRPr="00A07B12">
              <w:t>well-developed communication skills to:</w:t>
            </w:r>
          </w:p>
          <w:p w:rsidR="00000000" w:rsidRPr="00A07B12" w:rsidP="00A07B12">
            <w:pPr>
              <w:pStyle w:val="ListBullet2"/>
            </w:pPr>
            <w:r w:rsidRPr="00A07B12">
              <w:t>determine and confirm information, using questioning and active listening as required</w:t>
            </w:r>
          </w:p>
          <w:p w:rsidR="00000000" w:rsidRPr="00A07B12" w:rsidP="00A07B12">
            <w:pPr>
              <w:pStyle w:val="ListBullet2"/>
            </w:pPr>
            <w:r w:rsidRPr="00A07B12">
              <w:t>relate effectively to customers</w:t>
            </w:r>
          </w:p>
          <w:p w:rsidR="00000000" w:rsidRPr="00A07B12" w:rsidP="00A07B12">
            <w:pPr>
              <w:pStyle w:val="ListBullet2"/>
            </w:pPr>
            <w:r w:rsidRPr="00A07B12">
              <w:t>liaise with others, share information, listen and understand</w:t>
            </w:r>
          </w:p>
          <w:p w:rsidR="00000000" w:rsidRPr="00A07B12" w:rsidP="00A07B12">
            <w:pPr>
              <w:pStyle w:val="ListBullet2"/>
            </w:pPr>
            <w:r w:rsidRPr="00A07B12">
              <w:t>use language and concepts appropriate to cultural differences</w:t>
            </w:r>
          </w:p>
          <w:p w:rsidR="00000000" w:rsidRPr="00A07B12" w:rsidP="00A07B12">
            <w:pPr>
              <w:pStyle w:val="ListBullet"/>
            </w:pPr>
            <w:r w:rsidRPr="00A07B12">
              <w:t xml:space="preserve">numeracy and </w:t>
            </w:r>
            <w:r w:rsidRPr="00A07B12">
              <w:t>IT skills to:</w:t>
            </w:r>
          </w:p>
          <w:p w:rsidR="00000000" w:rsidRPr="00A07B12" w:rsidP="00A07B12">
            <w:pPr>
              <w:pStyle w:val="ListBullet2"/>
            </w:pPr>
            <w:r w:rsidRPr="00A07B12">
              <w:t>perform calculations related to achieving required outcomes</w:t>
            </w:r>
          </w:p>
          <w:p w:rsidR="00000000" w:rsidRPr="00A07B12" w:rsidP="00A07B12">
            <w:pPr>
              <w:pStyle w:val="ListBullet2"/>
            </w:pPr>
            <w:r w:rsidRPr="00A07B12">
              <w:t>use computer applications (word processing, spreadsheet, database, specific purpose computer systems) to assist in achieving required outcomes</w:t>
            </w:r>
          </w:p>
          <w:p w:rsidR="00000000" w:rsidRPr="00A07B12" w:rsidP="00A07B12">
            <w:pPr>
              <w:pStyle w:val="ListBullet2"/>
            </w:pPr>
            <w:r w:rsidRPr="00A07B12">
              <w:t>access and update records electronical</w:t>
            </w:r>
            <w:r w:rsidRPr="00A07B12">
              <w:t>ly</w:t>
            </w:r>
          </w:p>
          <w:p w:rsidR="00000000" w:rsidRPr="00A07B12" w:rsidP="00A07B12">
            <w:pPr>
              <w:pStyle w:val="ListBullet2"/>
            </w:pPr>
            <w:r w:rsidRPr="00A07B12">
              <w:t>access web-based information services</w:t>
            </w:r>
          </w:p>
          <w:p w:rsidR="00000000" w:rsidRPr="00A07B12" w:rsidP="00A07B12">
            <w:pPr>
              <w:pStyle w:val="ListBullet"/>
            </w:pPr>
            <w:r w:rsidRPr="00A07B12">
              <w:t>well developed literacy skills to read and interpret documentation from a variety of sources and record and consolidate relevant related information</w:t>
            </w:r>
          </w:p>
          <w:p w:rsidR="00000000" w:rsidRPr="00A07B12" w:rsidP="00A07B12">
            <w:pPr>
              <w:pStyle w:val="ListBullet"/>
            </w:pPr>
            <w:r w:rsidRPr="00A07B12">
              <w:t>self-management skills for complying with ethical, legal and proc</w:t>
            </w:r>
            <w:r w:rsidRPr="00A07B12">
              <w:t>edural requirements research and analysis skills for accessing and interpreting relevant information</w:t>
            </w:r>
          </w:p>
          <w:p w:rsidR="00000000" w:rsidP="00A07B12">
            <w:pPr>
              <w:pStyle w:val="ListBullet"/>
              <w:rPr>
                <w:lang w:val="en-NZ"/>
              </w:rPr>
            </w:pPr>
            <w:r w:rsidRPr="00A07B12">
              <w:t>organisational skills, including the ability to plan and sequence work</w:t>
            </w:r>
          </w:p>
        </w:tc>
      </w:tr>
      <w:tr w:rsidTr="001D6AA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12">
            <w:pPr>
              <w:pStyle w:val="BodyText"/>
              <w:rPr>
                <w:lang w:val="en-NZ"/>
              </w:rPr>
            </w:pPr>
            <w:r w:rsidRPr="00A07B12">
              <w:rPr>
                <w:rStyle w:val="SpecialBold"/>
              </w:rPr>
              <w:t>Required knowledge</w:t>
            </w:r>
          </w:p>
        </w:tc>
      </w:tr>
      <w:tr w:rsidTr="001D6AA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B12" w:rsidP="00A07B12">
            <w:pPr>
              <w:pStyle w:val="ListBullet"/>
            </w:pPr>
            <w:r w:rsidRPr="00A07B12">
              <w:t>e-commerce processes</w:t>
            </w:r>
          </w:p>
          <w:p w:rsidR="00000000" w:rsidRPr="00A07B12" w:rsidP="00A07B12">
            <w:pPr>
              <w:pStyle w:val="ListBullet"/>
            </w:pPr>
            <w:r w:rsidRPr="00A07B12">
              <w:t>industry market position relative to product/line of business</w:t>
            </w:r>
          </w:p>
          <w:p w:rsidR="00000000" w:rsidRPr="00A07B12" w:rsidP="00A07B12">
            <w:pPr>
              <w:pStyle w:val="ListBullet"/>
            </w:pPr>
            <w:r w:rsidRPr="00A07B12">
              <w:t>industry sector compliance requirements such as the General Insurance Code of Practice</w:t>
            </w:r>
          </w:p>
          <w:p w:rsidR="00000000" w:rsidRPr="00A07B12" w:rsidP="00A07B12">
            <w:pPr>
              <w:pStyle w:val="ListBullet"/>
            </w:pPr>
            <w:r w:rsidRPr="00A07B12">
              <w:t>organisation or industry sector policy wording</w:t>
            </w:r>
          </w:p>
          <w:p w:rsidR="00000000" w:rsidRPr="00A07B12" w:rsidP="00A07B12">
            <w:pPr>
              <w:pStyle w:val="ListBullet"/>
            </w:pPr>
            <w:r w:rsidRPr="00A07B12">
              <w:t>organisation policy, procedures, underwriting guidelines and</w:t>
            </w:r>
            <w:r w:rsidRPr="00A07B12">
              <w:t xml:space="preserve"> authorities (e.g. best underwriting guides (BUG) and loss control guides)</w:t>
            </w:r>
          </w:p>
          <w:p w:rsidR="00000000" w:rsidRPr="00A07B12" w:rsidP="00A07B12">
            <w:pPr>
              <w:pStyle w:val="ListBullet"/>
            </w:pPr>
            <w:r w:rsidRPr="00A07B12">
              <w:t>organisation products</w:t>
            </w:r>
          </w:p>
          <w:p w:rsidR="00000000" w:rsidRPr="00A07B12" w:rsidP="00A07B12">
            <w:pPr>
              <w:pStyle w:val="ListBullet"/>
            </w:pPr>
            <w:r w:rsidRPr="00A07B12">
              <w:t>reinsurance, treaty and facultative</w:t>
            </w:r>
          </w:p>
          <w:p w:rsidR="00000000" w:rsidRPr="00A07B12" w:rsidP="00A07B12">
            <w:pPr>
              <w:pStyle w:val="ListBullet"/>
            </w:pPr>
            <w:r w:rsidRPr="00A07B12">
              <w:t>relative industry hazards</w:t>
            </w:r>
          </w:p>
          <w:p w:rsidR="00000000" w:rsidRPr="00A07B12" w:rsidP="00A07B12">
            <w:pPr>
              <w:pStyle w:val="ListBullet"/>
            </w:pPr>
            <w:r w:rsidRPr="00A07B12">
              <w:t>relevant legislation, regulatory guidelines and industry sector compliance requirements, such as:</w:t>
            </w:r>
          </w:p>
          <w:p w:rsidR="00000000" w:rsidRPr="00A07B12" w:rsidP="00A07B12">
            <w:pPr>
              <w:pStyle w:val="ListBullet2"/>
            </w:pPr>
            <w:r w:rsidRPr="00A07B12">
              <w:t>Insurance Contracts Act</w:t>
            </w:r>
          </w:p>
          <w:p w:rsidR="00000000" w:rsidRPr="00A07B12" w:rsidP="00A07B12">
            <w:pPr>
              <w:pStyle w:val="ListBullet2"/>
            </w:pPr>
            <w:r w:rsidRPr="00A07B12">
              <w:t>Privacy Act</w:t>
            </w:r>
          </w:p>
          <w:p w:rsidR="00000000" w:rsidRPr="00A07B12" w:rsidP="00A07B12">
            <w:pPr>
              <w:pStyle w:val="ListBullet2"/>
            </w:pPr>
            <w:r w:rsidRPr="00A07B12">
              <w:t xml:space="preserve">Trade Practices </w:t>
            </w:r>
          </w:p>
          <w:p w:rsidR="00000000" w:rsidRPr="00A07B12" w:rsidP="00A07B12">
            <w:pPr>
              <w:pStyle w:val="ListBullet2"/>
            </w:pPr>
            <w:r w:rsidRPr="00A07B12">
              <w:t>Corporations Act</w:t>
            </w:r>
          </w:p>
          <w:p w:rsidR="00000000" w:rsidRPr="00A07B12" w:rsidP="00A07B12">
            <w:pPr>
              <w:pStyle w:val="ListBullet"/>
            </w:pPr>
            <w:r w:rsidRPr="00A07B12">
              <w:t>risk prevention methods and application</w:t>
            </w:r>
          </w:p>
        </w:tc>
      </w:tr>
    </w:tbl>
    <w:p w:rsidR="00000000" w:rsidRPr="00A07B12" w:rsidP="00A07B12">
      <w:pPr>
        <w:pStyle w:val="BodyText"/>
      </w:pPr>
    </w:p>
    <w:p w:rsidR="00000000" w:rsidRPr="00A07B12" w:rsidP="00A07B12">
      <w:pPr>
        <w:pStyle w:val="AllowPageBreak"/>
      </w:pPr>
    </w:p>
    <w:p w:rsidR="00000000" w:rsidRPr="00A07B12" w:rsidP="00A07B12">
      <w:pPr>
        <w:pStyle w:val="Heading1"/>
      </w:pPr>
      <w:bookmarkStart w:id="10" w:name="O_79500"/>
      <w:bookmarkEnd w:id="10"/>
      <w:r w:rsidRPr="00A07B12">
        <w:t>Evidence Guide</w:t>
      </w:r>
    </w:p>
    <w:tbl>
      <w:tblPr>
        <w:tblW w:w="9570" w:type="dxa"/>
        <w:tblLayout w:type="fixed"/>
        <w:tblCellMar>
          <w:left w:w="62" w:type="dxa"/>
          <w:right w:w="62" w:type="dxa"/>
        </w:tblCellMar>
        <w:tblLook w:val="0000"/>
      </w:tblPr>
      <w:tblGrid>
        <w:gridCol w:w="2808"/>
        <w:gridCol w:w="6762"/>
      </w:tblGrid>
      <w:tr w:rsidTr="001D6AA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12">
            <w:pPr>
              <w:pStyle w:val="BodyText"/>
              <w:rPr>
                <w:lang w:val="en-NZ"/>
              </w:rPr>
            </w:pPr>
            <w:r w:rsidRPr="00A07B12">
              <w:rPr>
                <w:rStyle w:val="SpecialBold"/>
              </w:rPr>
              <w:t>EVIDENCE GUIDE</w:t>
            </w:r>
          </w:p>
        </w:tc>
      </w:tr>
      <w:tr w:rsidTr="001D6AA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12">
            <w:pPr>
              <w:pStyle w:val="BodyText"/>
              <w:rPr>
                <w:lang w:val="en-NZ"/>
              </w:rPr>
            </w:pPr>
            <w:r w:rsidRPr="00A07B12">
              <w:t>The Evidence Guide provides advice on assessment and must be read in conjunction with the performance criteria, required skills and knowledge, range statement and the Assessment Guidelines for the Training Package.</w:t>
            </w:r>
          </w:p>
        </w:tc>
      </w:tr>
      <w:tr w:rsidTr="001D6AA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12">
            <w:pPr>
              <w:pStyle w:val="BodyText"/>
              <w:rPr>
                <w:lang w:val="en-NZ"/>
              </w:rPr>
            </w:pPr>
            <w:r w:rsidRPr="00A07B12">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12">
            <w:pPr>
              <w:pStyle w:val="BodyText"/>
              <w:rPr>
                <w:lang w:val="en-NZ"/>
              </w:rPr>
            </w:pPr>
          </w:p>
        </w:tc>
      </w:tr>
      <w:tr w:rsidTr="001D6AA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12">
            <w:pPr>
              <w:pStyle w:val="BodyText"/>
              <w:rPr>
                <w:lang w:val="en-NZ"/>
              </w:rPr>
            </w:pPr>
            <w:r w:rsidRPr="00A07B12">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B12" w:rsidP="00A07B12">
            <w:pPr>
              <w:pStyle w:val="BodyText"/>
            </w:pPr>
            <w:r w:rsidRPr="00A07B12">
              <w:t>Evidence of the ability to:</w:t>
            </w:r>
          </w:p>
          <w:p w:rsidR="00000000" w:rsidRPr="00A07B12" w:rsidP="00A07B12">
            <w:pPr>
              <w:pStyle w:val="ListBullet"/>
            </w:pPr>
            <w:r w:rsidRPr="00A07B12">
              <w:t>interpret and comply with all legal obligations and organisation procedures in order to identify and thoroughly assess risks, and deve</w:t>
            </w:r>
            <w:r w:rsidRPr="00A07B12">
              <w:t>lop a suitable policy</w:t>
            </w:r>
          </w:p>
          <w:p w:rsidR="00000000" w:rsidRPr="00A07B12" w:rsidP="00A07B12">
            <w:pPr>
              <w:pStyle w:val="ListBullet"/>
            </w:pPr>
            <w:r w:rsidRPr="00A07B12">
              <w:t>apply sound understanding of relevant organisation products and services</w:t>
            </w:r>
          </w:p>
          <w:p w:rsidR="00000000" w:rsidRPr="00A07B12" w:rsidP="00A07B12">
            <w:pPr>
              <w:pStyle w:val="ListBullet"/>
            </w:pPr>
            <w:r w:rsidRPr="00A07B12">
              <w:t>correctly interpret and apply underwriting guidelines and procedures</w:t>
            </w:r>
          </w:p>
          <w:p w:rsidR="00000000" w:rsidRPr="00A07B12" w:rsidP="00A07B12">
            <w:pPr>
              <w:pStyle w:val="ListBullet"/>
            </w:pPr>
            <w:r w:rsidRPr="00A07B12">
              <w:t xml:space="preserve">identify and investigate risk as it relates to new business in accordance with underwriting </w:t>
            </w:r>
            <w:r w:rsidRPr="00A07B12">
              <w:t>and organisation guidelines</w:t>
            </w:r>
          </w:p>
          <w:p w:rsidR="00000000" w:rsidP="00A07B12">
            <w:pPr>
              <w:pStyle w:val="ListBullet"/>
              <w:rPr>
                <w:lang w:val="en-NZ"/>
              </w:rPr>
            </w:pPr>
            <w:r w:rsidRPr="00A07B12">
              <w:t>complete and file documentation in accordance with organisation guidelines.</w:t>
            </w:r>
          </w:p>
        </w:tc>
      </w:tr>
      <w:tr w:rsidTr="001D6AA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12">
            <w:pPr>
              <w:pStyle w:val="BodyText"/>
              <w:rPr>
                <w:lang w:val="en-NZ"/>
              </w:rPr>
            </w:pPr>
            <w:r w:rsidRPr="00A07B12">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B12" w:rsidP="00A07B12">
            <w:pPr>
              <w:pStyle w:val="BodyText"/>
            </w:pPr>
            <w:r w:rsidRPr="00A07B12">
              <w:t>Assessment must ensure:</w:t>
            </w:r>
          </w:p>
          <w:p w:rsidR="00000000" w:rsidRPr="00A07B12" w:rsidP="00A07B12">
            <w:pPr>
              <w:pStyle w:val="ListBullet"/>
            </w:pPr>
            <w:r w:rsidRPr="00A07B12">
              <w:t>competency is demonstrated in the context of the work environment and conditi</w:t>
            </w:r>
            <w:r w:rsidRPr="00A07B12">
              <w:t>ons specified in the range statement either in a relevant workplace or a closely simulated work environment</w:t>
            </w:r>
          </w:p>
          <w:p w:rsidR="00000000" w:rsidRPr="00A07B12" w:rsidP="00A07B12">
            <w:pPr>
              <w:pStyle w:val="ListBullet"/>
            </w:pPr>
            <w:r w:rsidRPr="00A07B12">
              <w:t>access to and the use of a range of common office equipment, technology, software and consumables</w:t>
            </w:r>
          </w:p>
          <w:p w:rsidR="00000000" w:rsidRPr="00A07B12" w:rsidP="00A07B12">
            <w:pPr>
              <w:pStyle w:val="ListBullet"/>
            </w:pPr>
            <w:r w:rsidRPr="00A07B12">
              <w:t>access to organisation records</w:t>
            </w:r>
          </w:p>
          <w:p w:rsidR="00000000" w:rsidP="00A07B12">
            <w:pPr>
              <w:pStyle w:val="ListBullet"/>
              <w:rPr>
                <w:lang w:val="en-NZ"/>
              </w:rPr>
            </w:pPr>
            <w:r w:rsidRPr="00A07B12">
              <w:t>access to organisat</w:t>
            </w:r>
            <w:r w:rsidRPr="00A07B12">
              <w:t>ion policies and procedures.</w:t>
            </w:r>
          </w:p>
        </w:tc>
      </w:tr>
      <w:tr w:rsidTr="001D6AA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12">
            <w:pPr>
              <w:pStyle w:val="BodyText"/>
              <w:rPr>
                <w:lang w:val="en-NZ"/>
              </w:rPr>
            </w:pPr>
            <w:r w:rsidRPr="00A07B12">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B12" w:rsidP="00A07B12">
            <w:pPr>
              <w:pStyle w:val="BodyText"/>
            </w:pPr>
            <w:r w:rsidRPr="00A07B12">
              <w:t>A range of assessment methods should be used to assess practical skills and knowledge. The following examples, in combination, are appropriate for this unit:</w:t>
            </w:r>
          </w:p>
          <w:p w:rsidR="00000000" w:rsidRPr="00A07B12" w:rsidP="00A07B12">
            <w:pPr>
              <w:pStyle w:val="ListBullet"/>
            </w:pPr>
            <w:r w:rsidRPr="00A07B12">
              <w:t>evaluating an integrated activity, which combines the elements of competency for the unit, or a cluster of related units of competency</w:t>
            </w:r>
          </w:p>
          <w:p w:rsidR="00000000" w:rsidRPr="00A07B12" w:rsidP="00A07B12">
            <w:pPr>
              <w:pStyle w:val="ListBullet"/>
            </w:pPr>
            <w:r w:rsidRPr="00A07B12">
              <w:t>observing processes and procedures in workplaces</w:t>
            </w:r>
          </w:p>
          <w:p w:rsidR="00000000" w:rsidRPr="00A07B12" w:rsidP="00A07B12">
            <w:pPr>
              <w:pStyle w:val="ListBullet"/>
            </w:pPr>
            <w:r w:rsidRPr="00A07B12">
              <w:t>verbal or written questioning on underpinning knowledge and skills</w:t>
            </w:r>
          </w:p>
          <w:p w:rsidR="00000000" w:rsidRPr="00A07B12" w:rsidP="00A07B12">
            <w:pPr>
              <w:pStyle w:val="ListBullet"/>
            </w:pPr>
            <w:r w:rsidRPr="00A07B12">
              <w:t>evalu</w:t>
            </w:r>
            <w:r w:rsidRPr="00A07B12">
              <w:t>ating samples of work</w:t>
            </w:r>
          </w:p>
          <w:p w:rsidR="00000000" w:rsidP="00A07B12">
            <w:pPr>
              <w:pStyle w:val="ListBullet"/>
              <w:rPr>
                <w:lang w:val="en-NZ"/>
              </w:rPr>
            </w:pPr>
            <w:r w:rsidRPr="00A07B12">
              <w:t>accessing and validating third party reports.</w:t>
            </w:r>
          </w:p>
        </w:tc>
      </w:tr>
      <w:tr w:rsidTr="001D6AA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12">
            <w:pPr>
              <w:pStyle w:val="BodyText"/>
              <w:rPr>
                <w:lang w:val="en-NZ"/>
              </w:rPr>
            </w:pPr>
            <w:r w:rsidRPr="00A07B12">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B12" w:rsidP="00A07B12">
            <w:pPr>
              <w:pStyle w:val="BodyText"/>
            </w:pPr>
          </w:p>
        </w:tc>
      </w:tr>
    </w:tbl>
    <w:p w:rsidR="00000000" w:rsidRPr="00A07B12" w:rsidP="00A07B12">
      <w:pPr>
        <w:pStyle w:val="BodyText"/>
      </w:pPr>
    </w:p>
    <w:p w:rsidR="00000000" w:rsidRPr="00A07B12" w:rsidP="00A07B12">
      <w:pPr>
        <w:pStyle w:val="AllowPageBreak"/>
      </w:pPr>
    </w:p>
    <w:p w:rsidR="00000000" w:rsidRPr="00A07B12" w:rsidP="00A07B12">
      <w:pPr>
        <w:pStyle w:val="Heading1"/>
      </w:pPr>
      <w:bookmarkStart w:id="11" w:name="O_79501"/>
      <w:bookmarkEnd w:id="11"/>
      <w:r w:rsidRPr="00A07B12">
        <w:t>Range Statement</w:t>
      </w:r>
    </w:p>
    <w:tbl>
      <w:tblPr>
        <w:tblW w:w="0" w:type="auto"/>
        <w:tblLayout w:type="fixed"/>
        <w:tblCellMar>
          <w:left w:w="62" w:type="dxa"/>
          <w:right w:w="62" w:type="dxa"/>
        </w:tblCellMar>
        <w:tblLook w:val="0000"/>
      </w:tblPr>
      <w:tblGrid>
        <w:gridCol w:w="2520"/>
        <w:gridCol w:w="6002"/>
      </w:tblGrid>
      <w:tr w:rsidTr="001D6AA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12">
            <w:pPr>
              <w:pStyle w:val="BodyText"/>
              <w:rPr>
                <w:lang w:val="en-NZ"/>
              </w:rPr>
            </w:pPr>
            <w:r w:rsidRPr="00A07B12">
              <w:rPr>
                <w:rStyle w:val="SpecialBold"/>
              </w:rPr>
              <w:t>RANGE STATEMENT</w:t>
            </w:r>
          </w:p>
        </w:tc>
      </w:tr>
      <w:tr w:rsidTr="001D6AA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12">
            <w:pPr>
              <w:pStyle w:val="BodyText"/>
              <w:rPr>
                <w:lang w:val="en-NZ"/>
              </w:rPr>
            </w:pPr>
            <w:r w:rsidRPr="00A07B12">
              <w:t>The range statement relates to the unit of competency as a whole. It allows for different work environments and situations that may affect performance. Bold italicised wording, if used in the performance criteria, is detailed below. Essential operating con</w:t>
            </w:r>
            <w:r w:rsidRPr="00A07B12">
              <w:t>ditions that may be present with training and assessment (depending on the work situation, needs of the candidate, accessibility of the item, and local industry and regional contexts) may also be included.</w:t>
            </w:r>
          </w:p>
        </w:tc>
      </w:tr>
      <w:tr w:rsidTr="001D6AA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12">
            <w:pPr>
              <w:pStyle w:val="BodyText"/>
              <w:rPr>
                <w:lang w:val="en-NZ"/>
              </w:rPr>
            </w:pPr>
            <w:r w:rsidRPr="00A07B12">
              <w:rPr>
                <w:rStyle w:val="BoldandItalics"/>
              </w:rPr>
              <w:t>Risk acceptance information</w:t>
            </w:r>
            <w:r w:rsidRPr="00A07B12">
              <w:t xml:space="preserve"> may include:</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B12" w:rsidP="00A07B12">
            <w:pPr>
              <w:pStyle w:val="ListBullet"/>
            </w:pPr>
            <w:r w:rsidRPr="00A07B12">
              <w:t>amendm</w:t>
            </w:r>
            <w:r w:rsidRPr="00A07B12">
              <w:t>ents</w:t>
            </w:r>
          </w:p>
          <w:p w:rsidR="00000000" w:rsidRPr="00A07B12" w:rsidP="00A07B12">
            <w:pPr>
              <w:pStyle w:val="ListBullet"/>
            </w:pPr>
            <w:r w:rsidRPr="00A07B12">
              <w:t>assessor reports</w:t>
            </w:r>
          </w:p>
          <w:p w:rsidR="00000000" w:rsidRPr="00A07B12" w:rsidP="00A07B12">
            <w:pPr>
              <w:pStyle w:val="ListBullet"/>
            </w:pPr>
            <w:r w:rsidRPr="00A07B12">
              <w:t>broker slips</w:t>
            </w:r>
          </w:p>
          <w:p w:rsidR="00000000" w:rsidRPr="00A07B12" w:rsidP="00A07B12">
            <w:pPr>
              <w:pStyle w:val="ListBullet"/>
            </w:pPr>
            <w:r w:rsidRPr="00A07B12">
              <w:t>claims</w:t>
            </w:r>
          </w:p>
          <w:p w:rsidR="00000000" w:rsidRPr="00A07B12" w:rsidP="00A07B12">
            <w:pPr>
              <w:pStyle w:val="ListBullet"/>
            </w:pPr>
            <w:r w:rsidRPr="00A07B12">
              <w:t>for NZ: the New Zealand Claims Register</w:t>
            </w:r>
          </w:p>
          <w:p w:rsidR="00000000" w:rsidRPr="00A07B12" w:rsidP="00A07B12">
            <w:pPr>
              <w:pStyle w:val="ListBullet"/>
            </w:pPr>
            <w:r w:rsidRPr="00A07B12">
              <w:t>general knowledge</w:t>
            </w:r>
          </w:p>
          <w:p w:rsidR="00000000" w:rsidRPr="00A07B12" w:rsidP="00A07B12">
            <w:pPr>
              <w:pStyle w:val="ListBullet"/>
            </w:pPr>
            <w:r w:rsidRPr="00A07B12">
              <w:t>legal cases</w:t>
            </w:r>
          </w:p>
          <w:p w:rsidR="00000000" w:rsidRPr="00A07B12" w:rsidP="00A07B12">
            <w:pPr>
              <w:pStyle w:val="ListBullet"/>
            </w:pPr>
            <w:r w:rsidRPr="00A07B12">
              <w:t>pre-underwriting report</w:t>
            </w:r>
          </w:p>
          <w:p w:rsidR="00000000" w:rsidRPr="00A07B12" w:rsidP="00A07B12">
            <w:pPr>
              <w:pStyle w:val="ListBullet"/>
            </w:pPr>
            <w:r w:rsidRPr="00A07B12">
              <w:t>previous insurers</w:t>
            </w:r>
          </w:p>
          <w:p w:rsidR="00000000" w:rsidRPr="00A07B12" w:rsidP="00A07B12">
            <w:pPr>
              <w:pStyle w:val="ListBullet"/>
            </w:pPr>
            <w:r w:rsidRPr="00A07B12">
              <w:t>proposals</w:t>
            </w:r>
          </w:p>
          <w:p w:rsidR="00000000" w:rsidRPr="00A07B12" w:rsidP="00A07B12">
            <w:pPr>
              <w:pStyle w:val="ListBullet"/>
            </w:pPr>
            <w:r w:rsidRPr="00A07B12">
              <w:t>publications (industry associations and trade journals)</w:t>
            </w:r>
          </w:p>
          <w:p w:rsidR="00000000" w:rsidRPr="00A07B12" w:rsidP="00A07B12">
            <w:pPr>
              <w:pStyle w:val="ListBullet"/>
            </w:pPr>
            <w:r w:rsidRPr="00A07B12">
              <w:t>stock exchange</w:t>
            </w:r>
          </w:p>
          <w:p w:rsidR="00000000" w:rsidRPr="00A07B12" w:rsidP="00A07B12">
            <w:pPr>
              <w:pStyle w:val="ListBullet"/>
            </w:pPr>
            <w:r w:rsidRPr="00A07B12">
              <w:t>surveys</w:t>
            </w:r>
          </w:p>
          <w:p w:rsidR="00000000" w:rsidP="00A07B12">
            <w:pPr>
              <w:pStyle w:val="ListBullet"/>
              <w:rPr>
                <w:lang w:val="en-NZ"/>
              </w:rPr>
            </w:pPr>
            <w:r w:rsidRPr="00A07B12">
              <w:t>telephone contacts.</w:t>
            </w:r>
          </w:p>
        </w:tc>
      </w:tr>
      <w:tr w:rsidTr="001D6AA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12">
            <w:pPr>
              <w:pStyle w:val="BodyText"/>
              <w:rPr>
                <w:lang w:val="en-NZ"/>
              </w:rPr>
            </w:pPr>
            <w:r w:rsidRPr="00A07B12">
              <w:rPr>
                <w:rStyle w:val="BoldandItalics"/>
              </w:rPr>
              <w:t>Terms and conditions of risk acceptance</w:t>
            </w:r>
            <w:r w:rsidRPr="00A07B12">
              <w:t xml:space="preserve"> may include:</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B12" w:rsidP="00A07B12">
            <w:pPr>
              <w:pStyle w:val="ListBullet"/>
            </w:pPr>
            <w:r w:rsidRPr="00A07B12">
              <w:t>additional exclusions</w:t>
            </w:r>
          </w:p>
          <w:p w:rsidR="00000000" w:rsidRPr="00A07B12" w:rsidP="00A07B12">
            <w:pPr>
              <w:pStyle w:val="ListBullet"/>
            </w:pPr>
            <w:r w:rsidRPr="00A07B12">
              <w:t>adequate reinsurance cover</w:t>
            </w:r>
          </w:p>
          <w:p w:rsidR="00000000" w:rsidRPr="00A07B12" w:rsidP="00A07B12">
            <w:pPr>
              <w:pStyle w:val="ListBullet"/>
            </w:pPr>
            <w:r w:rsidRPr="00A07B12">
              <w:t>endorsements</w:t>
            </w:r>
          </w:p>
          <w:p w:rsidR="00000000" w:rsidRPr="00A07B12" w:rsidP="00A07B12">
            <w:pPr>
              <w:pStyle w:val="ListBullet"/>
            </w:pPr>
            <w:r w:rsidRPr="00A07B12">
              <w:t>excesses/deductibles</w:t>
            </w:r>
          </w:p>
          <w:p w:rsidR="00000000" w:rsidRPr="00A07B12" w:rsidP="00A07B12">
            <w:pPr>
              <w:pStyle w:val="ListBullet"/>
            </w:pPr>
            <w:r w:rsidRPr="00A07B12">
              <w:t>extensions</w:t>
            </w:r>
          </w:p>
          <w:p w:rsidR="00000000" w:rsidRPr="00A07B12" w:rsidP="00A07B12">
            <w:pPr>
              <w:pStyle w:val="ListBullet"/>
            </w:pPr>
            <w:r w:rsidRPr="00A07B12">
              <w:t>insurance history</w:t>
            </w:r>
          </w:p>
          <w:p w:rsidR="00000000" w:rsidRPr="00A07B12" w:rsidP="00A07B12">
            <w:pPr>
              <w:pStyle w:val="ListBullet"/>
            </w:pPr>
            <w:r w:rsidRPr="00A07B12">
              <w:t>internal and industry statistics</w:t>
            </w:r>
          </w:p>
          <w:p w:rsidR="00000000" w:rsidRPr="00A07B12" w:rsidP="00A07B12">
            <w:pPr>
              <w:pStyle w:val="ListBullet"/>
            </w:pPr>
            <w:r w:rsidRPr="00A07B12">
              <w:t>pricing</w:t>
            </w:r>
          </w:p>
          <w:p w:rsidR="00000000" w:rsidRPr="00A07B12" w:rsidP="00A07B12">
            <w:pPr>
              <w:pStyle w:val="ListBullet"/>
            </w:pPr>
            <w:r w:rsidRPr="00A07B12">
              <w:t>quality of risk</w:t>
            </w:r>
          </w:p>
          <w:p w:rsidR="00000000" w:rsidRPr="00A07B12" w:rsidP="00A07B12">
            <w:pPr>
              <w:pStyle w:val="ListBullet"/>
            </w:pPr>
            <w:r w:rsidRPr="00A07B12">
              <w:t>risk factors</w:t>
            </w:r>
          </w:p>
          <w:p w:rsidR="00000000" w:rsidRPr="00A07B12" w:rsidP="00A07B12">
            <w:pPr>
              <w:pStyle w:val="ListBullet"/>
            </w:pPr>
            <w:r w:rsidRPr="00A07B12">
              <w:t>risk improvement requirements</w:t>
            </w:r>
          </w:p>
          <w:p w:rsidR="00000000" w:rsidRPr="00A07B12" w:rsidP="00A07B12">
            <w:pPr>
              <w:pStyle w:val="ListBullet"/>
            </w:pPr>
            <w:r w:rsidRPr="00A07B12">
              <w:t>sub-limits</w:t>
            </w:r>
          </w:p>
          <w:p w:rsidR="00000000" w:rsidP="00A07B12">
            <w:pPr>
              <w:pStyle w:val="ListBullet"/>
              <w:rPr>
                <w:lang w:val="en-NZ"/>
              </w:rPr>
            </w:pPr>
            <w:r w:rsidRPr="00A07B12">
              <w:t>variations in policy wording.</w:t>
            </w:r>
          </w:p>
        </w:tc>
      </w:tr>
      <w:tr w:rsidTr="001D6AA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12">
            <w:pPr>
              <w:pStyle w:val="BodyText"/>
              <w:rPr>
                <w:lang w:val="en-NZ"/>
              </w:rPr>
            </w:pPr>
            <w:r w:rsidRPr="00A07B12">
              <w:rPr>
                <w:rStyle w:val="BoldandItalics"/>
              </w:rPr>
              <w:t>Risk acceptance criteria</w:t>
            </w:r>
            <w:r w:rsidRPr="00A07B12">
              <w:t xml:space="preserve"> may include:</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B12" w:rsidP="00A07B12">
            <w:pPr>
              <w:pStyle w:val="ListBullet"/>
            </w:pPr>
            <w:r w:rsidRPr="00A07B12">
              <w:t>class of business</w:t>
            </w:r>
          </w:p>
          <w:p w:rsidR="00000000" w:rsidRPr="00A07B12" w:rsidP="00A07B12">
            <w:pPr>
              <w:pStyle w:val="ListBullet"/>
            </w:pPr>
            <w:r w:rsidRPr="00A07B12">
              <w:t>driving and/or accident history</w:t>
            </w:r>
          </w:p>
          <w:p w:rsidR="00000000" w:rsidRPr="00A07B12" w:rsidP="00A07B12">
            <w:pPr>
              <w:pStyle w:val="ListBullet"/>
            </w:pPr>
            <w:r w:rsidRPr="00A07B12">
              <w:t>insurance history</w:t>
            </w:r>
          </w:p>
          <w:p w:rsidR="00000000" w:rsidRPr="00A07B12" w:rsidP="00A07B12">
            <w:pPr>
              <w:pStyle w:val="ListBullet"/>
            </w:pPr>
            <w:r w:rsidRPr="00A07B12">
              <w:t>locality</w:t>
            </w:r>
          </w:p>
          <w:p w:rsidR="00000000" w:rsidP="00A07B12">
            <w:pPr>
              <w:pStyle w:val="ListBullet"/>
              <w:rPr>
                <w:lang w:val="en-NZ"/>
              </w:rPr>
            </w:pPr>
            <w:r w:rsidRPr="00A07B12">
              <w:t>minimum security levels.</w:t>
            </w:r>
          </w:p>
        </w:tc>
      </w:tr>
      <w:tr w:rsidTr="001D6AA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12">
            <w:pPr>
              <w:pStyle w:val="BodyText"/>
              <w:rPr>
                <w:lang w:val="en-NZ"/>
              </w:rPr>
            </w:pPr>
            <w:r w:rsidRPr="00A07B12">
              <w:t xml:space="preserve">The </w:t>
            </w:r>
            <w:r w:rsidRPr="00A07B12">
              <w:rPr>
                <w:rStyle w:val="BoldandItalics"/>
              </w:rPr>
              <w:t>client</w:t>
            </w:r>
            <w:r w:rsidRPr="00A07B12">
              <w:t xml:space="preserve"> may be:</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12">
            <w:pPr>
              <w:pStyle w:val="ListBullet"/>
              <w:rPr>
                <w:lang w:val="en-NZ"/>
              </w:rPr>
            </w:pPr>
            <w:r w:rsidRPr="00A07B12">
              <w:t>represented by an insurance broker or agent (letters of appointment will be necessary if there has been a change of agent or broker).</w:t>
            </w:r>
          </w:p>
        </w:tc>
      </w:tr>
      <w:tr w:rsidTr="001D6AA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12">
            <w:pPr>
              <w:pStyle w:val="BodyText"/>
              <w:rPr>
                <w:lang w:val="en-NZ"/>
              </w:rPr>
            </w:pPr>
            <w:r w:rsidRPr="00A07B12">
              <w:rPr>
                <w:rStyle w:val="BoldandItalics"/>
              </w:rPr>
              <w:t>Rejection of risk</w:t>
            </w:r>
            <w:r w:rsidRPr="00A07B12">
              <w:t xml:space="preserve"> refers to:</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12">
            <w:pPr>
              <w:pStyle w:val="ListBullet"/>
              <w:rPr>
                <w:lang w:val="en-NZ"/>
              </w:rPr>
            </w:pPr>
            <w:r w:rsidRPr="00A07B12">
              <w:t>advising a client or broker/agent of non-acceptance of risk.</w:t>
            </w:r>
          </w:p>
        </w:tc>
      </w:tr>
      <w:tr w:rsidTr="001D6AA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12">
            <w:pPr>
              <w:pStyle w:val="BodyText"/>
              <w:rPr>
                <w:lang w:val="en-NZ"/>
              </w:rPr>
            </w:pPr>
            <w:r w:rsidRPr="00A07B12">
              <w:rPr>
                <w:rStyle w:val="BoldandItalics"/>
              </w:rPr>
              <w:t>Disclosure requirements</w:t>
            </w:r>
            <w:r w:rsidRPr="00A07B12">
              <w:t xml:space="preserve"> may b</w:t>
            </w:r>
            <w:r w:rsidRPr="00A07B12">
              <w:t>e met:</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12">
            <w:pPr>
              <w:pStyle w:val="ListBullet"/>
              <w:rPr>
                <w:lang w:val="en-NZ"/>
              </w:rPr>
            </w:pPr>
            <w:r w:rsidRPr="00A07B12">
              <w:t>in a variety of ways according to the way the business is written (e.g. proposal, telephone, facsimile, e-commerce).</w:t>
            </w:r>
          </w:p>
        </w:tc>
      </w:tr>
      <w:tr w:rsidTr="001D6AA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12">
            <w:pPr>
              <w:pStyle w:val="BodyText"/>
              <w:rPr>
                <w:lang w:val="en-NZ"/>
              </w:rPr>
            </w:pPr>
            <w:r w:rsidRPr="00A07B12">
              <w:rPr>
                <w:rStyle w:val="BoldandItalics"/>
              </w:rPr>
              <w:t>Initial documentation</w:t>
            </w:r>
            <w:r w:rsidRPr="00A07B12">
              <w:t xml:space="preserve"> includes:</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B12" w:rsidP="00A07B12">
            <w:pPr>
              <w:pStyle w:val="ListBullet"/>
            </w:pPr>
            <w:r w:rsidRPr="00A07B12">
              <w:t>any interim cover</w:t>
            </w:r>
          </w:p>
          <w:p w:rsidR="00000000" w:rsidRPr="00A07B12" w:rsidP="00A07B12">
            <w:pPr>
              <w:pStyle w:val="ListBullet"/>
            </w:pPr>
            <w:r w:rsidRPr="00A07B12">
              <w:t>revised document (endorsement or new business certificate).</w:t>
            </w:r>
          </w:p>
        </w:tc>
      </w:tr>
    </w:tbl>
    <w:p w:rsidR="001D6AAF" w:rsidP="00A07B12">
      <w:pPr>
        <w:pStyle w:val="BodyText"/>
      </w:pPr>
    </w:p>
    <w:p w:rsidR="001D6AAF" w:rsidP="00A07B12">
      <w:pPr>
        <w:pStyle w:val="BodyText"/>
      </w:pPr>
    </w:p>
    <w:p w:rsidR="00000000" w:rsidRPr="00A07B12" w:rsidP="00A07B12">
      <w:pPr>
        <w:pStyle w:val="Heading1"/>
      </w:pPr>
      <w:bookmarkStart w:id="12" w:name="O_79502"/>
      <w:bookmarkEnd w:id="12"/>
      <w:r w:rsidRPr="00A07B12">
        <w:t>Unit Sector(s)</w:t>
      </w:r>
    </w:p>
    <w:tbl>
      <w:tblPr>
        <w:tblW w:w="0" w:type="auto"/>
        <w:tblLayout w:type="fixed"/>
        <w:tblCellMar>
          <w:left w:w="62" w:type="dxa"/>
          <w:right w:w="62" w:type="dxa"/>
        </w:tblCellMar>
        <w:tblLook w:val="0000"/>
      </w:tblPr>
      <w:tblGrid>
        <w:gridCol w:w="2594"/>
        <w:gridCol w:w="5928"/>
      </w:tblGrid>
      <w:tr w:rsidTr="001D6AAF">
        <w:tblPrEx>
          <w:tblW w:w="0" w:type="auto"/>
          <w:tblLayout w:type="fixed"/>
          <w:tblCellMar>
            <w:left w:w="62" w:type="dxa"/>
            <w:right w:w="62" w:type="dxa"/>
          </w:tblCellMar>
          <w:tblLook w:val="0000"/>
        </w:tblPrEx>
        <w:trPr>
          <w:tblHeader/>
        </w:trPr>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12">
            <w:pPr>
              <w:pStyle w:val="BodyText"/>
              <w:rPr>
                <w:lang w:val="en-NZ"/>
              </w:rPr>
            </w:pPr>
            <w:r w:rsidRPr="00A07B12">
              <w:rPr>
                <w:rStyle w:val="SpecialBold"/>
              </w:rPr>
              <w:t>Unit sector</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B12" w:rsidP="00A07B12">
            <w:pPr>
              <w:pStyle w:val="BodyText"/>
            </w:pPr>
            <w:r w:rsidRPr="00A07B12">
              <w:t>Insurance services</w:t>
            </w:r>
          </w:p>
        </w:tc>
      </w:tr>
    </w:tbl>
    <w:p w:rsidR="00000000" w:rsidRPr="00A07B12" w:rsidP="00A07B12">
      <w:pPr>
        <w:pStyle w:val="BodyText"/>
      </w:pPr>
    </w:p>
    <w:p w:rsidR="00000000" w:rsidRPr="00A07B12" w:rsidP="00A07B12">
      <w:pPr>
        <w:pStyle w:val="AllowPageBreak"/>
      </w:pPr>
    </w:p>
    <w:p w:rsidR="00000000" w:rsidRPr="00A07B12" w:rsidP="00A07B12">
      <w:pPr>
        <w:pStyle w:val="Heading1"/>
      </w:pPr>
      <w:bookmarkStart w:id="13" w:name="O_156483"/>
      <w:bookmarkEnd w:id="13"/>
      <w:r w:rsidRPr="00A07B12">
        <w:t>Competency field</w:t>
      </w:r>
    </w:p>
    <w:tbl>
      <w:tblPr>
        <w:tblW w:w="0" w:type="auto"/>
        <w:tblLayout w:type="fixed"/>
        <w:tblCellMar>
          <w:left w:w="62" w:type="dxa"/>
          <w:right w:w="62" w:type="dxa"/>
        </w:tblCellMar>
        <w:tblLook w:val="0000"/>
      </w:tblPr>
      <w:tblGrid>
        <w:gridCol w:w="2754"/>
        <w:gridCol w:w="5768"/>
      </w:tblGrid>
      <w:tr w:rsidTr="001D6AAF">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12">
            <w:pPr>
              <w:pStyle w:val="BodyText"/>
              <w:rPr>
                <w:lang w:val="en-NZ"/>
              </w:rPr>
            </w:pPr>
            <w:r w:rsidRPr="00A07B12">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B12" w:rsidP="00A07B12">
            <w:pPr>
              <w:pStyle w:val="BodyText"/>
            </w:pPr>
          </w:p>
        </w:tc>
      </w:tr>
    </w:tbl>
    <w:p w:rsidR="00000000" w:rsidRPr="00A07B12" w:rsidP="00A07B12">
      <w:pPr>
        <w:pStyle w:val="BodyText"/>
      </w:pPr>
    </w:p>
    <w:p w:rsidR="00000000" w:rsidRPr="00A07B12" w:rsidP="00A07B12">
      <w:pPr>
        <w:pStyle w:val="AllowPageBreak"/>
      </w:pPr>
    </w:p>
    <w:p w:rsidR="00000000" w:rsidRPr="00A07B12" w:rsidP="00A07B12">
      <w:pPr>
        <w:pStyle w:val="Heading1"/>
      </w:pPr>
      <w:bookmarkStart w:id="14" w:name="O_156482"/>
      <w:bookmarkEnd w:id="14"/>
      <w:r w:rsidRPr="00A07B12">
        <w:t>Co-requisite units</w:t>
      </w:r>
    </w:p>
    <w:tbl>
      <w:tblPr>
        <w:tblW w:w="0" w:type="auto"/>
        <w:tblLayout w:type="fixed"/>
        <w:tblCellMar>
          <w:left w:w="62" w:type="dxa"/>
          <w:right w:w="62" w:type="dxa"/>
        </w:tblCellMar>
        <w:tblLook w:val="0000"/>
      </w:tblPr>
      <w:tblGrid>
        <w:gridCol w:w="2629"/>
        <w:gridCol w:w="1324"/>
        <w:gridCol w:w="4569"/>
      </w:tblGrid>
      <w:tr w:rsidTr="001D6AAF">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12">
            <w:pPr>
              <w:pStyle w:val="BodyText"/>
              <w:rPr>
                <w:lang w:val="en-NZ"/>
              </w:rPr>
            </w:pPr>
            <w:r w:rsidRPr="00A07B12">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12">
            <w:pPr>
              <w:pStyle w:val="BodyText"/>
              <w:rPr>
                <w:lang w:val="en-NZ"/>
              </w:rPr>
            </w:pPr>
          </w:p>
        </w:tc>
      </w:tr>
      <w:tr w:rsidTr="001D6AAF">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B12" w:rsidP="00A07B12">
            <w:pPr>
              <w:pStyle w:val="BodyText"/>
            </w:pPr>
          </w:p>
        </w:tc>
      </w:tr>
    </w:tbl>
    <w:p w:rsidR="00000000" w:rsidRPr="00A07B12" w:rsidP="00A07B12">
      <w:pPr>
        <w:pStyle w:val="BodyText"/>
      </w:pPr>
    </w:p>
    <w:p w:rsidR="00000000" w:rsidRPr="00A07B12" w:rsidP="00A07B12"/>
    <w:sectPr w:rsidSect="00A07B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B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6AAF" w:rsidP="001D6A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B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AAF" w:rsidP="00A07B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D6AAF" w:rsidP="00A07B1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D6AAF" w:rsidP="00A07B1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B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6AAF" w:rsidP="001D6AA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B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AAF" w:rsidP="00A07B12">
    <w:pPr>
      <w:pStyle w:val="Header"/>
      <w:framePr w:wrap="around"/>
    </w:pPr>
    <w:r>
      <w:fldChar w:fldCharType="begin"/>
    </w:r>
    <w:r>
      <w:instrText xml:space="preserve"> TITLE   \* MERGEFORMAT </w:instrText>
    </w:r>
    <w:r>
      <w:fldChar w:fldCharType="separate"/>
    </w:r>
    <w:r>
      <w:t>FNSISV402A Underwrite new 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D6AAF" w:rsidP="00A07B1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8240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04F4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B484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7B1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07B12"/>
    <w:pPr>
      <w:spacing w:before="360" w:after="60"/>
      <w:outlineLvl w:val="0"/>
    </w:pPr>
    <w:rPr>
      <w:sz w:val="32"/>
    </w:rPr>
  </w:style>
  <w:style w:type="paragraph" w:styleId="Heading2">
    <w:name w:val="heading 2"/>
    <w:basedOn w:val="HeadingBase"/>
    <w:next w:val="BodyText"/>
    <w:link w:val="Heading2Char"/>
    <w:qFormat/>
    <w:rsid w:val="00A07B12"/>
    <w:pPr>
      <w:keepLines/>
      <w:spacing w:before="240" w:after="120"/>
      <w:outlineLvl w:val="1"/>
    </w:pPr>
    <w:rPr>
      <w:sz w:val="28"/>
      <w:szCs w:val="40"/>
    </w:rPr>
  </w:style>
  <w:style w:type="paragraph" w:styleId="Heading3">
    <w:name w:val="heading 3"/>
    <w:basedOn w:val="HeadingBase"/>
    <w:next w:val="BodyText"/>
    <w:link w:val="Heading3Char"/>
    <w:qFormat/>
    <w:rsid w:val="00A07B12"/>
    <w:pPr>
      <w:spacing w:before="180" w:after="120"/>
      <w:outlineLvl w:val="2"/>
    </w:pPr>
    <w:rPr>
      <w:spacing w:val="-10"/>
      <w:kern w:val="32"/>
    </w:rPr>
  </w:style>
  <w:style w:type="paragraph" w:styleId="Heading4">
    <w:name w:val="heading 4"/>
    <w:basedOn w:val="HeadingBase"/>
    <w:next w:val="BodyText"/>
    <w:link w:val="Heading4Char"/>
    <w:qFormat/>
    <w:rsid w:val="00A07B12"/>
    <w:pPr>
      <w:spacing w:before="160" w:after="120"/>
      <w:outlineLvl w:val="3"/>
    </w:pPr>
    <w:rPr>
      <w:sz w:val="22"/>
    </w:rPr>
  </w:style>
  <w:style w:type="paragraph" w:styleId="Heading5">
    <w:name w:val="heading 5"/>
    <w:basedOn w:val="HeadingBase"/>
    <w:next w:val="Normal"/>
    <w:link w:val="Heading5Char"/>
    <w:qFormat/>
    <w:rsid w:val="00A07B12"/>
    <w:pPr>
      <w:spacing w:before="80"/>
      <w:outlineLvl w:val="4"/>
    </w:pPr>
    <w:rPr>
      <w:color w:val="918585"/>
      <w:sz w:val="20"/>
    </w:rPr>
  </w:style>
  <w:style w:type="paragraph" w:styleId="Heading6">
    <w:name w:val="heading 6"/>
    <w:basedOn w:val="HeadingBase"/>
    <w:next w:val="Normal"/>
    <w:link w:val="Heading6Char"/>
    <w:qFormat/>
    <w:rsid w:val="00A07B12"/>
    <w:pPr>
      <w:spacing w:before="60"/>
      <w:outlineLvl w:val="5"/>
    </w:pPr>
    <w:rPr>
      <w:color w:val="918585"/>
      <w:sz w:val="20"/>
    </w:rPr>
  </w:style>
  <w:style w:type="paragraph" w:styleId="Heading7">
    <w:name w:val="heading 7"/>
    <w:basedOn w:val="Normal"/>
    <w:next w:val="Normal"/>
    <w:link w:val="Heading7Char"/>
    <w:qFormat/>
    <w:rsid w:val="00A07B12"/>
    <w:pPr>
      <w:ind w:left="720"/>
      <w:outlineLvl w:val="6"/>
    </w:pPr>
    <w:rPr>
      <w:i/>
    </w:rPr>
  </w:style>
  <w:style w:type="paragraph" w:styleId="Heading8">
    <w:name w:val="heading 8"/>
    <w:basedOn w:val="Normal"/>
    <w:next w:val="Normal"/>
    <w:link w:val="Heading8Char"/>
    <w:qFormat/>
    <w:rsid w:val="00A07B12"/>
    <w:pPr>
      <w:ind w:left="720"/>
      <w:outlineLvl w:val="7"/>
    </w:pPr>
    <w:rPr>
      <w:i/>
    </w:rPr>
  </w:style>
  <w:style w:type="paragraph" w:styleId="Heading9">
    <w:name w:val="heading 9"/>
    <w:basedOn w:val="Normal"/>
    <w:next w:val="Normal"/>
    <w:link w:val="Heading9Char"/>
    <w:qFormat/>
    <w:rsid w:val="00A07B12"/>
    <w:pPr>
      <w:ind w:left="720"/>
      <w:outlineLvl w:val="8"/>
    </w:pPr>
    <w:rPr>
      <w:i/>
    </w:rPr>
  </w:style>
  <w:style w:type="character" w:default="1" w:styleId="DefaultParagraphFont">
    <w:name w:val="Default Paragraph Font"/>
    <w:uiPriority w:val="1"/>
    <w:unhideWhenUsed/>
    <w:rsid w:val="00A07B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7B12"/>
  </w:style>
  <w:style w:type="character" w:customStyle="1" w:styleId="Heading1Char">
    <w:name w:val="Heading 1 Char"/>
    <w:basedOn w:val="DefaultParagraphFont"/>
    <w:link w:val="Heading1"/>
    <w:rsid w:val="00A07B12"/>
    <w:rPr>
      <w:rFonts w:ascii="Times New Roman" w:eastAsia="Times New Roman" w:hAnsi="Times New Roman" w:cs="Times New Roman"/>
      <w:b/>
      <w:sz w:val="32"/>
      <w:szCs w:val="20"/>
      <w:lang w:eastAsia="en-US"/>
    </w:rPr>
  </w:style>
  <w:style w:type="paragraph" w:styleId="BodyText">
    <w:name w:val="Body Text"/>
    <w:basedOn w:val="Normal"/>
    <w:link w:val="BodyTextChar"/>
    <w:rsid w:val="00A07B1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07B12"/>
    <w:rPr>
      <w:rFonts w:ascii="Times New Roman" w:eastAsia="Times New Roman" w:hAnsi="Times New Roman" w:cs="Times New Roman"/>
      <w:sz w:val="24"/>
      <w:lang w:val="en-US" w:eastAsia="en-US"/>
    </w:rPr>
  </w:style>
  <w:style w:type="paragraph" w:styleId="Footer">
    <w:name w:val="footer"/>
    <w:basedOn w:val="Normal"/>
    <w:link w:val="FooterChar"/>
    <w:rsid w:val="00A07B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7B12"/>
    <w:rPr>
      <w:rFonts w:ascii="Times New Roman" w:eastAsia="Times New Roman" w:hAnsi="Times New Roman" w:cs="Times New Roman"/>
      <w:sz w:val="16"/>
      <w:lang w:val="en-US" w:eastAsia="en-US"/>
    </w:rPr>
  </w:style>
  <w:style w:type="paragraph" w:styleId="List">
    <w:name w:val="List"/>
    <w:basedOn w:val="BodyText"/>
    <w:next w:val="BodyText"/>
    <w:rsid w:val="00A07B12"/>
    <w:pPr>
      <w:tabs>
        <w:tab w:val="left" w:pos="340"/>
      </w:tabs>
      <w:spacing w:before="60" w:after="60"/>
      <w:ind w:left="340" w:hanging="340"/>
    </w:pPr>
  </w:style>
  <w:style w:type="paragraph" w:styleId="ListBullet">
    <w:name w:val="List Bullet"/>
    <w:basedOn w:val="List"/>
    <w:rsid w:val="00A07B12"/>
    <w:pPr>
      <w:numPr>
        <w:numId w:val="13"/>
      </w:numPr>
      <w:tabs>
        <w:tab w:val="clear" w:pos="340"/>
      </w:tabs>
      <w:spacing w:before="40" w:after="40"/>
    </w:pPr>
  </w:style>
  <w:style w:type="character" w:customStyle="1" w:styleId="SpecialBold">
    <w:name w:val="Special Bold"/>
    <w:basedOn w:val="DefaultParagraphFont"/>
    <w:rsid w:val="00A07B12"/>
    <w:rPr>
      <w:b/>
      <w:spacing w:val="0"/>
    </w:rPr>
  </w:style>
  <w:style w:type="paragraph" w:styleId="ListBullet2">
    <w:name w:val="List Bullet 2"/>
    <w:basedOn w:val="List2"/>
    <w:rsid w:val="00A07B12"/>
    <w:pPr>
      <w:numPr>
        <w:numId w:val="14"/>
      </w:numPr>
      <w:tabs>
        <w:tab w:val="clear" w:pos="680"/>
      </w:tabs>
    </w:pPr>
  </w:style>
  <w:style w:type="paragraph" w:styleId="Header">
    <w:name w:val="header"/>
    <w:basedOn w:val="Normal"/>
    <w:link w:val="HeaderChar"/>
    <w:rsid w:val="00A07B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7B1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07B12"/>
    <w:pPr>
      <w:spacing w:before="240" w:after="120"/>
      <w:outlineLvl w:val="0"/>
    </w:pPr>
    <w:rPr>
      <w:rFonts w:ascii="Times New Roman" w:hAnsi="Times New Roman"/>
      <w:b/>
      <w:sz w:val="28"/>
    </w:rPr>
  </w:style>
  <w:style w:type="paragraph" w:customStyle="1" w:styleId="AllowPageBreak">
    <w:name w:val="AllowPageBreak"/>
    <w:rsid w:val="00A07B1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07B12"/>
    <w:pPr>
      <w:tabs>
        <w:tab w:val="left" w:pos="680"/>
      </w:tabs>
      <w:spacing w:before="60" w:after="60"/>
      <w:ind w:left="680" w:hanging="340"/>
    </w:pPr>
  </w:style>
  <w:style w:type="character" w:customStyle="1" w:styleId="BoldandItalics">
    <w:name w:val="Bold and Italics"/>
    <w:qFormat/>
    <w:rsid w:val="00A07B12"/>
    <w:rPr>
      <w:b/>
      <w:i/>
      <w:u w:val="none"/>
    </w:rPr>
  </w:style>
  <w:style w:type="character" w:customStyle="1" w:styleId="Heading2Char">
    <w:name w:val="Heading 2 Char"/>
    <w:basedOn w:val="DefaultParagraphFont"/>
    <w:link w:val="Heading2"/>
    <w:rsid w:val="00A07B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7B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7B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7B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7B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7B1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07B1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07B12"/>
    <w:rPr>
      <w:rFonts w:ascii="Courier New" w:eastAsia="Times New Roman" w:hAnsi="Courier New" w:cs="Times New Roman"/>
      <w:i/>
      <w:szCs w:val="20"/>
      <w:lang w:val="en-US" w:eastAsia="en-US"/>
    </w:rPr>
  </w:style>
  <w:style w:type="paragraph" w:customStyle="1" w:styleId="HeadingBase">
    <w:name w:val="Heading Base"/>
    <w:rsid w:val="00A07B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7B12"/>
    <w:pPr>
      <w:tabs>
        <w:tab w:val="right" w:leader="dot" w:pos="9072"/>
      </w:tabs>
      <w:ind w:left="567"/>
    </w:pPr>
    <w:rPr>
      <w:szCs w:val="22"/>
    </w:rPr>
  </w:style>
  <w:style w:type="paragraph" w:customStyle="1" w:styleId="TOCBase">
    <w:name w:val="TOC Base"/>
    <w:rsid w:val="00A07B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7B12"/>
    <w:pPr>
      <w:tabs>
        <w:tab w:val="right" w:leader="dot" w:pos="9072"/>
      </w:tabs>
      <w:spacing w:before="40" w:after="40"/>
      <w:ind w:left="284"/>
    </w:pPr>
    <w:rPr>
      <w:rFonts w:ascii="Times New Roman" w:hAnsi="Times New Roman"/>
    </w:rPr>
  </w:style>
  <w:style w:type="paragraph" w:styleId="TOC1">
    <w:name w:val="toc 1"/>
    <w:basedOn w:val="TOCBase"/>
    <w:next w:val="Normal"/>
    <w:rsid w:val="00A07B1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07B12"/>
    <w:pPr>
      <w:spacing w:before="5040"/>
      <w:jc w:val="center"/>
    </w:pPr>
    <w:rPr>
      <w:sz w:val="48"/>
      <w:szCs w:val="72"/>
      <w:lang w:val="en-US"/>
    </w:rPr>
  </w:style>
  <w:style w:type="character" w:customStyle="1" w:styleId="TitleChar">
    <w:name w:val="Title Char"/>
    <w:basedOn w:val="DefaultParagraphFont"/>
    <w:link w:val="Title"/>
    <w:rsid w:val="00A07B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7B12"/>
    <w:pPr>
      <w:tabs>
        <w:tab w:val="left" w:pos="3600"/>
        <w:tab w:val="left" w:pos="3958"/>
      </w:tabs>
    </w:pPr>
  </w:style>
  <w:style w:type="paragraph" w:customStyle="1" w:styleId="Note">
    <w:name w:val="Note"/>
    <w:basedOn w:val="BodyText"/>
    <w:rsid w:val="00A07B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7B12"/>
    <w:pPr>
      <w:framePr w:wrap="auto" w:hAnchor="text" w:y="6049"/>
    </w:pPr>
    <w:rPr>
      <w:color w:val="000000"/>
      <w:sz w:val="40"/>
    </w:rPr>
  </w:style>
  <w:style w:type="paragraph" w:customStyle="1" w:styleId="TOCTitle">
    <w:name w:val="TOCTitle"/>
    <w:basedOn w:val="Heading1"/>
    <w:rsid w:val="00A07B12"/>
    <w:pPr>
      <w:spacing w:after="240"/>
      <w:jc w:val="center"/>
      <w:outlineLvl w:val="9"/>
    </w:pPr>
    <w:rPr>
      <w:caps/>
    </w:rPr>
  </w:style>
  <w:style w:type="paragraph" w:customStyle="1" w:styleId="Version">
    <w:name w:val="Version"/>
    <w:rsid w:val="00A07B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7B12"/>
    <w:pPr>
      <w:keepNext w:val="0"/>
      <w:tabs>
        <w:tab w:val="right" w:pos="4176"/>
      </w:tabs>
      <w:ind w:left="198" w:hanging="198"/>
    </w:pPr>
    <w:rPr>
      <w:rFonts w:ascii="Garamond" w:hAnsi="Garamond"/>
    </w:rPr>
  </w:style>
  <w:style w:type="paragraph" w:styleId="IndexHeading">
    <w:name w:val="index heading"/>
    <w:basedOn w:val="Normal"/>
    <w:next w:val="Index1"/>
    <w:semiHidden/>
    <w:rsid w:val="00A07B12"/>
    <w:pPr>
      <w:spacing w:before="120" w:after="120"/>
    </w:pPr>
    <w:rPr>
      <w:rFonts w:ascii="Arial" w:hAnsi="Arial"/>
      <w:b/>
      <w:color w:val="918585"/>
      <w:sz w:val="24"/>
    </w:rPr>
  </w:style>
  <w:style w:type="paragraph" w:customStyle="1" w:styleId="Chapter">
    <w:name w:val="Chapter"/>
    <w:basedOn w:val="Normal"/>
    <w:rsid w:val="00A07B12"/>
    <w:pPr>
      <w:spacing w:before="240"/>
    </w:pPr>
    <w:rPr>
      <w:rFonts w:ascii="Times New Roman" w:hAnsi="Times New Roman"/>
      <w:smallCaps/>
      <w:spacing w:val="80"/>
      <w:sz w:val="28"/>
    </w:rPr>
  </w:style>
  <w:style w:type="paragraph" w:customStyle="1" w:styleId="InChapter">
    <w:name w:val="InChapter"/>
    <w:basedOn w:val="Heading3"/>
    <w:rsid w:val="00A07B12"/>
    <w:pPr>
      <w:spacing w:after="240"/>
      <w:outlineLvl w:val="9"/>
    </w:pPr>
    <w:rPr>
      <w:noProof/>
    </w:rPr>
  </w:style>
  <w:style w:type="paragraph" w:styleId="Index2">
    <w:name w:val="index 2"/>
    <w:basedOn w:val="Normal"/>
    <w:next w:val="Normal"/>
    <w:semiHidden/>
    <w:rsid w:val="00A07B12"/>
    <w:pPr>
      <w:tabs>
        <w:tab w:val="right" w:pos="4176"/>
      </w:tabs>
      <w:ind w:left="568" w:hanging="284"/>
    </w:pPr>
    <w:rPr>
      <w:rFonts w:ascii="Garamond" w:hAnsi="Garamond"/>
    </w:rPr>
  </w:style>
  <w:style w:type="paragraph" w:customStyle="1" w:styleId="Byline">
    <w:name w:val="Byline"/>
    <w:rsid w:val="00A07B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7B12"/>
    <w:pPr>
      <w:tabs>
        <w:tab w:val="clear" w:pos="3600"/>
        <w:tab w:val="clear" w:pos="3958"/>
      </w:tabs>
      <w:jc w:val="right"/>
    </w:pPr>
  </w:style>
  <w:style w:type="character" w:styleId="Emphasis">
    <w:name w:val="Emphasis"/>
    <w:basedOn w:val="DefaultParagraphFont"/>
    <w:qFormat/>
    <w:rsid w:val="00A07B12"/>
    <w:rPr>
      <w:i/>
    </w:rPr>
  </w:style>
  <w:style w:type="paragraph" w:styleId="Caption">
    <w:name w:val="caption"/>
    <w:basedOn w:val="BodyText"/>
    <w:next w:val="Normal"/>
    <w:qFormat/>
    <w:rsid w:val="00A07B12"/>
    <w:pPr>
      <w:framePr w:w="2268" w:hSpace="181" w:vSpace="181" w:wrap="around" w:vAnchor="text" w:hAnchor="page" w:x="1135" w:y="285" w:anchorLock="1"/>
    </w:pPr>
    <w:rPr>
      <w:i/>
    </w:rPr>
  </w:style>
  <w:style w:type="paragraph" w:customStyle="1" w:styleId="MiniTOCTitle">
    <w:name w:val="MiniTOCTitle"/>
    <w:basedOn w:val="Heading4"/>
    <w:rsid w:val="00A07B12"/>
    <w:pPr>
      <w:spacing w:before="240"/>
      <w:outlineLvl w:val="9"/>
    </w:pPr>
    <w:rPr>
      <w:noProof/>
      <w:sz w:val="24"/>
    </w:rPr>
  </w:style>
  <w:style w:type="paragraph" w:customStyle="1" w:styleId="MiniTOCItem">
    <w:name w:val="MiniTOCItem"/>
    <w:basedOn w:val="ListBullet"/>
    <w:rsid w:val="00A07B12"/>
    <w:pPr>
      <w:numPr>
        <w:numId w:val="0"/>
      </w:numPr>
      <w:tabs>
        <w:tab w:val="right" w:leader="dot" w:pos="6521"/>
      </w:tabs>
      <w:spacing w:before="0" w:after="0"/>
    </w:pPr>
  </w:style>
  <w:style w:type="paragraph" w:customStyle="1" w:styleId="TOFTitle">
    <w:name w:val="TOFTitle"/>
    <w:basedOn w:val="TOCTitle"/>
    <w:rsid w:val="00A07B12"/>
  </w:style>
  <w:style w:type="paragraph" w:styleId="TableofFigures">
    <w:name w:val="table of figures"/>
    <w:basedOn w:val="Normal"/>
    <w:next w:val="Normal"/>
    <w:semiHidden/>
    <w:rsid w:val="00A07B12"/>
    <w:pPr>
      <w:tabs>
        <w:tab w:val="right" w:leader="dot" w:pos="9072"/>
      </w:tabs>
      <w:ind w:left="970" w:hanging="403"/>
    </w:pPr>
    <w:rPr>
      <w:rFonts w:ascii="Times New Roman" w:hAnsi="Times New Roman"/>
      <w:b/>
    </w:rPr>
  </w:style>
  <w:style w:type="paragraph" w:styleId="ListNumber">
    <w:name w:val="List Number"/>
    <w:basedOn w:val="List"/>
    <w:rsid w:val="00A07B12"/>
    <w:pPr>
      <w:numPr>
        <w:numId w:val="11"/>
      </w:numPr>
    </w:pPr>
  </w:style>
  <w:style w:type="character" w:customStyle="1" w:styleId="WingdingSymbols">
    <w:name w:val="Wingding Symbols"/>
    <w:rsid w:val="00A07B12"/>
    <w:rPr>
      <w:rFonts w:ascii="Wingdings" w:hAnsi="Wingdings"/>
    </w:rPr>
  </w:style>
  <w:style w:type="paragraph" w:customStyle="1" w:styleId="TableHeading">
    <w:name w:val="Table Heading"/>
    <w:basedOn w:val="HeadingBase"/>
    <w:rsid w:val="00A07B12"/>
    <w:pPr>
      <w:keepLines/>
      <w:pBdr>
        <w:bottom w:val="single" w:sz="6" w:space="1" w:color="918585"/>
      </w:pBdr>
      <w:spacing w:before="240"/>
    </w:pPr>
  </w:style>
  <w:style w:type="character" w:customStyle="1" w:styleId="HotSpot">
    <w:name w:val="HotSpot"/>
    <w:rsid w:val="00A07B12"/>
    <w:rPr>
      <w:color w:val="0033CC"/>
      <w:u w:val="none"/>
    </w:rPr>
  </w:style>
  <w:style w:type="paragraph" w:customStyle="1" w:styleId="BodyTextRight">
    <w:name w:val="Body Text Right"/>
    <w:basedOn w:val="BodyText"/>
    <w:rsid w:val="00A07B12"/>
    <w:pPr>
      <w:spacing w:before="0" w:after="0"/>
      <w:jc w:val="right"/>
    </w:pPr>
  </w:style>
  <w:style w:type="paragraph" w:styleId="Index3">
    <w:name w:val="index 3"/>
    <w:basedOn w:val="ListNumber2"/>
    <w:next w:val="Normal"/>
    <w:semiHidden/>
    <w:rsid w:val="00A07B12"/>
    <w:pPr>
      <w:numPr>
        <w:numId w:val="0"/>
      </w:numPr>
      <w:tabs>
        <w:tab w:val="right" w:leader="dot" w:pos="4176"/>
      </w:tabs>
    </w:pPr>
  </w:style>
  <w:style w:type="paragraph" w:styleId="ListNumber2">
    <w:name w:val="List Number 2"/>
    <w:basedOn w:val="List2"/>
    <w:rsid w:val="00A07B12"/>
    <w:pPr>
      <w:numPr>
        <w:numId w:val="10"/>
      </w:numPr>
      <w:tabs>
        <w:tab w:val="clear" w:pos="1060"/>
      </w:tabs>
    </w:pPr>
  </w:style>
  <w:style w:type="paragraph" w:customStyle="1" w:styleId="MarginNote">
    <w:name w:val="Margin Note"/>
    <w:basedOn w:val="BodyText"/>
    <w:rsid w:val="00A07B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7B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7B1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07B12"/>
    <w:rPr>
      <w:sz w:val="32"/>
    </w:rPr>
  </w:style>
  <w:style w:type="paragraph" w:customStyle="1" w:styleId="HeadingProcedure">
    <w:name w:val="Heading Procedure"/>
    <w:basedOn w:val="HeadingBase"/>
    <w:next w:val="Normal"/>
    <w:rsid w:val="00A07B12"/>
    <w:pPr>
      <w:tabs>
        <w:tab w:val="left" w:pos="0"/>
      </w:tabs>
      <w:spacing w:before="120" w:after="60"/>
    </w:pPr>
    <w:rPr>
      <w:i/>
      <w:color w:val="918585"/>
      <w:sz w:val="22"/>
    </w:rPr>
  </w:style>
  <w:style w:type="paragraph" w:customStyle="1" w:styleId="TableBodyText">
    <w:name w:val="Table Body Text"/>
    <w:basedOn w:val="BodyText"/>
    <w:rsid w:val="00A07B12"/>
    <w:pPr>
      <w:spacing w:before="60" w:after="60"/>
    </w:pPr>
  </w:style>
  <w:style w:type="paragraph" w:styleId="ListContinue">
    <w:name w:val="List Continue"/>
    <w:basedOn w:val="List"/>
    <w:rsid w:val="00A07B12"/>
    <w:pPr>
      <w:ind w:firstLine="0"/>
    </w:pPr>
  </w:style>
  <w:style w:type="paragraph" w:customStyle="1" w:styleId="ListNote">
    <w:name w:val="List Note"/>
    <w:basedOn w:val="List"/>
    <w:rsid w:val="00A07B12"/>
    <w:pPr>
      <w:pBdr>
        <w:top w:val="single" w:sz="6" w:space="2" w:color="918585"/>
        <w:bottom w:val="single" w:sz="6" w:space="2" w:color="918585"/>
      </w:pBdr>
      <w:tabs>
        <w:tab w:val="left" w:pos="1021"/>
      </w:tabs>
      <w:ind w:firstLine="0"/>
    </w:pPr>
  </w:style>
  <w:style w:type="paragraph" w:customStyle="1" w:styleId="Warning">
    <w:name w:val="Warning"/>
    <w:basedOn w:val="BodyText"/>
    <w:rsid w:val="00A07B12"/>
    <w:pPr>
      <w:shd w:val="clear" w:color="auto" w:fill="D9D9D9"/>
      <w:tabs>
        <w:tab w:val="left" w:pos="992"/>
      </w:tabs>
      <w:ind w:left="119" w:right="119"/>
    </w:pPr>
    <w:rPr>
      <w:sz w:val="20"/>
    </w:rPr>
  </w:style>
  <w:style w:type="paragraph" w:customStyle="1" w:styleId="MarginIcons">
    <w:name w:val="Margin Icons"/>
    <w:basedOn w:val="BodyText"/>
    <w:rsid w:val="00A07B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7B12"/>
    <w:rPr>
      <w:rFonts w:ascii="Courier New" w:hAnsi="Courier New"/>
    </w:rPr>
  </w:style>
  <w:style w:type="paragraph" w:customStyle="1" w:styleId="NoteBullet">
    <w:name w:val="Note Bullet"/>
    <w:basedOn w:val="Note"/>
    <w:rsid w:val="00A07B12"/>
    <w:pPr>
      <w:tabs>
        <w:tab w:val="clear" w:pos="680"/>
      </w:tabs>
      <w:spacing w:before="60" w:after="60"/>
    </w:pPr>
  </w:style>
  <w:style w:type="paragraph" w:customStyle="1" w:styleId="SubHeading2">
    <w:name w:val="SubHeading2"/>
    <w:basedOn w:val="HeadingBase"/>
    <w:rsid w:val="00A07B12"/>
    <w:pPr>
      <w:spacing w:before="240" w:after="60"/>
    </w:pPr>
    <w:rPr>
      <w:sz w:val="20"/>
    </w:rPr>
  </w:style>
  <w:style w:type="paragraph" w:customStyle="1" w:styleId="SubHeading1">
    <w:name w:val="SubHeading1"/>
    <w:basedOn w:val="HeadingBase"/>
    <w:rsid w:val="00A07B12"/>
    <w:pPr>
      <w:spacing w:before="240" w:after="60"/>
    </w:pPr>
    <w:rPr>
      <w:color w:val="918585"/>
      <w:sz w:val="22"/>
    </w:rPr>
  </w:style>
  <w:style w:type="paragraph" w:customStyle="1" w:styleId="SideHeading">
    <w:name w:val="Side Heading"/>
    <w:basedOn w:val="HeadingBase"/>
    <w:rsid w:val="00A07B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7B12"/>
    <w:pPr>
      <w:numPr>
        <w:numId w:val="12"/>
      </w:numPr>
    </w:pPr>
  </w:style>
  <w:style w:type="paragraph" w:styleId="PlainText">
    <w:name w:val="Plain Text"/>
    <w:basedOn w:val="Normal"/>
    <w:link w:val="PlainTextChar"/>
    <w:rsid w:val="00A07B12"/>
    <w:rPr>
      <w:sz w:val="20"/>
    </w:rPr>
  </w:style>
  <w:style w:type="character" w:customStyle="1" w:styleId="PlainTextChar">
    <w:name w:val="Plain Text Char"/>
    <w:basedOn w:val="DefaultParagraphFont"/>
    <w:link w:val="PlainText"/>
    <w:rsid w:val="00A07B1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07B12"/>
    <w:rPr>
      <w:b/>
      <w:smallCaps/>
    </w:rPr>
  </w:style>
  <w:style w:type="paragraph" w:customStyle="1" w:styleId="TableListNumber">
    <w:name w:val="Table List Number"/>
    <w:basedOn w:val="ListNumber"/>
    <w:rsid w:val="00A07B12"/>
    <w:pPr>
      <w:numPr>
        <w:numId w:val="0"/>
      </w:numPr>
    </w:pPr>
  </w:style>
  <w:style w:type="paragraph" w:styleId="TOC4">
    <w:name w:val="toc 4"/>
    <w:basedOn w:val="TOCBase"/>
    <w:next w:val="Normal"/>
    <w:semiHidden/>
    <w:rsid w:val="00A07B12"/>
    <w:pPr>
      <w:tabs>
        <w:tab w:val="right" w:leader="dot" w:pos="9071"/>
      </w:tabs>
      <w:ind w:left="1701"/>
    </w:pPr>
  </w:style>
  <w:style w:type="paragraph" w:customStyle="1" w:styleId="ListAlpha">
    <w:name w:val="List Alpha"/>
    <w:basedOn w:val="List"/>
    <w:rsid w:val="00A07B12"/>
    <w:pPr>
      <w:numPr>
        <w:numId w:val="9"/>
      </w:numPr>
    </w:pPr>
  </w:style>
  <w:style w:type="paragraph" w:customStyle="1" w:styleId="ListAlpha2">
    <w:name w:val="List Alpha 2"/>
    <w:basedOn w:val="List2"/>
    <w:rsid w:val="00A07B12"/>
    <w:pPr>
      <w:numPr>
        <w:numId w:val="8"/>
      </w:numPr>
    </w:pPr>
  </w:style>
  <w:style w:type="paragraph" w:styleId="List3">
    <w:name w:val="List 3"/>
    <w:basedOn w:val="BodyText"/>
    <w:rsid w:val="00A07B12"/>
    <w:pPr>
      <w:tabs>
        <w:tab w:val="left" w:pos="1021"/>
      </w:tabs>
      <w:spacing w:before="60" w:after="60"/>
      <w:ind w:left="1020" w:hanging="340"/>
    </w:pPr>
  </w:style>
  <w:style w:type="paragraph" w:styleId="List4">
    <w:name w:val="List 4"/>
    <w:basedOn w:val="BodyText"/>
    <w:rsid w:val="00A07B12"/>
    <w:pPr>
      <w:tabs>
        <w:tab w:val="left" w:pos="1361"/>
      </w:tabs>
      <w:spacing w:before="60" w:after="60"/>
      <w:ind w:left="1361" w:hanging="340"/>
    </w:pPr>
  </w:style>
  <w:style w:type="paragraph" w:styleId="List5">
    <w:name w:val="List 5"/>
    <w:basedOn w:val="BodyText"/>
    <w:rsid w:val="00A07B12"/>
    <w:pPr>
      <w:tabs>
        <w:tab w:val="left" w:pos="1701"/>
      </w:tabs>
      <w:spacing w:before="60" w:after="60"/>
      <w:ind w:left="1701" w:hanging="340"/>
    </w:pPr>
  </w:style>
  <w:style w:type="paragraph" w:styleId="ListBullet3">
    <w:name w:val="List Bullet 3"/>
    <w:basedOn w:val="List3"/>
    <w:rsid w:val="00A07B12"/>
    <w:pPr>
      <w:numPr>
        <w:numId w:val="15"/>
      </w:numPr>
      <w:tabs>
        <w:tab w:val="clear" w:pos="1021"/>
      </w:tabs>
      <w:ind w:left="1037" w:hanging="357"/>
    </w:pPr>
  </w:style>
  <w:style w:type="paragraph" w:styleId="ListBullet4">
    <w:name w:val="List Bullet 4"/>
    <w:basedOn w:val="List4"/>
    <w:rsid w:val="00A07B12"/>
    <w:pPr>
      <w:numPr>
        <w:numId w:val="3"/>
      </w:numPr>
    </w:pPr>
  </w:style>
  <w:style w:type="paragraph" w:styleId="ListBullet5">
    <w:name w:val="List Bullet 5"/>
    <w:basedOn w:val="List5"/>
    <w:rsid w:val="00A07B12"/>
    <w:pPr>
      <w:numPr>
        <w:numId w:val="4"/>
      </w:numPr>
    </w:pPr>
  </w:style>
  <w:style w:type="paragraph" w:styleId="ListContinue2">
    <w:name w:val="List Continue 2"/>
    <w:basedOn w:val="List2"/>
    <w:rsid w:val="00A07B12"/>
    <w:pPr>
      <w:ind w:firstLine="0"/>
    </w:pPr>
  </w:style>
  <w:style w:type="paragraph" w:styleId="ListContinue3">
    <w:name w:val="List Continue 3"/>
    <w:basedOn w:val="List3"/>
    <w:rsid w:val="00A07B12"/>
    <w:pPr>
      <w:ind w:left="1021" w:firstLine="0"/>
    </w:pPr>
  </w:style>
  <w:style w:type="paragraph" w:styleId="ListContinue4">
    <w:name w:val="List Continue 4"/>
    <w:basedOn w:val="List4"/>
    <w:rsid w:val="00A07B12"/>
    <w:pPr>
      <w:ind w:firstLine="0"/>
    </w:pPr>
  </w:style>
  <w:style w:type="paragraph" w:styleId="ListContinue5">
    <w:name w:val="List Continue 5"/>
    <w:basedOn w:val="List5"/>
    <w:rsid w:val="00A07B12"/>
    <w:pPr>
      <w:ind w:firstLine="0"/>
    </w:pPr>
  </w:style>
  <w:style w:type="paragraph" w:styleId="ListNumber3">
    <w:name w:val="List Number 3"/>
    <w:basedOn w:val="List3"/>
    <w:rsid w:val="00A07B12"/>
    <w:pPr>
      <w:numPr>
        <w:numId w:val="5"/>
      </w:numPr>
    </w:pPr>
  </w:style>
  <w:style w:type="paragraph" w:styleId="ListNumber4">
    <w:name w:val="List Number 4"/>
    <w:basedOn w:val="List4"/>
    <w:rsid w:val="00A07B12"/>
    <w:pPr>
      <w:numPr>
        <w:numId w:val="6"/>
      </w:numPr>
    </w:pPr>
  </w:style>
  <w:style w:type="paragraph" w:styleId="ListNumber5">
    <w:name w:val="List Number 5"/>
    <w:basedOn w:val="List5"/>
    <w:rsid w:val="00A07B12"/>
    <w:pPr>
      <w:numPr>
        <w:numId w:val="7"/>
      </w:numPr>
    </w:pPr>
  </w:style>
  <w:style w:type="paragraph" w:styleId="BlockText">
    <w:name w:val="Block Text"/>
    <w:basedOn w:val="Normal"/>
    <w:rsid w:val="00A07B12"/>
    <w:pPr>
      <w:spacing w:after="120"/>
      <w:ind w:left="1440" w:right="1440"/>
    </w:pPr>
  </w:style>
  <w:style w:type="character" w:customStyle="1" w:styleId="Subscript">
    <w:name w:val="Subscript"/>
    <w:basedOn w:val="DefaultParagraphFont"/>
    <w:rsid w:val="00A07B12"/>
    <w:rPr>
      <w:sz w:val="16"/>
      <w:vertAlign w:val="subscript"/>
    </w:rPr>
  </w:style>
  <w:style w:type="character" w:customStyle="1" w:styleId="Superscript">
    <w:name w:val="Superscript"/>
    <w:basedOn w:val="DefaultParagraphFont"/>
    <w:rsid w:val="00A07B12"/>
    <w:rPr>
      <w:sz w:val="16"/>
      <w:vertAlign w:val="superscript"/>
    </w:rPr>
  </w:style>
  <w:style w:type="character" w:customStyle="1" w:styleId="Symbols">
    <w:name w:val="Symbols"/>
    <w:basedOn w:val="DefaultParagraphFont"/>
    <w:rsid w:val="00A07B12"/>
    <w:rPr>
      <w:rFonts w:ascii="Symbol" w:hAnsi="Symbol"/>
    </w:rPr>
  </w:style>
  <w:style w:type="character" w:customStyle="1" w:styleId="MenuOptions">
    <w:name w:val="Menu Options"/>
    <w:basedOn w:val="DefaultParagraphFont"/>
    <w:rsid w:val="00A07B12"/>
    <w:rPr>
      <w:rFonts w:ascii="Arial Narrow" w:hAnsi="Arial Narrow"/>
      <w:smallCaps/>
    </w:rPr>
  </w:style>
  <w:style w:type="character" w:customStyle="1" w:styleId="Buttons">
    <w:name w:val="Buttons"/>
    <w:basedOn w:val="DefaultParagraphFont"/>
    <w:rsid w:val="00A07B12"/>
    <w:rPr>
      <w:b/>
    </w:rPr>
  </w:style>
  <w:style w:type="character" w:customStyle="1" w:styleId="Underlined">
    <w:name w:val="Underlined"/>
    <w:basedOn w:val="DefaultParagraphFont"/>
    <w:rsid w:val="00A07B12"/>
    <w:rPr>
      <w:u w:val="single"/>
    </w:rPr>
  </w:style>
  <w:style w:type="paragraph" w:customStyle="1" w:styleId="TableBodyTextRight">
    <w:name w:val="Table Body Text Right"/>
    <w:basedOn w:val="TableBodyText"/>
    <w:rsid w:val="00A07B12"/>
    <w:pPr>
      <w:widowControl w:val="0"/>
      <w:autoSpaceDE w:val="0"/>
      <w:autoSpaceDN w:val="0"/>
      <w:adjustRightInd w:val="0"/>
      <w:jc w:val="right"/>
    </w:pPr>
    <w:rPr>
      <w:rFonts w:cs="Arial"/>
      <w:szCs w:val="18"/>
    </w:rPr>
  </w:style>
  <w:style w:type="paragraph" w:customStyle="1" w:styleId="CopyrightText">
    <w:name w:val="Copyright Text"/>
    <w:basedOn w:val="BodyText"/>
    <w:rsid w:val="00A07B12"/>
    <w:rPr>
      <w:sz w:val="18"/>
    </w:rPr>
  </w:style>
  <w:style w:type="paragraph" w:customStyle="1" w:styleId="BodySmallRight">
    <w:name w:val="Body Small Right"/>
    <w:basedOn w:val="BodyTextRight"/>
    <w:rsid w:val="00A07B12"/>
    <w:rPr>
      <w:sz w:val="18"/>
      <w:szCs w:val="18"/>
    </w:rPr>
  </w:style>
  <w:style w:type="paragraph" w:customStyle="1" w:styleId="MarginEdition">
    <w:name w:val="Margin Edition"/>
    <w:basedOn w:val="MarginNote"/>
    <w:rsid w:val="00A07B12"/>
    <w:pPr>
      <w:spacing w:before="0" w:after="0"/>
    </w:pPr>
    <w:rPr>
      <w:rFonts w:ascii="Times New Roman" w:hAnsi="Times New Roman"/>
      <w:color w:val="999999"/>
    </w:rPr>
  </w:style>
  <w:style w:type="paragraph" w:customStyle="1" w:styleId="Spacer">
    <w:name w:val="Spacer"/>
    <w:basedOn w:val="Normal"/>
    <w:rsid w:val="00A07B12"/>
    <w:rPr>
      <w:sz w:val="2"/>
      <w:szCs w:val="2"/>
    </w:rPr>
  </w:style>
  <w:style w:type="character" w:customStyle="1" w:styleId="Small">
    <w:name w:val="Small"/>
    <w:basedOn w:val="DefaultParagraphFont"/>
    <w:rsid w:val="00A07B12"/>
    <w:rPr>
      <w:sz w:val="16"/>
    </w:rPr>
  </w:style>
  <w:style w:type="paragraph" w:customStyle="1" w:styleId="WideTable">
    <w:name w:val="Wide Table"/>
    <w:basedOn w:val="Normal"/>
    <w:rsid w:val="00A07B12"/>
    <w:pPr>
      <w:ind w:left="-1418"/>
    </w:pPr>
    <w:rPr>
      <w:sz w:val="2"/>
      <w:szCs w:val="2"/>
    </w:rPr>
  </w:style>
  <w:style w:type="character" w:styleId="PageNumber">
    <w:name w:val="page number"/>
    <w:basedOn w:val="DefaultParagraphFont"/>
    <w:rsid w:val="00A07B12"/>
  </w:style>
  <w:style w:type="paragraph" w:styleId="Quote">
    <w:name w:val="Quote"/>
    <w:basedOn w:val="Heading1"/>
    <w:link w:val="QuoteChar"/>
    <w:qFormat/>
    <w:rsid w:val="00A07B12"/>
    <w:rPr>
      <w:b w:val="0"/>
      <w:sz w:val="72"/>
      <w:szCs w:val="72"/>
      <w:lang w:val="en-NZ"/>
    </w:rPr>
  </w:style>
  <w:style w:type="character" w:customStyle="1" w:styleId="QuoteChar">
    <w:name w:val="Quote Char"/>
    <w:basedOn w:val="DefaultParagraphFont"/>
    <w:link w:val="Quote"/>
    <w:rsid w:val="00A07B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7B12"/>
    <w:pPr>
      <w:pageBreakBefore/>
    </w:pPr>
  </w:style>
  <w:style w:type="paragraph" w:customStyle="1" w:styleId="Border">
    <w:name w:val="Border"/>
    <w:basedOn w:val="Normal"/>
    <w:qFormat/>
    <w:rsid w:val="00A07B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7B12"/>
    <w:rPr>
      <w:b/>
      <w:bCs/>
      <w:i/>
      <w:iCs/>
      <w:color w:val="auto"/>
    </w:rPr>
  </w:style>
  <w:style w:type="paragraph" w:styleId="IntenseQuote">
    <w:name w:val="Intense Quote"/>
    <w:basedOn w:val="Normal"/>
    <w:next w:val="Normal"/>
    <w:link w:val="IntenseQuoteChar"/>
    <w:uiPriority w:val="30"/>
    <w:qFormat/>
    <w:rsid w:val="00A07B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7B1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07B12"/>
    <w:rPr>
      <w:smallCaps/>
      <w:color w:val="auto"/>
      <w:u w:val="single"/>
    </w:rPr>
  </w:style>
  <w:style w:type="character" w:styleId="IntenseReference">
    <w:name w:val="Intense Reference"/>
    <w:basedOn w:val="DefaultParagraphFont"/>
    <w:uiPriority w:val="32"/>
    <w:qFormat/>
    <w:rsid w:val="00A07B12"/>
    <w:rPr>
      <w:b/>
      <w:bCs/>
      <w:smallCaps/>
      <w:color w:val="auto"/>
      <w:spacing w:val="5"/>
      <w:u w:val="single"/>
    </w:rPr>
  </w:style>
  <w:style w:type="paragraph" w:customStyle="1" w:styleId="2ColumnHeading">
    <w:name w:val="2Column Heading"/>
    <w:basedOn w:val="BodyText"/>
    <w:qFormat/>
    <w:rsid w:val="00A07B12"/>
    <w:pPr>
      <w:spacing w:after="60"/>
      <w:ind w:left="-2268"/>
    </w:pPr>
    <w:rPr>
      <w:b/>
    </w:rPr>
  </w:style>
  <w:style w:type="paragraph" w:customStyle="1" w:styleId="Heading1TOC">
    <w:name w:val="Heading1 TOC"/>
    <w:basedOn w:val="Normal"/>
    <w:qFormat/>
    <w:rsid w:val="00A07B12"/>
    <w:pPr>
      <w:spacing w:before="240" w:after="120"/>
    </w:pPr>
    <w:rPr>
      <w:rFonts w:ascii="Times New Roman" w:hAnsi="Times New Roman"/>
      <w:b/>
      <w:sz w:val="32"/>
    </w:rPr>
  </w:style>
  <w:style w:type="paragraph" w:customStyle="1" w:styleId="Heading2TOC">
    <w:name w:val="Heading2 TOC"/>
    <w:basedOn w:val="Normal"/>
    <w:qFormat/>
    <w:rsid w:val="00A07B12"/>
    <w:pPr>
      <w:spacing w:before="240" w:after="60"/>
    </w:pPr>
    <w:rPr>
      <w:rFonts w:ascii="Times New Roman" w:hAnsi="Times New Roman"/>
      <w:b/>
      <w:sz w:val="28"/>
    </w:rPr>
  </w:style>
  <w:style w:type="character" w:customStyle="1" w:styleId="Underline">
    <w:name w:val="Underline"/>
    <w:basedOn w:val="DefaultParagraphFont"/>
    <w:qFormat/>
    <w:rsid w:val="00A07B12"/>
    <w:rPr>
      <w:u w:val="single"/>
    </w:rPr>
  </w:style>
  <w:style w:type="paragraph" w:styleId="BalloonText">
    <w:name w:val="Balloon Text"/>
    <w:basedOn w:val="Normal"/>
    <w:link w:val="BalloonTextChar"/>
    <w:rsid w:val="00A07B12"/>
    <w:rPr>
      <w:rFonts w:ascii="Tahoma" w:hAnsi="Tahoma" w:cs="Tahoma"/>
      <w:sz w:val="16"/>
      <w:szCs w:val="16"/>
    </w:rPr>
  </w:style>
  <w:style w:type="character" w:customStyle="1" w:styleId="BalloonTextChar">
    <w:name w:val="Balloon Text Char"/>
    <w:basedOn w:val="DefaultParagraphFont"/>
    <w:link w:val="BalloonText"/>
    <w:rsid w:val="00A07B1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07B1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07B1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1288</Words>
  <Characters>8152</Characters>
  <Application>Microsoft Office Word</Application>
  <DocSecurity>0</DocSecurity>
  <Lines>303</Lines>
  <Paragraphs>161</Paragraphs>
  <ScaleCrop>false</ScaleCrop>
  <Company>Author-it Software Corporation Ltd.</Company>
  <LinksUpToDate>false</LinksUpToDate>
  <CharactersWithSpaces>9357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FNSISV402A Underwrite new business</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2012-05-26T16:25:00Z</dcterms:created>
  <dcterms:modified xsi:type="dcterms:W3CDTF">2012-05-26T16:25:00Z</dcterms:modified>
</cp:coreProperties>
</file>