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533" w:rsidP="00A91533">
      <w:pPr>
        <w:pStyle w:val="Title"/>
      </w:pPr>
      <w:r>
        <w:fldChar w:fldCharType="begin"/>
      </w:r>
      <w:r>
        <w:instrText xml:space="preserve"> TITLE   \* MERGEFORMAT </w:instrText>
      </w:r>
      <w:r>
        <w:fldChar w:fldCharType="separate"/>
      </w:r>
      <w:r>
        <w:t>FNSISV401A Evaluate risk for new business</w:t>
      </w:r>
      <w:r>
        <w:fldChar w:fldCharType="end"/>
      </w:r>
    </w:p>
    <w:p w:rsidR="00A91533" w:rsidP="00A91533">
      <w:pPr>
        <w:pStyle w:val="Version"/>
        <w:sectPr w:rsidSect="00084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4A98" w:rsidP="00084A98">
      <w:pPr>
        <w:pStyle w:val="SuperHeading"/>
      </w:pPr>
      <w:r w:rsidRPr="00084A98">
        <w:t>FNSISV401A Evaluate risk for new business</w:t>
      </w:r>
    </w:p>
    <w:p w:rsidR="00000000" w:rsidRPr="00084A98" w:rsidP="00084A98">
      <w:pPr>
        <w:pStyle w:val="SuperHeading"/>
      </w:pPr>
    </w:p>
    <w:p w:rsidR="00000000" w:rsidRPr="00084A98" w:rsidP="00084A98">
      <w:pPr>
        <w:pStyle w:val="Heading1"/>
      </w:pPr>
      <w:bookmarkStart w:id="1" w:name="O_79479"/>
      <w:bookmarkEnd w:id="1"/>
      <w:r w:rsidRPr="00084A98">
        <w:t>Modification History</w:t>
      </w:r>
    </w:p>
    <w:p w:rsidR="00000000" w:rsidRPr="00084A98" w:rsidP="00084A98">
      <w:pPr>
        <w:pStyle w:val="BodyText"/>
      </w:pPr>
      <w:r w:rsidRPr="00084A98">
        <w:t>Not applicable.</w:t>
      </w:r>
    </w:p>
    <w:p w:rsidR="00000000" w:rsidRPr="00084A98" w:rsidP="00084A98">
      <w:pPr>
        <w:pStyle w:val="AllowPageBreak"/>
      </w:pPr>
    </w:p>
    <w:p w:rsidR="00000000" w:rsidRPr="00084A98" w:rsidP="00084A98">
      <w:pPr>
        <w:pStyle w:val="Heading1"/>
      </w:pPr>
      <w:bookmarkStart w:id="2" w:name="O_79480"/>
      <w:bookmarkEnd w:id="2"/>
      <w:r w:rsidRPr="00084A98">
        <w:t>Unit Descriptor</w:t>
      </w:r>
    </w:p>
    <w:tbl>
      <w:tblPr>
        <w:tblW w:w="0" w:type="auto"/>
        <w:tblLayout w:type="fixed"/>
        <w:tblCellMar>
          <w:left w:w="62" w:type="dxa"/>
          <w:right w:w="62" w:type="dxa"/>
        </w:tblCellMar>
        <w:tblLook w:val="0000"/>
      </w:tblPr>
      <w:tblGrid>
        <w:gridCol w:w="2647"/>
        <w:gridCol w:w="5875"/>
      </w:tblGrid>
      <w:tr w:rsidTr="00A9153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This unit describes the performance outcomes, skills and knowledge required to evaluate risk for new business i</w:t>
            </w:r>
            <w:r w:rsidRPr="00084A98">
              <w:t>ncluding gathering the risk information, and reviewing and assessing it against appropriate risk criteria.</w:t>
            </w:r>
          </w:p>
          <w:p w:rsidR="00000000" w:rsidRPr="00084A98" w:rsidP="00084A98">
            <w:pPr>
              <w:pStyle w:val="BodyText"/>
            </w:pPr>
          </w:p>
          <w:p w:rsidR="00000000" w:rsidRPr="00084A98" w:rsidP="00084A98">
            <w:pPr>
              <w:pStyle w:val="BodyText"/>
            </w:pPr>
            <w:r w:rsidRPr="00084A98">
              <w:t>This unit is applicable to individuals working within enterprises and job roles subject to licensing, legislative, regulatory or certification requi</w:t>
            </w:r>
            <w:r w:rsidRPr="00084A98">
              <w:t>rements including legislation administered by the Australian Securities and Investments Commission (ASIC).</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3" w:name="O_79481"/>
      <w:bookmarkEnd w:id="3"/>
      <w:r w:rsidRPr="00084A98">
        <w:t>Application of the Unit</w:t>
      </w:r>
    </w:p>
    <w:tbl>
      <w:tblPr>
        <w:tblW w:w="0" w:type="auto"/>
        <w:tblLayout w:type="fixed"/>
        <w:tblCellMar>
          <w:left w:w="62" w:type="dxa"/>
          <w:right w:w="62" w:type="dxa"/>
        </w:tblCellMar>
        <w:tblLook w:val="0000"/>
      </w:tblPr>
      <w:tblGrid>
        <w:gridCol w:w="2721"/>
        <w:gridCol w:w="5801"/>
      </w:tblGrid>
      <w:tr w:rsidTr="00A9153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This unit applies to job roles, including underwriting in a range of insurance sectors and may be applied within organisations of various sizes and across a range of customer bases.</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4" w:name="O_79482"/>
      <w:bookmarkEnd w:id="4"/>
      <w:r w:rsidRPr="00084A98">
        <w:t>Licensing/Regulatory Information</w:t>
      </w:r>
    </w:p>
    <w:p w:rsidR="00000000" w:rsidRPr="00084A98" w:rsidP="00084A98">
      <w:pPr>
        <w:pStyle w:val="BodyText"/>
      </w:pPr>
      <w:r w:rsidRPr="00084A98">
        <w:t>Not applicable.</w:t>
      </w:r>
    </w:p>
    <w:p w:rsidR="00000000" w:rsidRPr="00084A98" w:rsidP="00084A98">
      <w:pPr>
        <w:pStyle w:val="AllowPageBreak"/>
      </w:pPr>
    </w:p>
    <w:p w:rsidR="00000000" w:rsidRPr="00084A98" w:rsidP="00084A98">
      <w:pPr>
        <w:pStyle w:val="Heading1"/>
      </w:pPr>
      <w:bookmarkStart w:id="5" w:name="O_79483"/>
      <w:bookmarkEnd w:id="5"/>
      <w:r w:rsidRPr="00084A98">
        <w:t>Pre-Requisites</w:t>
      </w:r>
    </w:p>
    <w:tbl>
      <w:tblPr>
        <w:tblW w:w="0" w:type="auto"/>
        <w:tblLayout w:type="fixed"/>
        <w:tblCellMar>
          <w:left w:w="62" w:type="dxa"/>
          <w:right w:w="62" w:type="dxa"/>
        </w:tblCellMar>
        <w:tblLook w:val="0000"/>
      </w:tblPr>
      <w:tblGrid>
        <w:gridCol w:w="2745"/>
        <w:gridCol w:w="1301"/>
        <w:gridCol w:w="4476"/>
      </w:tblGrid>
      <w:tr w:rsidTr="00A9153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p>
        </w:tc>
      </w:tr>
      <w:tr w:rsidTr="00A915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p>
        </w:tc>
      </w:tr>
      <w:tr w:rsidTr="00A915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6" w:name="O_79484"/>
      <w:bookmarkEnd w:id="6"/>
      <w:r w:rsidRPr="00084A98">
        <w:t>Employability Skills Information</w:t>
      </w:r>
    </w:p>
    <w:tbl>
      <w:tblPr>
        <w:tblW w:w="0" w:type="auto"/>
        <w:tblLayout w:type="fixed"/>
        <w:tblCellMar>
          <w:left w:w="62" w:type="dxa"/>
          <w:right w:w="62" w:type="dxa"/>
        </w:tblCellMar>
        <w:tblLook w:val="0000"/>
      </w:tblPr>
      <w:tblGrid>
        <w:gridCol w:w="2762"/>
        <w:gridCol w:w="5760"/>
      </w:tblGrid>
      <w:tr w:rsidTr="00A9153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This unit contains employability skills.</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7" w:name="O_79485"/>
      <w:bookmarkEnd w:id="7"/>
      <w:r w:rsidRPr="00084A98">
        <w:t>Elements and Performance Criteria Pre-Content</w:t>
      </w:r>
    </w:p>
    <w:tbl>
      <w:tblPr>
        <w:tblW w:w="0" w:type="auto"/>
        <w:tblLayout w:type="fixed"/>
        <w:tblCellMar>
          <w:left w:w="62" w:type="dxa"/>
          <w:right w:w="62" w:type="dxa"/>
        </w:tblCellMar>
        <w:tblLook w:val="0000"/>
      </w:tblPr>
      <w:tblGrid>
        <w:gridCol w:w="2518"/>
        <w:gridCol w:w="6004"/>
      </w:tblGrid>
      <w:tr w:rsidTr="00A91533">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Performance criteria describe the performance needed to demonstrate achievement of the element. Where bold italicised text is used, further information is detailed in the required skills and</w:t>
            </w:r>
            <w:r w:rsidRPr="00084A98">
              <w:t xml:space="preserve"> knowledge section and the range statement. Assessment of performance is to be consistent with the evidence guide.</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8" w:name="O_79486"/>
      <w:bookmarkEnd w:id="8"/>
      <w:r w:rsidRPr="00084A98">
        <w:t>Elements and Performance Criteria</w:t>
      </w:r>
    </w:p>
    <w:tbl>
      <w:tblPr>
        <w:tblW w:w="0" w:type="auto"/>
        <w:tblLayout w:type="fixed"/>
        <w:tblCellMar>
          <w:left w:w="62" w:type="dxa"/>
          <w:right w:w="62" w:type="dxa"/>
        </w:tblCellMar>
        <w:tblLook w:val="0000"/>
      </w:tblPr>
      <w:tblGrid>
        <w:gridCol w:w="2518"/>
        <w:gridCol w:w="6004"/>
      </w:tblGrid>
      <w:tr w:rsidTr="00A91533">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PERFORMANCE CRITERIA</w:t>
            </w:r>
          </w:p>
        </w:tc>
      </w:tr>
      <w:tr w:rsidTr="00A91533">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List"/>
              <w:rPr>
                <w:lang w:val="en-NZ"/>
              </w:rPr>
            </w:pPr>
            <w:r w:rsidRPr="00084A98">
              <w:t>1.</w:t>
            </w:r>
            <w:r w:rsidRPr="00084A98">
              <w:tab/>
              <w:t>Identify and obtain risk information</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2"/>
            </w:pPr>
            <w:r w:rsidRPr="00084A98">
              <w:t>1.1.</w:t>
            </w:r>
            <w:r w:rsidRPr="00084A98">
              <w:tab/>
              <w:t xml:space="preserve">All </w:t>
            </w:r>
            <w:r w:rsidRPr="00084A98">
              <w:rPr>
                <w:rStyle w:val="BoldandItalics"/>
              </w:rPr>
              <w:t>sources of risk information</w:t>
            </w:r>
            <w:r w:rsidRPr="00084A98">
              <w:t xml:space="preserve"> are identified, gathered and recorded and deficiencies rectified</w:t>
            </w:r>
          </w:p>
          <w:p w:rsidR="00000000" w:rsidRPr="00084A98" w:rsidP="00084A98">
            <w:pPr>
              <w:pStyle w:val="List2"/>
            </w:pPr>
            <w:r w:rsidRPr="00084A98">
              <w:t>1.2.</w:t>
            </w:r>
            <w:r w:rsidRPr="00084A98">
              <w:tab/>
              <w:t>Information is reviewed to determine its relevance and reliability and the integrity of its source</w:t>
            </w:r>
          </w:p>
          <w:p w:rsidR="00000000" w:rsidRPr="00084A98" w:rsidP="00084A98">
            <w:pPr>
              <w:pStyle w:val="List2"/>
            </w:pPr>
            <w:r w:rsidRPr="00084A98">
              <w:t>1.3.</w:t>
            </w:r>
            <w:r w:rsidRPr="00084A98">
              <w:tab/>
              <w:t>Data is formatted for easy access</w:t>
            </w:r>
          </w:p>
          <w:p w:rsidR="00000000" w:rsidP="00084A98">
            <w:pPr>
              <w:pStyle w:val="List2"/>
              <w:rPr>
                <w:lang w:val="en-NZ"/>
              </w:rPr>
            </w:pPr>
            <w:r w:rsidRPr="00084A98">
              <w:t>1.4.</w:t>
            </w:r>
            <w:r w:rsidRPr="00084A98">
              <w:tab/>
            </w:r>
            <w:r w:rsidRPr="00084A98">
              <w:rPr>
                <w:rStyle w:val="BoldandItalics"/>
              </w:rPr>
              <w:t>Legislative and</w:t>
            </w:r>
            <w:r w:rsidRPr="00084A98">
              <w:rPr>
                <w:rStyle w:val="BoldandItalics"/>
              </w:rPr>
              <w:t xml:space="preserve"> compliance requirements</w:t>
            </w:r>
            <w:r w:rsidRPr="00084A98">
              <w:t xml:space="preserve"> are adhered to in all cases</w:t>
            </w:r>
          </w:p>
        </w:tc>
      </w:tr>
      <w:tr w:rsidTr="00A91533">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List"/>
              <w:rPr>
                <w:lang w:val="en-NZ"/>
              </w:rPr>
            </w:pPr>
            <w:r w:rsidRPr="00084A98">
              <w:t>2.</w:t>
            </w:r>
            <w:r w:rsidRPr="00084A98">
              <w:tab/>
              <w:t>Assess information against established risk acceptance criteria</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2"/>
            </w:pPr>
            <w:r w:rsidRPr="00084A98">
              <w:t>2.1.</w:t>
            </w:r>
            <w:r w:rsidRPr="00084A98">
              <w:tab/>
              <w:t>All relevant risk information is assessed to determine if it is comprehensive and pertinent to the nature of the risk</w:t>
            </w:r>
          </w:p>
          <w:p w:rsidR="00000000" w:rsidRPr="00084A98" w:rsidP="00084A98">
            <w:pPr>
              <w:pStyle w:val="List2"/>
            </w:pPr>
            <w:r w:rsidRPr="00084A98">
              <w:t>2.2.</w:t>
            </w:r>
            <w:r w:rsidRPr="00084A98">
              <w:tab/>
              <w:t>Surveys</w:t>
            </w:r>
            <w:r w:rsidRPr="00084A98">
              <w:t>/</w:t>
            </w:r>
            <w:r w:rsidRPr="00084A98">
              <w:rPr>
                <w:rStyle w:val="BoldandItalics"/>
              </w:rPr>
              <w:t>reports</w:t>
            </w:r>
            <w:r w:rsidRPr="00084A98">
              <w:t xml:space="preserve"> are reviewed and commissioned if applicable to risk</w:t>
            </w:r>
          </w:p>
          <w:p w:rsidR="00000000" w:rsidRPr="00084A98" w:rsidP="00084A98">
            <w:pPr>
              <w:pStyle w:val="List2"/>
            </w:pPr>
            <w:r w:rsidRPr="00084A98">
              <w:t>2.3.</w:t>
            </w:r>
            <w:r w:rsidRPr="00084A98">
              <w:tab/>
              <w:t>Data on risk exposure from survey report is interpreted</w:t>
            </w:r>
          </w:p>
          <w:p w:rsidR="00000000" w:rsidRPr="00084A98" w:rsidP="00084A98">
            <w:pPr>
              <w:pStyle w:val="List2"/>
            </w:pPr>
            <w:r w:rsidRPr="00084A98">
              <w:t>2.4.</w:t>
            </w:r>
            <w:r w:rsidRPr="00084A98">
              <w:tab/>
              <w:t xml:space="preserve">Risk information is compared against </w:t>
            </w:r>
            <w:r w:rsidRPr="00084A98">
              <w:rPr>
                <w:rStyle w:val="BoldandItalics"/>
              </w:rPr>
              <w:t>risk acceptance criteria</w:t>
            </w:r>
            <w:r w:rsidRPr="00084A98">
              <w:t xml:space="preserve"> and organisation capacity to assess and accept risk according to </w:t>
            </w:r>
            <w:r w:rsidRPr="00084A98">
              <w:rPr>
                <w:rStyle w:val="BoldandItalics"/>
              </w:rPr>
              <w:t>te</w:t>
            </w:r>
            <w:r w:rsidRPr="00084A98">
              <w:rPr>
                <w:rStyle w:val="BoldandItalics"/>
              </w:rPr>
              <w:t>rms and conditions of risk assessment</w:t>
            </w:r>
          </w:p>
          <w:p w:rsidR="00000000" w:rsidRPr="00084A98" w:rsidP="00084A98">
            <w:pPr>
              <w:pStyle w:val="List2"/>
            </w:pPr>
            <w:r w:rsidRPr="00084A98">
              <w:t>2.5.</w:t>
            </w:r>
            <w:r w:rsidRPr="00084A98">
              <w:tab/>
              <w:t>Liaison with other internal departments is conducted to assess impact on business if applicable</w:t>
            </w:r>
          </w:p>
          <w:p w:rsidR="00000000" w:rsidRPr="00084A98" w:rsidP="00084A98">
            <w:pPr>
              <w:pStyle w:val="List2"/>
            </w:pPr>
            <w:r w:rsidRPr="00084A98">
              <w:t>2.6.</w:t>
            </w:r>
            <w:r w:rsidRPr="00084A98">
              <w:tab/>
              <w:t>Proposed amendments to organisation wording are reviewed and compared to acceptance criteria</w:t>
            </w:r>
          </w:p>
          <w:p w:rsidR="00000000" w:rsidP="00084A98">
            <w:pPr>
              <w:pStyle w:val="List2"/>
              <w:rPr>
                <w:lang w:val="en-NZ"/>
              </w:rPr>
            </w:pPr>
            <w:r w:rsidRPr="00084A98">
              <w:t>2.7.</w:t>
            </w:r>
            <w:r w:rsidRPr="00084A98">
              <w:tab/>
              <w:t>Risk assessmen</w:t>
            </w:r>
            <w:r w:rsidRPr="00084A98">
              <w:t>t data is documented according to organisation policy and procedures</w:t>
            </w:r>
          </w:p>
        </w:tc>
      </w:tr>
      <w:tr w:rsidTr="00A91533">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List"/>
              <w:rPr>
                <w:lang w:val="en-NZ"/>
              </w:rPr>
            </w:pPr>
            <w:r w:rsidRPr="00084A98">
              <w:t>3.</w:t>
            </w:r>
            <w:r w:rsidRPr="00084A98">
              <w:tab/>
              <w:t>Issue a quotation</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2"/>
            </w:pPr>
            <w:r w:rsidRPr="00084A98">
              <w:t>3.1.</w:t>
            </w:r>
            <w:r w:rsidRPr="00084A98">
              <w:tab/>
              <w:t>Quote based on all the risk assessment data is prepared and communicated if required</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9" w:name="O_79487"/>
      <w:bookmarkEnd w:id="9"/>
      <w:r w:rsidRPr="00084A98">
        <w:t>Required Skills and Knowledge</w:t>
      </w:r>
    </w:p>
    <w:tbl>
      <w:tblPr>
        <w:tblW w:w="0" w:type="auto"/>
        <w:tblLayout w:type="fixed"/>
        <w:tblCellMar>
          <w:left w:w="62" w:type="dxa"/>
          <w:right w:w="62" w:type="dxa"/>
        </w:tblCellMar>
        <w:tblLook w:val="0000"/>
      </w:tblPr>
      <w:tblGrid>
        <w:gridCol w:w="8522"/>
      </w:tblGrid>
      <w:tr w:rsidTr="00A915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REQUIRED SKILLS AND KNOWLEDGE</w:t>
            </w:r>
          </w:p>
        </w:tc>
      </w:tr>
      <w:tr w:rsidTr="00A915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t>This section describes the skills and knowledge required for this unit.</w:t>
            </w:r>
          </w:p>
        </w:tc>
      </w:tr>
      <w:tr w:rsidTr="00A91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Required skills</w:t>
            </w:r>
          </w:p>
        </w:tc>
      </w:tr>
      <w:tr w:rsidTr="00A91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well-developed communication skills to:</w:t>
            </w:r>
          </w:p>
          <w:p w:rsidR="00000000" w:rsidRPr="00084A98" w:rsidP="00084A98">
            <w:pPr>
              <w:pStyle w:val="ListBullet2"/>
            </w:pPr>
            <w:r w:rsidRPr="00084A98">
              <w:t>determine and confirm information, using questioning and active listening as required</w:t>
            </w:r>
          </w:p>
          <w:p w:rsidR="00000000" w:rsidRPr="00084A98" w:rsidP="00084A98">
            <w:pPr>
              <w:pStyle w:val="ListBullet2"/>
            </w:pPr>
            <w:r w:rsidRPr="00084A98">
              <w:t>relate effectively to customers</w:t>
            </w:r>
          </w:p>
          <w:p w:rsidR="00000000" w:rsidRPr="00084A98" w:rsidP="00084A98">
            <w:pPr>
              <w:pStyle w:val="ListBullet2"/>
            </w:pPr>
            <w:r w:rsidRPr="00084A98">
              <w:t>liaise with others, share information, listen and understand</w:t>
            </w:r>
          </w:p>
          <w:p w:rsidR="00000000" w:rsidRPr="00084A98" w:rsidP="00084A98">
            <w:pPr>
              <w:pStyle w:val="ListBullet2"/>
            </w:pPr>
            <w:r w:rsidRPr="00084A98">
              <w:t>use language and concepts appropriate to cultural differences</w:t>
            </w:r>
          </w:p>
          <w:p w:rsidR="00000000" w:rsidRPr="00084A98" w:rsidP="00084A98">
            <w:pPr>
              <w:pStyle w:val="ListBullet"/>
            </w:pPr>
            <w:r w:rsidRPr="00084A98">
              <w:t>numeracy and IT skills to:</w:t>
            </w:r>
          </w:p>
          <w:p w:rsidR="00000000" w:rsidRPr="00084A98" w:rsidP="00084A98">
            <w:pPr>
              <w:pStyle w:val="ListBullet2"/>
            </w:pPr>
            <w:r w:rsidRPr="00084A98">
              <w:t>perform calculations related to achieving required outcomes</w:t>
            </w:r>
          </w:p>
          <w:p w:rsidR="00000000" w:rsidRPr="00084A98" w:rsidP="00084A98">
            <w:pPr>
              <w:pStyle w:val="ListBullet2"/>
            </w:pPr>
            <w:r w:rsidRPr="00084A98">
              <w:t>use computer</w:t>
            </w:r>
            <w:r w:rsidRPr="00084A98">
              <w:t xml:space="preserve"> applications (word processing, spreadsheet, database, specific purpose computer systems) to assist in achieving required outcomes</w:t>
            </w:r>
          </w:p>
          <w:p w:rsidR="00000000" w:rsidRPr="00084A98" w:rsidP="00084A98">
            <w:pPr>
              <w:pStyle w:val="ListBullet2"/>
            </w:pPr>
            <w:r w:rsidRPr="00084A98">
              <w:t>access and update records electronically</w:t>
            </w:r>
          </w:p>
          <w:p w:rsidR="00000000" w:rsidRPr="00084A98" w:rsidP="00084A98">
            <w:pPr>
              <w:pStyle w:val="ListBullet2"/>
            </w:pPr>
            <w:r w:rsidRPr="00084A98">
              <w:t>access web-based information services</w:t>
            </w:r>
          </w:p>
          <w:p w:rsidR="00000000" w:rsidRPr="00084A98" w:rsidP="00084A98">
            <w:pPr>
              <w:pStyle w:val="ListBullet"/>
            </w:pPr>
            <w:r w:rsidRPr="00084A98">
              <w:t>well-developed literacy skills to read and in</w:t>
            </w:r>
            <w:r w:rsidRPr="00084A98">
              <w:t>terpret documentation from a variety of sources and record and consolidate relevant related information</w:t>
            </w:r>
          </w:p>
          <w:p w:rsidR="00000000" w:rsidRPr="00084A98" w:rsidP="00084A98">
            <w:pPr>
              <w:pStyle w:val="ListBullet"/>
            </w:pPr>
            <w:r w:rsidRPr="00084A98">
              <w:t>self-management skills for complying with ethical, legal and procedural requirements research and analysis skills for accessing and interpreting relevan</w:t>
            </w:r>
            <w:r w:rsidRPr="00084A98">
              <w:t>t information</w:t>
            </w:r>
          </w:p>
          <w:p w:rsidR="00000000" w:rsidP="00084A98">
            <w:pPr>
              <w:pStyle w:val="ListBullet"/>
              <w:rPr>
                <w:lang w:val="en-NZ"/>
              </w:rPr>
            </w:pPr>
            <w:r w:rsidRPr="00084A98">
              <w:t>organisational skills, including the ability to plan and sequence work</w:t>
            </w:r>
          </w:p>
        </w:tc>
      </w:tr>
      <w:tr w:rsidTr="00A91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Required knowledge</w:t>
            </w:r>
          </w:p>
        </w:tc>
      </w:tr>
      <w:tr w:rsidTr="00A915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application of Financial Services Reform Act (FSRA)</w:t>
            </w:r>
          </w:p>
          <w:p w:rsidR="00000000" w:rsidRPr="00084A98" w:rsidP="00084A98">
            <w:pPr>
              <w:pStyle w:val="ListBullet"/>
            </w:pPr>
            <w:r w:rsidRPr="00084A98">
              <w:t>industry market position relative to product/line of business</w:t>
            </w:r>
          </w:p>
          <w:p w:rsidR="00000000" w:rsidRPr="00084A98" w:rsidP="00084A98">
            <w:pPr>
              <w:pStyle w:val="ListBullet"/>
            </w:pPr>
            <w:r w:rsidRPr="00084A98">
              <w:t>industry sector compliance requirements such as the General Insurance Code of Practice</w:t>
            </w:r>
          </w:p>
          <w:p w:rsidR="00000000" w:rsidRPr="00084A98" w:rsidP="00084A98">
            <w:pPr>
              <w:pStyle w:val="ListBullet"/>
            </w:pPr>
            <w:r w:rsidRPr="00084A98">
              <w:t>OHS requirements</w:t>
            </w:r>
          </w:p>
          <w:p w:rsidR="00000000" w:rsidRPr="00084A98" w:rsidP="00084A98">
            <w:pPr>
              <w:pStyle w:val="ListBullet"/>
            </w:pPr>
            <w:r w:rsidRPr="00084A98">
              <w:t>organisation or industry sector policy wording</w:t>
            </w:r>
          </w:p>
          <w:p w:rsidR="00000000" w:rsidRPr="00084A98" w:rsidP="00084A98">
            <w:pPr>
              <w:pStyle w:val="ListBullet"/>
            </w:pPr>
            <w:r w:rsidRPr="00084A98">
              <w:t>organisation policy, procedures, underwriting guidelines and authorities (e.g. best underwriting and loss</w:t>
            </w:r>
            <w:r w:rsidRPr="00084A98">
              <w:t xml:space="preserve"> control guides)</w:t>
            </w:r>
          </w:p>
          <w:p w:rsidR="00000000" w:rsidRPr="00084A98" w:rsidP="00084A98">
            <w:pPr>
              <w:pStyle w:val="ListBullet"/>
            </w:pPr>
            <w:r w:rsidRPr="00084A98">
              <w:t>organisation products</w:t>
            </w:r>
          </w:p>
          <w:p w:rsidR="00000000" w:rsidRPr="00084A98" w:rsidP="00084A98">
            <w:pPr>
              <w:pStyle w:val="ListBullet"/>
            </w:pPr>
            <w:r w:rsidRPr="00084A98">
              <w:t>reinsurance, treaty and facultative</w:t>
            </w:r>
          </w:p>
          <w:p w:rsidR="00000000" w:rsidRPr="00084A98" w:rsidP="00084A98">
            <w:pPr>
              <w:pStyle w:val="ListBullet"/>
            </w:pPr>
            <w:r w:rsidRPr="00084A98">
              <w:t>relative industry hazards</w:t>
            </w:r>
          </w:p>
          <w:p w:rsidR="00000000" w:rsidRPr="00084A98" w:rsidP="00084A98">
            <w:pPr>
              <w:pStyle w:val="ListBullet"/>
            </w:pPr>
            <w:r w:rsidRPr="00084A98">
              <w:t>relevant common law, legal systems and procedures including:</w:t>
            </w:r>
          </w:p>
          <w:p w:rsidR="00000000" w:rsidRPr="00084A98" w:rsidP="00084A98">
            <w:pPr>
              <w:pStyle w:val="ListBullet2"/>
            </w:pPr>
            <w:r w:rsidRPr="00084A98">
              <w:t>Insurance Contracts Act</w:t>
            </w:r>
          </w:p>
          <w:p w:rsidR="00000000" w:rsidRPr="00084A98" w:rsidP="00084A98">
            <w:pPr>
              <w:pStyle w:val="ListBullet2"/>
            </w:pPr>
            <w:r w:rsidRPr="00084A98">
              <w:t>Insurance (Agents and Brokers) Act</w:t>
            </w:r>
          </w:p>
          <w:p w:rsidR="00000000" w:rsidRPr="00084A98" w:rsidP="00084A98">
            <w:pPr>
              <w:pStyle w:val="ListBullet2"/>
            </w:pPr>
            <w:r w:rsidRPr="00084A98">
              <w:t>Trade Practices Act</w:t>
            </w:r>
          </w:p>
          <w:p w:rsidR="00000000" w:rsidRPr="00084A98" w:rsidP="00084A98">
            <w:pPr>
              <w:pStyle w:val="ListBullet2"/>
            </w:pPr>
            <w:r w:rsidRPr="00084A98">
              <w:t>interim cover as it relates to expiry of contracts and cancellations (Insurance Contracts Act ss. 38, 58)</w:t>
            </w:r>
          </w:p>
          <w:p w:rsidR="00000000" w:rsidRPr="00084A98" w:rsidP="00084A98">
            <w:pPr>
              <w:pStyle w:val="ListBullet"/>
            </w:pPr>
            <w:r w:rsidRPr="00084A98">
              <w:t>risk prevention methods and application</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10" w:name="O_79488"/>
      <w:bookmarkEnd w:id="10"/>
      <w:r w:rsidRPr="00084A98">
        <w:t>Evidence Guide</w:t>
      </w:r>
    </w:p>
    <w:tbl>
      <w:tblPr>
        <w:tblW w:w="9570" w:type="dxa"/>
        <w:tblLayout w:type="fixed"/>
        <w:tblCellMar>
          <w:left w:w="62" w:type="dxa"/>
          <w:right w:w="62" w:type="dxa"/>
        </w:tblCellMar>
        <w:tblLook w:val="0000"/>
      </w:tblPr>
      <w:tblGrid>
        <w:gridCol w:w="2808"/>
        <w:gridCol w:w="6762"/>
      </w:tblGrid>
      <w:tr w:rsidTr="00A915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EVIDENCE GUIDE</w:t>
            </w:r>
          </w:p>
        </w:tc>
      </w:tr>
      <w:tr w:rsidTr="00A915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t>The Evidence Guide provides advice on assessment and must be read in conjunction with the performance criteria, required skills and knowledge, range statement and the Assessment Guidelines for the Training Package.</w:t>
            </w:r>
          </w:p>
        </w:tc>
      </w:tr>
      <w:tr w:rsidTr="00A915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p>
        </w:tc>
      </w:tr>
      <w:tr w:rsidTr="00A915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 xml:space="preserve"> Evidence of the ability to:</w:t>
            </w:r>
          </w:p>
          <w:p w:rsidR="00000000" w:rsidRPr="00084A98" w:rsidP="00084A98">
            <w:pPr>
              <w:pStyle w:val="ListBullet"/>
            </w:pPr>
            <w:r w:rsidRPr="00084A98">
              <w:t>interpret and comply with all relevant legal obligations and organisation procedures in order to identify and thoroughly assess risks</w:t>
            </w:r>
            <w:r w:rsidRPr="00084A98">
              <w:t>, and develop a suitable policy</w:t>
            </w:r>
          </w:p>
          <w:p w:rsidR="00000000" w:rsidRPr="00084A98" w:rsidP="00084A98">
            <w:pPr>
              <w:pStyle w:val="ListBullet"/>
            </w:pPr>
            <w:r w:rsidRPr="00084A98">
              <w:t>maintain knowledge of relevant organisation products and services</w:t>
            </w:r>
          </w:p>
          <w:p w:rsidR="00000000" w:rsidRPr="00084A98" w:rsidP="00084A98">
            <w:pPr>
              <w:pStyle w:val="ListBullet"/>
            </w:pPr>
            <w:r w:rsidRPr="00084A98">
              <w:t>apply relevant underwriting guidelines and procedures</w:t>
            </w:r>
          </w:p>
          <w:p w:rsidR="00000000" w:rsidRPr="00084A98" w:rsidP="00084A98">
            <w:pPr>
              <w:pStyle w:val="ListBullet"/>
            </w:pPr>
            <w:r w:rsidRPr="00084A98">
              <w:t>identify and investigate risk as it relates to new business in accordance with underwriting and organisa</w:t>
            </w:r>
            <w:r w:rsidRPr="00084A98">
              <w:t>tion guidelines</w:t>
            </w:r>
          </w:p>
          <w:p w:rsidR="00000000" w:rsidP="00084A98">
            <w:pPr>
              <w:pStyle w:val="ListBullet"/>
              <w:rPr>
                <w:lang w:val="en-NZ"/>
              </w:rPr>
            </w:pPr>
            <w:r w:rsidRPr="00084A98">
              <w:t>document risk assessment data in accordance with organisation guidelines.</w:t>
            </w:r>
          </w:p>
        </w:tc>
      </w:tr>
      <w:tr w:rsidTr="00A915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Assessment must ensure:</w:t>
            </w:r>
          </w:p>
          <w:p w:rsidR="00000000" w:rsidRPr="00084A98" w:rsidP="00084A98">
            <w:pPr>
              <w:pStyle w:val="ListBullet"/>
            </w:pPr>
            <w:r w:rsidRPr="00084A98">
              <w:t xml:space="preserve">competency is demonstrated in the context of the work environment and conditions specified </w:t>
            </w:r>
            <w:r w:rsidRPr="00084A98">
              <w:t>in the range statement either in a relevant workplace or a closely simulated work environment</w:t>
            </w:r>
          </w:p>
          <w:p w:rsidR="00000000" w:rsidRPr="00084A98" w:rsidP="00084A98">
            <w:pPr>
              <w:pStyle w:val="ListBullet"/>
            </w:pPr>
            <w:r w:rsidRPr="00084A98">
              <w:t>access to and the use of a range of common office equipment, technology, software and consumables</w:t>
            </w:r>
          </w:p>
          <w:p w:rsidR="00000000" w:rsidRPr="00084A98" w:rsidP="00084A98">
            <w:pPr>
              <w:pStyle w:val="ListBullet"/>
            </w:pPr>
            <w:r w:rsidRPr="00084A98">
              <w:t>access to organisation records</w:t>
            </w:r>
          </w:p>
          <w:p w:rsidR="00000000" w:rsidP="00084A98">
            <w:pPr>
              <w:pStyle w:val="ListBullet"/>
              <w:rPr>
                <w:lang w:val="en-NZ"/>
              </w:rPr>
            </w:pPr>
            <w:r w:rsidRPr="00084A98">
              <w:t>access to organisation policies a</w:t>
            </w:r>
            <w:r w:rsidRPr="00084A98">
              <w:t>nd procedures.</w:t>
            </w:r>
          </w:p>
        </w:tc>
      </w:tr>
      <w:tr w:rsidTr="00A915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A range of assessment methods should be used to assess practical skills and knowledge. The following examples, in combination, are appropriate for this unit:</w:t>
            </w:r>
          </w:p>
          <w:p w:rsidR="00000000" w:rsidRPr="00084A98" w:rsidP="00084A98">
            <w:pPr>
              <w:pStyle w:val="ListBullet"/>
            </w:pPr>
            <w:r w:rsidRPr="00084A98">
              <w:t>evaluating an integrated activity, which combines the elements of competency for the unit, or a cluster of related units of competency</w:t>
            </w:r>
          </w:p>
          <w:p w:rsidR="00000000" w:rsidRPr="00084A98" w:rsidP="00084A98">
            <w:pPr>
              <w:pStyle w:val="ListBullet"/>
            </w:pPr>
            <w:r w:rsidRPr="00084A98">
              <w:t>observing processes and procedures in workplaces</w:t>
            </w:r>
          </w:p>
          <w:p w:rsidR="00000000" w:rsidRPr="00084A98" w:rsidP="00084A98">
            <w:pPr>
              <w:pStyle w:val="ListBullet"/>
            </w:pPr>
            <w:r w:rsidRPr="00084A98">
              <w:t>verbal or written questioning on underpinning knowledge and skills</w:t>
            </w:r>
          </w:p>
          <w:p w:rsidR="00000000" w:rsidRPr="00084A98" w:rsidP="00084A98">
            <w:pPr>
              <w:pStyle w:val="ListBullet"/>
            </w:pPr>
            <w:r w:rsidRPr="00084A98">
              <w:t>evalu</w:t>
            </w:r>
            <w:r w:rsidRPr="00084A98">
              <w:t>ating samples of work</w:t>
            </w:r>
          </w:p>
          <w:p w:rsidR="00000000" w:rsidP="00084A98">
            <w:pPr>
              <w:pStyle w:val="ListBullet"/>
              <w:rPr>
                <w:lang w:val="en-NZ"/>
              </w:rPr>
            </w:pPr>
            <w:r w:rsidRPr="00084A98">
              <w:t>accessing and validating third party reports.</w:t>
            </w:r>
          </w:p>
        </w:tc>
      </w:tr>
      <w:tr w:rsidTr="00A915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11" w:name="O_79489"/>
      <w:bookmarkEnd w:id="11"/>
      <w:r w:rsidRPr="00084A98">
        <w:t>Range Statement</w:t>
      </w:r>
    </w:p>
    <w:tbl>
      <w:tblPr>
        <w:tblW w:w="0" w:type="auto"/>
        <w:tblLayout w:type="fixed"/>
        <w:tblCellMar>
          <w:left w:w="62" w:type="dxa"/>
          <w:right w:w="62" w:type="dxa"/>
        </w:tblCellMar>
        <w:tblLook w:val="0000"/>
      </w:tblPr>
      <w:tblGrid>
        <w:gridCol w:w="2491"/>
        <w:gridCol w:w="6031"/>
      </w:tblGrid>
      <w:tr w:rsidTr="00A915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RANGE STATEMENT</w:t>
            </w:r>
          </w:p>
        </w:tc>
      </w:tr>
      <w:tr w:rsidTr="00A915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t>The range statement relates to the unit of competency as a whole. It allows for different work environments and situations that may affect performance. Bold italicised wording, if used in the performance criteria, is detailed below. Essential operating con</w:t>
            </w:r>
            <w:r w:rsidRPr="00084A98">
              <w:t>ditions that may be present with training and assessment (depending on the work situation, needs of the candidate, accessibility of the item, and local industry and regional contexts) may also be included.</w:t>
            </w:r>
          </w:p>
        </w:tc>
      </w:tr>
      <w:tr w:rsidTr="00A9153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BoldandItalics"/>
              </w:rPr>
              <w:t>Sources of risk information</w:t>
            </w:r>
            <w:r w:rsidRPr="00084A98">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amendm</w:t>
            </w:r>
            <w:r w:rsidRPr="00084A98">
              <w:t>ents</w:t>
            </w:r>
          </w:p>
          <w:p w:rsidR="00000000" w:rsidRPr="00084A98" w:rsidP="00084A98">
            <w:pPr>
              <w:pStyle w:val="ListBullet"/>
            </w:pPr>
            <w:r w:rsidRPr="00084A98">
              <w:t>broker slips</w:t>
            </w:r>
          </w:p>
          <w:p w:rsidR="00000000" w:rsidRPr="00084A98" w:rsidP="00084A98">
            <w:pPr>
              <w:pStyle w:val="ListBullet"/>
            </w:pPr>
            <w:r w:rsidRPr="00084A98">
              <w:t>claims</w:t>
            </w:r>
          </w:p>
          <w:p w:rsidR="00000000" w:rsidRPr="00084A98" w:rsidP="00084A98">
            <w:pPr>
              <w:pStyle w:val="ListBullet"/>
            </w:pPr>
            <w:r w:rsidRPr="00084A98">
              <w:t>general knowledge</w:t>
            </w:r>
          </w:p>
          <w:p w:rsidR="00000000" w:rsidRPr="00084A98" w:rsidP="00084A98">
            <w:pPr>
              <w:pStyle w:val="ListBullet"/>
            </w:pPr>
            <w:r w:rsidRPr="00084A98">
              <w:t>insurance reference services</w:t>
            </w:r>
          </w:p>
          <w:p w:rsidR="00000000" w:rsidRPr="00084A98" w:rsidP="00084A98">
            <w:pPr>
              <w:pStyle w:val="ListBullet"/>
            </w:pPr>
            <w:r w:rsidRPr="00084A98">
              <w:t>legal cases</w:t>
            </w:r>
          </w:p>
          <w:p w:rsidR="00000000" w:rsidRPr="00084A98" w:rsidP="00084A98">
            <w:pPr>
              <w:pStyle w:val="ListBullet"/>
            </w:pPr>
            <w:r w:rsidRPr="00084A98">
              <w:t>pre-underwriting report</w:t>
            </w:r>
          </w:p>
          <w:p w:rsidR="00000000" w:rsidRPr="00084A98" w:rsidP="00084A98">
            <w:pPr>
              <w:pStyle w:val="ListBullet"/>
            </w:pPr>
            <w:r w:rsidRPr="00084A98">
              <w:t>previous insurers</w:t>
            </w:r>
          </w:p>
          <w:p w:rsidR="00000000" w:rsidRPr="00084A98" w:rsidP="00084A98">
            <w:pPr>
              <w:pStyle w:val="ListBullet"/>
            </w:pPr>
            <w:r w:rsidRPr="00084A98">
              <w:t>proposals</w:t>
            </w:r>
          </w:p>
          <w:p w:rsidR="00000000" w:rsidRPr="00084A98" w:rsidP="00084A98">
            <w:pPr>
              <w:pStyle w:val="ListBullet"/>
            </w:pPr>
            <w:r w:rsidRPr="00084A98">
              <w:t>publications (industry associations and trade journals)</w:t>
            </w:r>
          </w:p>
          <w:p w:rsidR="00000000" w:rsidRPr="00084A98" w:rsidP="00084A98">
            <w:pPr>
              <w:pStyle w:val="ListBullet"/>
            </w:pPr>
            <w:r w:rsidRPr="00084A98">
              <w:t>stock exchange</w:t>
            </w:r>
          </w:p>
          <w:p w:rsidR="00000000" w:rsidRPr="00084A98" w:rsidP="00084A98">
            <w:pPr>
              <w:pStyle w:val="ListBullet"/>
            </w:pPr>
            <w:r w:rsidRPr="00084A98">
              <w:t>surveys</w:t>
            </w:r>
          </w:p>
          <w:p w:rsidR="00000000" w:rsidRPr="00084A98" w:rsidP="00084A98">
            <w:pPr>
              <w:pStyle w:val="ListBullet"/>
            </w:pPr>
            <w:r w:rsidRPr="00084A98">
              <w:t>telephone contacts</w:t>
            </w:r>
          </w:p>
          <w:p w:rsidR="00000000" w:rsidP="00084A98">
            <w:pPr>
              <w:pStyle w:val="ListBullet"/>
              <w:rPr>
                <w:lang w:val="en-NZ"/>
              </w:rPr>
            </w:pPr>
            <w:r w:rsidRPr="00084A98">
              <w:t>any other source the insurer deems relevant.</w:t>
            </w:r>
          </w:p>
        </w:tc>
      </w:tr>
      <w:tr w:rsidTr="00A9153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BoldandItalics"/>
              </w:rPr>
              <w:t>Legislative and compliance requirements</w:t>
            </w:r>
            <w:r w:rsidRPr="00084A98">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codes of practice</w:t>
            </w:r>
          </w:p>
          <w:p w:rsidR="00000000" w:rsidRPr="00084A98" w:rsidP="00084A98">
            <w:pPr>
              <w:pStyle w:val="ListBullet"/>
            </w:pPr>
            <w:r w:rsidRPr="00084A98">
              <w:t>Corporations Act</w:t>
            </w:r>
          </w:p>
          <w:p w:rsidR="00000000" w:rsidRPr="00084A98" w:rsidP="00084A98">
            <w:pPr>
              <w:pStyle w:val="ListBullet"/>
            </w:pPr>
            <w:r w:rsidRPr="00084A98">
              <w:t>FSRA</w:t>
            </w:r>
          </w:p>
          <w:p w:rsidR="00000000" w:rsidP="00084A98">
            <w:pPr>
              <w:pStyle w:val="ListBullet"/>
              <w:rPr>
                <w:lang w:val="en-NZ"/>
              </w:rPr>
            </w:pPr>
            <w:r w:rsidRPr="00084A98">
              <w:t>relevant Australian Securities and Investments Commission (ASIC) requirements.</w:t>
            </w:r>
          </w:p>
        </w:tc>
      </w:tr>
      <w:tr w:rsidTr="00A9153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BoldandItalics"/>
              </w:rPr>
              <w:t>Reports</w:t>
            </w:r>
            <w:r w:rsidRPr="00084A98">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pre-underwriting reports which are usually computer reports on policy premiums and claims</w:t>
            </w:r>
          </w:p>
          <w:p w:rsidR="00000000" w:rsidP="00084A98">
            <w:pPr>
              <w:pStyle w:val="ListBullet"/>
              <w:rPr>
                <w:lang w:val="en-NZ"/>
              </w:rPr>
            </w:pPr>
            <w:r w:rsidRPr="00084A98">
              <w:t>reports regarding reinsurance requirements and changes in the physical risk exposure.</w:t>
            </w:r>
          </w:p>
        </w:tc>
      </w:tr>
      <w:tr w:rsidTr="00A9153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BoldandItalics"/>
              </w:rPr>
              <w:t>Risk acceptance criteria</w:t>
            </w:r>
            <w:r w:rsidRPr="00084A98">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claims history</w:t>
            </w:r>
          </w:p>
          <w:p w:rsidR="00000000" w:rsidRPr="00084A98" w:rsidP="00084A98">
            <w:pPr>
              <w:pStyle w:val="ListBullet"/>
            </w:pPr>
            <w:r w:rsidRPr="00084A98">
              <w:t>class of business</w:t>
            </w:r>
          </w:p>
          <w:p w:rsidR="00000000" w:rsidRPr="00084A98" w:rsidP="00084A98">
            <w:pPr>
              <w:pStyle w:val="ListBullet"/>
            </w:pPr>
            <w:r w:rsidRPr="00084A98">
              <w:t>driving</w:t>
            </w:r>
            <w:r w:rsidRPr="00084A98">
              <w:t xml:space="preserve"> and/or accident history</w:t>
            </w:r>
          </w:p>
          <w:p w:rsidR="00000000" w:rsidRPr="00084A98" w:rsidP="00084A98">
            <w:pPr>
              <w:pStyle w:val="ListBullet"/>
            </w:pPr>
            <w:r w:rsidRPr="00084A98">
              <w:t>locality</w:t>
            </w:r>
          </w:p>
          <w:p w:rsidR="00000000" w:rsidP="00084A98">
            <w:pPr>
              <w:pStyle w:val="ListBullet"/>
              <w:rPr>
                <w:lang w:val="en-NZ"/>
              </w:rPr>
            </w:pPr>
            <w:r w:rsidRPr="00084A98">
              <w:t>minimum security levels.</w:t>
            </w:r>
          </w:p>
        </w:tc>
      </w:tr>
      <w:tr w:rsidTr="00A91533">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BoldandItalics"/>
              </w:rPr>
              <w:t>Terms of conditions of risk assessment</w:t>
            </w:r>
            <w:r w:rsidRPr="00084A98">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ListBullet"/>
            </w:pPr>
            <w:r w:rsidRPr="00084A98">
              <w:t>additional exclusions</w:t>
            </w:r>
          </w:p>
          <w:p w:rsidR="00000000" w:rsidRPr="00084A98" w:rsidP="00084A98">
            <w:pPr>
              <w:pStyle w:val="ListBullet"/>
            </w:pPr>
            <w:r w:rsidRPr="00084A98">
              <w:t>adequate reinsurance cover</w:t>
            </w:r>
          </w:p>
          <w:p w:rsidR="00000000" w:rsidRPr="00084A98" w:rsidP="00084A98">
            <w:pPr>
              <w:pStyle w:val="ListBullet"/>
            </w:pPr>
            <w:r w:rsidRPr="00084A98">
              <w:t>claims history</w:t>
            </w:r>
          </w:p>
          <w:p w:rsidR="00000000" w:rsidRPr="00084A98" w:rsidP="00084A98">
            <w:pPr>
              <w:pStyle w:val="ListBullet"/>
            </w:pPr>
            <w:r w:rsidRPr="00084A98">
              <w:t>endorsements</w:t>
            </w:r>
          </w:p>
          <w:p w:rsidR="00000000" w:rsidRPr="00084A98" w:rsidP="00084A98">
            <w:pPr>
              <w:pStyle w:val="ListBullet"/>
            </w:pPr>
            <w:r w:rsidRPr="00084A98">
              <w:t>excesses/deductibles</w:t>
            </w:r>
          </w:p>
          <w:p w:rsidR="00000000" w:rsidRPr="00084A98" w:rsidP="00084A98">
            <w:pPr>
              <w:pStyle w:val="ListBullet"/>
            </w:pPr>
            <w:r w:rsidRPr="00084A98">
              <w:t>extensions</w:t>
            </w:r>
          </w:p>
          <w:p w:rsidR="00000000" w:rsidRPr="00084A98" w:rsidP="00084A98">
            <w:pPr>
              <w:pStyle w:val="ListBullet"/>
            </w:pPr>
            <w:r w:rsidRPr="00084A98">
              <w:t>internal and industry statistics</w:t>
            </w:r>
          </w:p>
          <w:p w:rsidR="00000000" w:rsidRPr="00084A98" w:rsidP="00084A98">
            <w:pPr>
              <w:pStyle w:val="ListBullet"/>
            </w:pPr>
            <w:r w:rsidRPr="00084A98">
              <w:t>pricing</w:t>
            </w:r>
          </w:p>
          <w:p w:rsidR="00000000" w:rsidRPr="00084A98" w:rsidP="00084A98">
            <w:pPr>
              <w:pStyle w:val="ListBullet"/>
            </w:pPr>
            <w:r w:rsidRPr="00084A98">
              <w:t>quality of risk</w:t>
            </w:r>
          </w:p>
          <w:p w:rsidR="00000000" w:rsidRPr="00084A98" w:rsidP="00084A98">
            <w:pPr>
              <w:pStyle w:val="ListBullet"/>
            </w:pPr>
            <w:r w:rsidRPr="00084A98">
              <w:t>risk factors</w:t>
            </w:r>
          </w:p>
          <w:p w:rsidR="00000000" w:rsidRPr="00084A98" w:rsidP="00084A98">
            <w:pPr>
              <w:pStyle w:val="ListBullet"/>
            </w:pPr>
            <w:r w:rsidRPr="00084A98">
              <w:t>risk improvement requirements</w:t>
            </w:r>
          </w:p>
          <w:p w:rsidR="00000000" w:rsidRPr="00084A98" w:rsidP="00084A98">
            <w:pPr>
              <w:pStyle w:val="ListBullet"/>
            </w:pPr>
            <w:r w:rsidRPr="00084A98">
              <w:t>sub-limits</w:t>
            </w:r>
          </w:p>
          <w:p w:rsidR="00000000" w:rsidRPr="00084A98" w:rsidP="00084A98">
            <w:pPr>
              <w:pStyle w:val="ListBullet"/>
            </w:pPr>
            <w:r w:rsidRPr="00084A98">
              <w:t>variations in policy wording</w:t>
            </w:r>
          </w:p>
          <w:p w:rsidR="00000000" w:rsidRPr="00084A98" w:rsidP="00084A98">
            <w:pPr>
              <w:pStyle w:val="ListBullet"/>
            </w:pPr>
            <w:r w:rsidRPr="00084A98">
              <w:t>warranties.</w:t>
            </w:r>
          </w:p>
        </w:tc>
      </w:tr>
    </w:tbl>
    <w:p w:rsidR="00A91533" w:rsidP="00084A98">
      <w:pPr>
        <w:pStyle w:val="BodyText"/>
      </w:pPr>
    </w:p>
    <w:p w:rsidR="00A91533" w:rsidP="00084A98">
      <w:pPr>
        <w:pStyle w:val="BodyText"/>
      </w:pPr>
    </w:p>
    <w:p w:rsidR="00000000" w:rsidRPr="00084A98" w:rsidP="00084A98">
      <w:pPr>
        <w:pStyle w:val="Heading1"/>
      </w:pPr>
      <w:bookmarkStart w:id="12" w:name="O_79490"/>
      <w:bookmarkEnd w:id="12"/>
      <w:r w:rsidRPr="00084A98">
        <w:t>Unit Sector(s)</w:t>
      </w:r>
    </w:p>
    <w:tbl>
      <w:tblPr>
        <w:tblW w:w="0" w:type="auto"/>
        <w:tblLayout w:type="fixed"/>
        <w:tblCellMar>
          <w:left w:w="62" w:type="dxa"/>
          <w:right w:w="62" w:type="dxa"/>
        </w:tblCellMar>
        <w:tblLook w:val="0000"/>
      </w:tblPr>
      <w:tblGrid>
        <w:gridCol w:w="2594"/>
        <w:gridCol w:w="5928"/>
      </w:tblGrid>
      <w:tr w:rsidTr="00A9153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r w:rsidRPr="00084A98">
              <w:t>Insurance services</w:t>
            </w: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13" w:name="O_156481"/>
      <w:bookmarkEnd w:id="13"/>
      <w:r w:rsidRPr="00084A98">
        <w:t>Competency field</w:t>
      </w:r>
    </w:p>
    <w:tbl>
      <w:tblPr>
        <w:tblW w:w="0" w:type="auto"/>
        <w:tblLayout w:type="fixed"/>
        <w:tblCellMar>
          <w:left w:w="62" w:type="dxa"/>
          <w:right w:w="62" w:type="dxa"/>
        </w:tblCellMar>
        <w:tblLook w:val="0000"/>
      </w:tblPr>
      <w:tblGrid>
        <w:gridCol w:w="2754"/>
        <w:gridCol w:w="5768"/>
      </w:tblGrid>
      <w:tr w:rsidTr="00A915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p>
        </w:tc>
      </w:tr>
    </w:tbl>
    <w:p w:rsidR="00000000" w:rsidRPr="00084A98" w:rsidP="00084A98">
      <w:pPr>
        <w:pStyle w:val="BodyText"/>
      </w:pPr>
    </w:p>
    <w:p w:rsidR="00000000" w:rsidRPr="00084A98" w:rsidP="00084A98">
      <w:pPr>
        <w:pStyle w:val="AllowPageBreak"/>
      </w:pPr>
    </w:p>
    <w:p w:rsidR="00000000" w:rsidRPr="00084A98" w:rsidP="00084A98">
      <w:pPr>
        <w:pStyle w:val="Heading1"/>
      </w:pPr>
      <w:bookmarkStart w:id="14" w:name="O_156480"/>
      <w:bookmarkEnd w:id="14"/>
      <w:r w:rsidRPr="00084A98">
        <w:t>Co-requisite units</w:t>
      </w:r>
    </w:p>
    <w:tbl>
      <w:tblPr>
        <w:tblW w:w="0" w:type="auto"/>
        <w:tblLayout w:type="fixed"/>
        <w:tblCellMar>
          <w:left w:w="62" w:type="dxa"/>
          <w:right w:w="62" w:type="dxa"/>
        </w:tblCellMar>
        <w:tblLook w:val="0000"/>
      </w:tblPr>
      <w:tblGrid>
        <w:gridCol w:w="2629"/>
        <w:gridCol w:w="1324"/>
        <w:gridCol w:w="4569"/>
      </w:tblGrid>
      <w:tr w:rsidTr="00A9153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r w:rsidRPr="00084A9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A98">
            <w:pPr>
              <w:pStyle w:val="BodyText"/>
              <w:rPr>
                <w:lang w:val="en-NZ"/>
              </w:rPr>
            </w:pPr>
          </w:p>
        </w:tc>
      </w:tr>
      <w:tr w:rsidTr="00A9153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A98" w:rsidP="00084A98">
            <w:pPr>
              <w:pStyle w:val="BodyText"/>
            </w:pPr>
          </w:p>
        </w:tc>
      </w:tr>
    </w:tbl>
    <w:p w:rsidR="00000000" w:rsidRPr="00084A98" w:rsidP="00084A98">
      <w:pPr>
        <w:pStyle w:val="BodyText"/>
      </w:pPr>
    </w:p>
    <w:p w:rsidR="00000000" w:rsidRPr="00084A98" w:rsidP="00084A98"/>
    <w:sectPr w:rsidSect="00084A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533" w:rsidP="00A91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33" w:rsidP="00084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1533" w:rsidP="00084A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1533" w:rsidP="00084A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533" w:rsidP="00A915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33" w:rsidP="00084A98">
    <w:pPr>
      <w:pStyle w:val="Header"/>
      <w:framePr w:wrap="around"/>
    </w:pPr>
    <w:r>
      <w:fldChar w:fldCharType="begin"/>
    </w:r>
    <w:r>
      <w:instrText xml:space="preserve"> TITLE   \* MERGEFORMAT </w:instrText>
    </w:r>
    <w:r>
      <w:fldChar w:fldCharType="separate"/>
    </w:r>
    <w:r>
      <w:t>FNSISV401A Evaluate risk for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1533" w:rsidP="00084A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8D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4D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0F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A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A98"/>
    <w:pPr>
      <w:spacing w:before="360" w:after="60"/>
      <w:outlineLvl w:val="0"/>
    </w:pPr>
    <w:rPr>
      <w:sz w:val="32"/>
    </w:rPr>
  </w:style>
  <w:style w:type="paragraph" w:styleId="Heading2">
    <w:name w:val="heading 2"/>
    <w:basedOn w:val="HeadingBase"/>
    <w:next w:val="BodyText"/>
    <w:link w:val="Heading2Char"/>
    <w:qFormat/>
    <w:rsid w:val="00084A98"/>
    <w:pPr>
      <w:keepLines/>
      <w:spacing w:before="240" w:after="120"/>
      <w:outlineLvl w:val="1"/>
    </w:pPr>
    <w:rPr>
      <w:sz w:val="28"/>
      <w:szCs w:val="40"/>
    </w:rPr>
  </w:style>
  <w:style w:type="paragraph" w:styleId="Heading3">
    <w:name w:val="heading 3"/>
    <w:basedOn w:val="HeadingBase"/>
    <w:next w:val="BodyText"/>
    <w:link w:val="Heading3Char"/>
    <w:qFormat/>
    <w:rsid w:val="00084A98"/>
    <w:pPr>
      <w:spacing w:before="180" w:after="120"/>
      <w:outlineLvl w:val="2"/>
    </w:pPr>
    <w:rPr>
      <w:spacing w:val="-10"/>
      <w:kern w:val="32"/>
    </w:rPr>
  </w:style>
  <w:style w:type="paragraph" w:styleId="Heading4">
    <w:name w:val="heading 4"/>
    <w:basedOn w:val="HeadingBase"/>
    <w:next w:val="BodyText"/>
    <w:link w:val="Heading4Char"/>
    <w:qFormat/>
    <w:rsid w:val="00084A98"/>
    <w:pPr>
      <w:spacing w:before="160" w:after="120"/>
      <w:outlineLvl w:val="3"/>
    </w:pPr>
    <w:rPr>
      <w:sz w:val="22"/>
    </w:rPr>
  </w:style>
  <w:style w:type="paragraph" w:styleId="Heading5">
    <w:name w:val="heading 5"/>
    <w:basedOn w:val="HeadingBase"/>
    <w:next w:val="Normal"/>
    <w:link w:val="Heading5Char"/>
    <w:qFormat/>
    <w:rsid w:val="00084A98"/>
    <w:pPr>
      <w:spacing w:before="80"/>
      <w:outlineLvl w:val="4"/>
    </w:pPr>
    <w:rPr>
      <w:color w:val="918585"/>
      <w:sz w:val="20"/>
    </w:rPr>
  </w:style>
  <w:style w:type="paragraph" w:styleId="Heading6">
    <w:name w:val="heading 6"/>
    <w:basedOn w:val="HeadingBase"/>
    <w:next w:val="Normal"/>
    <w:link w:val="Heading6Char"/>
    <w:qFormat/>
    <w:rsid w:val="00084A98"/>
    <w:pPr>
      <w:spacing w:before="60"/>
      <w:outlineLvl w:val="5"/>
    </w:pPr>
    <w:rPr>
      <w:color w:val="918585"/>
      <w:sz w:val="20"/>
    </w:rPr>
  </w:style>
  <w:style w:type="paragraph" w:styleId="Heading7">
    <w:name w:val="heading 7"/>
    <w:basedOn w:val="Normal"/>
    <w:next w:val="Normal"/>
    <w:link w:val="Heading7Char"/>
    <w:qFormat/>
    <w:rsid w:val="00084A98"/>
    <w:pPr>
      <w:ind w:left="720"/>
      <w:outlineLvl w:val="6"/>
    </w:pPr>
    <w:rPr>
      <w:i/>
    </w:rPr>
  </w:style>
  <w:style w:type="paragraph" w:styleId="Heading8">
    <w:name w:val="heading 8"/>
    <w:basedOn w:val="Normal"/>
    <w:next w:val="Normal"/>
    <w:link w:val="Heading8Char"/>
    <w:qFormat/>
    <w:rsid w:val="00084A98"/>
    <w:pPr>
      <w:ind w:left="720"/>
      <w:outlineLvl w:val="7"/>
    </w:pPr>
    <w:rPr>
      <w:i/>
    </w:rPr>
  </w:style>
  <w:style w:type="paragraph" w:styleId="Heading9">
    <w:name w:val="heading 9"/>
    <w:basedOn w:val="Normal"/>
    <w:next w:val="Normal"/>
    <w:link w:val="Heading9Char"/>
    <w:qFormat/>
    <w:rsid w:val="00084A98"/>
    <w:pPr>
      <w:ind w:left="720"/>
      <w:outlineLvl w:val="8"/>
    </w:pPr>
    <w:rPr>
      <w:i/>
    </w:rPr>
  </w:style>
  <w:style w:type="character" w:default="1" w:styleId="DefaultParagraphFont">
    <w:name w:val="Default Paragraph Font"/>
    <w:uiPriority w:val="1"/>
    <w:unhideWhenUsed/>
    <w:rsid w:val="00084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A98"/>
  </w:style>
  <w:style w:type="character" w:customStyle="1" w:styleId="Heading1Char">
    <w:name w:val="Heading 1 Char"/>
    <w:basedOn w:val="DefaultParagraphFont"/>
    <w:link w:val="Heading1"/>
    <w:rsid w:val="00084A98"/>
    <w:rPr>
      <w:rFonts w:ascii="Times New Roman" w:eastAsia="Times New Roman" w:hAnsi="Times New Roman" w:cs="Times New Roman"/>
      <w:b/>
      <w:sz w:val="32"/>
      <w:szCs w:val="20"/>
      <w:lang w:eastAsia="en-US"/>
    </w:rPr>
  </w:style>
  <w:style w:type="paragraph" w:styleId="BodyText">
    <w:name w:val="Body Text"/>
    <w:basedOn w:val="Normal"/>
    <w:link w:val="BodyTextChar"/>
    <w:rsid w:val="00084A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A98"/>
    <w:rPr>
      <w:rFonts w:ascii="Times New Roman" w:eastAsia="Times New Roman" w:hAnsi="Times New Roman" w:cs="Times New Roman"/>
      <w:sz w:val="24"/>
      <w:lang w:val="en-US" w:eastAsia="en-US"/>
    </w:rPr>
  </w:style>
  <w:style w:type="paragraph" w:styleId="Footer">
    <w:name w:val="footer"/>
    <w:basedOn w:val="Normal"/>
    <w:link w:val="FooterChar"/>
    <w:rsid w:val="00084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A98"/>
    <w:rPr>
      <w:rFonts w:ascii="Times New Roman" w:eastAsia="Times New Roman" w:hAnsi="Times New Roman" w:cs="Times New Roman"/>
      <w:sz w:val="16"/>
      <w:lang w:val="en-US" w:eastAsia="en-US"/>
    </w:rPr>
  </w:style>
  <w:style w:type="paragraph" w:styleId="List">
    <w:name w:val="List"/>
    <w:basedOn w:val="BodyText"/>
    <w:next w:val="BodyText"/>
    <w:rsid w:val="00084A98"/>
    <w:pPr>
      <w:tabs>
        <w:tab w:val="left" w:pos="340"/>
      </w:tabs>
      <w:spacing w:before="60" w:after="60"/>
      <w:ind w:left="340" w:hanging="340"/>
    </w:pPr>
  </w:style>
  <w:style w:type="paragraph" w:styleId="ListBullet">
    <w:name w:val="List Bullet"/>
    <w:basedOn w:val="List"/>
    <w:rsid w:val="00084A98"/>
    <w:pPr>
      <w:numPr>
        <w:numId w:val="13"/>
      </w:numPr>
      <w:tabs>
        <w:tab w:val="clear" w:pos="340"/>
      </w:tabs>
      <w:spacing w:before="40" w:after="40"/>
    </w:pPr>
  </w:style>
  <w:style w:type="character" w:customStyle="1" w:styleId="SpecialBold">
    <w:name w:val="Special Bold"/>
    <w:basedOn w:val="DefaultParagraphFont"/>
    <w:rsid w:val="00084A98"/>
    <w:rPr>
      <w:b/>
      <w:spacing w:val="0"/>
    </w:rPr>
  </w:style>
  <w:style w:type="paragraph" w:styleId="ListBullet2">
    <w:name w:val="List Bullet 2"/>
    <w:basedOn w:val="List2"/>
    <w:rsid w:val="00084A98"/>
    <w:pPr>
      <w:numPr>
        <w:numId w:val="14"/>
      </w:numPr>
      <w:tabs>
        <w:tab w:val="clear" w:pos="680"/>
      </w:tabs>
    </w:pPr>
  </w:style>
  <w:style w:type="paragraph" w:styleId="Header">
    <w:name w:val="header"/>
    <w:basedOn w:val="Normal"/>
    <w:link w:val="HeaderChar"/>
    <w:rsid w:val="00084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A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A98"/>
    <w:pPr>
      <w:spacing w:before="240" w:after="120"/>
      <w:outlineLvl w:val="0"/>
    </w:pPr>
    <w:rPr>
      <w:rFonts w:ascii="Times New Roman" w:hAnsi="Times New Roman"/>
      <w:b/>
      <w:sz w:val="28"/>
    </w:rPr>
  </w:style>
  <w:style w:type="paragraph" w:customStyle="1" w:styleId="AllowPageBreak">
    <w:name w:val="AllowPageBreak"/>
    <w:rsid w:val="00084A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A98"/>
    <w:pPr>
      <w:tabs>
        <w:tab w:val="left" w:pos="680"/>
      </w:tabs>
      <w:spacing w:before="60" w:after="60"/>
      <w:ind w:left="680" w:hanging="340"/>
    </w:pPr>
  </w:style>
  <w:style w:type="character" w:customStyle="1" w:styleId="BoldandItalics">
    <w:name w:val="Bold and Italics"/>
    <w:qFormat/>
    <w:rsid w:val="00084A98"/>
    <w:rPr>
      <w:b/>
      <w:i/>
      <w:u w:val="none"/>
    </w:rPr>
  </w:style>
  <w:style w:type="character" w:customStyle="1" w:styleId="Heading2Char">
    <w:name w:val="Heading 2 Char"/>
    <w:basedOn w:val="DefaultParagraphFont"/>
    <w:link w:val="Heading2"/>
    <w:rsid w:val="00084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A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A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A98"/>
    <w:rPr>
      <w:rFonts w:ascii="Courier New" w:eastAsia="Times New Roman" w:hAnsi="Courier New" w:cs="Times New Roman"/>
      <w:i/>
      <w:szCs w:val="20"/>
      <w:lang w:val="en-US" w:eastAsia="en-US"/>
    </w:rPr>
  </w:style>
  <w:style w:type="paragraph" w:customStyle="1" w:styleId="HeadingBase">
    <w:name w:val="Heading Base"/>
    <w:rsid w:val="00084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A98"/>
    <w:pPr>
      <w:tabs>
        <w:tab w:val="right" w:leader="dot" w:pos="9072"/>
      </w:tabs>
      <w:ind w:left="567"/>
    </w:pPr>
    <w:rPr>
      <w:szCs w:val="22"/>
    </w:rPr>
  </w:style>
  <w:style w:type="paragraph" w:customStyle="1" w:styleId="TOCBase">
    <w:name w:val="TOC Base"/>
    <w:rsid w:val="00084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A98"/>
    <w:pPr>
      <w:tabs>
        <w:tab w:val="right" w:leader="dot" w:pos="9072"/>
      </w:tabs>
      <w:spacing w:before="40" w:after="40"/>
      <w:ind w:left="284"/>
    </w:pPr>
    <w:rPr>
      <w:rFonts w:ascii="Times New Roman" w:hAnsi="Times New Roman"/>
    </w:rPr>
  </w:style>
  <w:style w:type="paragraph" w:styleId="TOC1">
    <w:name w:val="toc 1"/>
    <w:basedOn w:val="TOCBase"/>
    <w:next w:val="Normal"/>
    <w:rsid w:val="00084A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A98"/>
    <w:pPr>
      <w:spacing w:before="5040"/>
      <w:jc w:val="center"/>
    </w:pPr>
    <w:rPr>
      <w:sz w:val="48"/>
      <w:szCs w:val="72"/>
      <w:lang w:val="en-US"/>
    </w:rPr>
  </w:style>
  <w:style w:type="character" w:customStyle="1" w:styleId="TitleChar">
    <w:name w:val="Title Char"/>
    <w:basedOn w:val="DefaultParagraphFont"/>
    <w:link w:val="Title"/>
    <w:rsid w:val="00084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A98"/>
    <w:pPr>
      <w:tabs>
        <w:tab w:val="left" w:pos="3600"/>
        <w:tab w:val="left" w:pos="3958"/>
      </w:tabs>
    </w:pPr>
  </w:style>
  <w:style w:type="paragraph" w:customStyle="1" w:styleId="Note">
    <w:name w:val="Note"/>
    <w:basedOn w:val="BodyText"/>
    <w:rsid w:val="00084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A98"/>
    <w:pPr>
      <w:framePr w:wrap="auto" w:hAnchor="text" w:y="6049"/>
    </w:pPr>
    <w:rPr>
      <w:color w:val="000000"/>
      <w:sz w:val="40"/>
    </w:rPr>
  </w:style>
  <w:style w:type="paragraph" w:customStyle="1" w:styleId="TOCTitle">
    <w:name w:val="TOCTitle"/>
    <w:basedOn w:val="Heading1"/>
    <w:rsid w:val="00084A98"/>
    <w:pPr>
      <w:spacing w:after="240"/>
      <w:jc w:val="center"/>
      <w:outlineLvl w:val="9"/>
    </w:pPr>
    <w:rPr>
      <w:caps/>
    </w:rPr>
  </w:style>
  <w:style w:type="paragraph" w:customStyle="1" w:styleId="Version">
    <w:name w:val="Version"/>
    <w:rsid w:val="00084A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A98"/>
    <w:pPr>
      <w:keepNext w:val="0"/>
      <w:tabs>
        <w:tab w:val="right" w:pos="4176"/>
      </w:tabs>
      <w:ind w:left="198" w:hanging="198"/>
    </w:pPr>
    <w:rPr>
      <w:rFonts w:ascii="Garamond" w:hAnsi="Garamond"/>
    </w:rPr>
  </w:style>
  <w:style w:type="paragraph" w:styleId="IndexHeading">
    <w:name w:val="index heading"/>
    <w:basedOn w:val="Normal"/>
    <w:next w:val="Index1"/>
    <w:semiHidden/>
    <w:rsid w:val="00084A98"/>
    <w:pPr>
      <w:spacing w:before="120" w:after="120"/>
    </w:pPr>
    <w:rPr>
      <w:rFonts w:ascii="Arial" w:hAnsi="Arial"/>
      <w:b/>
      <w:color w:val="918585"/>
      <w:sz w:val="24"/>
    </w:rPr>
  </w:style>
  <w:style w:type="paragraph" w:customStyle="1" w:styleId="Chapter">
    <w:name w:val="Chapter"/>
    <w:basedOn w:val="Normal"/>
    <w:rsid w:val="00084A98"/>
    <w:pPr>
      <w:spacing w:before="240"/>
    </w:pPr>
    <w:rPr>
      <w:rFonts w:ascii="Times New Roman" w:hAnsi="Times New Roman"/>
      <w:smallCaps/>
      <w:spacing w:val="80"/>
      <w:sz w:val="28"/>
    </w:rPr>
  </w:style>
  <w:style w:type="paragraph" w:customStyle="1" w:styleId="InChapter">
    <w:name w:val="InChapter"/>
    <w:basedOn w:val="Heading3"/>
    <w:rsid w:val="00084A98"/>
    <w:pPr>
      <w:spacing w:after="240"/>
      <w:outlineLvl w:val="9"/>
    </w:pPr>
    <w:rPr>
      <w:noProof/>
    </w:rPr>
  </w:style>
  <w:style w:type="paragraph" w:styleId="Index2">
    <w:name w:val="index 2"/>
    <w:basedOn w:val="Normal"/>
    <w:next w:val="Normal"/>
    <w:semiHidden/>
    <w:rsid w:val="00084A98"/>
    <w:pPr>
      <w:tabs>
        <w:tab w:val="right" w:pos="4176"/>
      </w:tabs>
      <w:ind w:left="568" w:hanging="284"/>
    </w:pPr>
    <w:rPr>
      <w:rFonts w:ascii="Garamond" w:hAnsi="Garamond"/>
    </w:rPr>
  </w:style>
  <w:style w:type="paragraph" w:customStyle="1" w:styleId="Byline">
    <w:name w:val="Byline"/>
    <w:rsid w:val="00084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A98"/>
    <w:pPr>
      <w:tabs>
        <w:tab w:val="clear" w:pos="3600"/>
        <w:tab w:val="clear" w:pos="3958"/>
      </w:tabs>
      <w:jc w:val="right"/>
    </w:pPr>
  </w:style>
  <w:style w:type="character" w:styleId="Emphasis">
    <w:name w:val="Emphasis"/>
    <w:basedOn w:val="DefaultParagraphFont"/>
    <w:qFormat/>
    <w:rsid w:val="00084A98"/>
    <w:rPr>
      <w:i/>
    </w:rPr>
  </w:style>
  <w:style w:type="paragraph" w:styleId="Caption">
    <w:name w:val="caption"/>
    <w:basedOn w:val="BodyText"/>
    <w:next w:val="Normal"/>
    <w:qFormat/>
    <w:rsid w:val="00084A98"/>
    <w:pPr>
      <w:framePr w:w="2268" w:hSpace="181" w:vSpace="181" w:wrap="around" w:vAnchor="text" w:hAnchor="page" w:x="1135" w:y="285" w:anchorLock="1"/>
    </w:pPr>
    <w:rPr>
      <w:i/>
    </w:rPr>
  </w:style>
  <w:style w:type="paragraph" w:customStyle="1" w:styleId="MiniTOCTitle">
    <w:name w:val="MiniTOCTitle"/>
    <w:basedOn w:val="Heading4"/>
    <w:rsid w:val="00084A98"/>
    <w:pPr>
      <w:spacing w:before="240"/>
      <w:outlineLvl w:val="9"/>
    </w:pPr>
    <w:rPr>
      <w:noProof/>
      <w:sz w:val="24"/>
    </w:rPr>
  </w:style>
  <w:style w:type="paragraph" w:customStyle="1" w:styleId="MiniTOCItem">
    <w:name w:val="MiniTOCItem"/>
    <w:basedOn w:val="ListBullet"/>
    <w:rsid w:val="00084A98"/>
    <w:pPr>
      <w:numPr>
        <w:numId w:val="0"/>
      </w:numPr>
      <w:tabs>
        <w:tab w:val="right" w:leader="dot" w:pos="6521"/>
      </w:tabs>
      <w:spacing w:before="0" w:after="0"/>
    </w:pPr>
  </w:style>
  <w:style w:type="paragraph" w:customStyle="1" w:styleId="TOFTitle">
    <w:name w:val="TOFTitle"/>
    <w:basedOn w:val="TOCTitle"/>
    <w:rsid w:val="00084A98"/>
  </w:style>
  <w:style w:type="paragraph" w:styleId="TableofFigures">
    <w:name w:val="table of figures"/>
    <w:basedOn w:val="Normal"/>
    <w:next w:val="Normal"/>
    <w:semiHidden/>
    <w:rsid w:val="00084A98"/>
    <w:pPr>
      <w:tabs>
        <w:tab w:val="right" w:leader="dot" w:pos="9072"/>
      </w:tabs>
      <w:ind w:left="970" w:hanging="403"/>
    </w:pPr>
    <w:rPr>
      <w:rFonts w:ascii="Times New Roman" w:hAnsi="Times New Roman"/>
      <w:b/>
    </w:rPr>
  </w:style>
  <w:style w:type="paragraph" w:styleId="ListNumber">
    <w:name w:val="List Number"/>
    <w:basedOn w:val="List"/>
    <w:rsid w:val="00084A98"/>
    <w:pPr>
      <w:numPr>
        <w:numId w:val="11"/>
      </w:numPr>
    </w:pPr>
  </w:style>
  <w:style w:type="character" w:customStyle="1" w:styleId="WingdingSymbols">
    <w:name w:val="Wingding Symbols"/>
    <w:rsid w:val="00084A98"/>
    <w:rPr>
      <w:rFonts w:ascii="Wingdings" w:hAnsi="Wingdings"/>
    </w:rPr>
  </w:style>
  <w:style w:type="paragraph" w:customStyle="1" w:styleId="TableHeading">
    <w:name w:val="Table Heading"/>
    <w:basedOn w:val="HeadingBase"/>
    <w:rsid w:val="00084A98"/>
    <w:pPr>
      <w:keepLines/>
      <w:pBdr>
        <w:bottom w:val="single" w:sz="6" w:space="1" w:color="918585"/>
      </w:pBdr>
      <w:spacing w:before="240"/>
    </w:pPr>
  </w:style>
  <w:style w:type="character" w:customStyle="1" w:styleId="HotSpot">
    <w:name w:val="HotSpot"/>
    <w:rsid w:val="00084A98"/>
    <w:rPr>
      <w:color w:val="0033CC"/>
      <w:u w:val="none"/>
    </w:rPr>
  </w:style>
  <w:style w:type="paragraph" w:customStyle="1" w:styleId="BodyTextRight">
    <w:name w:val="Body Text Right"/>
    <w:basedOn w:val="BodyText"/>
    <w:rsid w:val="00084A98"/>
    <w:pPr>
      <w:spacing w:before="0" w:after="0"/>
      <w:jc w:val="right"/>
    </w:pPr>
  </w:style>
  <w:style w:type="paragraph" w:styleId="Index3">
    <w:name w:val="index 3"/>
    <w:basedOn w:val="ListNumber2"/>
    <w:next w:val="Normal"/>
    <w:semiHidden/>
    <w:rsid w:val="00084A98"/>
    <w:pPr>
      <w:numPr>
        <w:numId w:val="0"/>
      </w:numPr>
      <w:tabs>
        <w:tab w:val="right" w:leader="dot" w:pos="4176"/>
      </w:tabs>
    </w:pPr>
  </w:style>
  <w:style w:type="paragraph" w:styleId="ListNumber2">
    <w:name w:val="List Number 2"/>
    <w:basedOn w:val="List2"/>
    <w:rsid w:val="00084A98"/>
    <w:pPr>
      <w:numPr>
        <w:numId w:val="10"/>
      </w:numPr>
      <w:tabs>
        <w:tab w:val="clear" w:pos="1060"/>
      </w:tabs>
    </w:pPr>
  </w:style>
  <w:style w:type="paragraph" w:customStyle="1" w:styleId="MarginNote">
    <w:name w:val="Margin Note"/>
    <w:basedOn w:val="BodyText"/>
    <w:rsid w:val="00084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A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A98"/>
    <w:rPr>
      <w:sz w:val="32"/>
    </w:rPr>
  </w:style>
  <w:style w:type="paragraph" w:customStyle="1" w:styleId="HeadingProcedure">
    <w:name w:val="Heading Procedure"/>
    <w:basedOn w:val="HeadingBase"/>
    <w:next w:val="Normal"/>
    <w:rsid w:val="00084A98"/>
    <w:pPr>
      <w:tabs>
        <w:tab w:val="left" w:pos="0"/>
      </w:tabs>
      <w:spacing w:before="120" w:after="60"/>
    </w:pPr>
    <w:rPr>
      <w:i/>
      <w:color w:val="918585"/>
      <w:sz w:val="22"/>
    </w:rPr>
  </w:style>
  <w:style w:type="paragraph" w:customStyle="1" w:styleId="TableBodyText">
    <w:name w:val="Table Body Text"/>
    <w:basedOn w:val="BodyText"/>
    <w:rsid w:val="00084A98"/>
    <w:pPr>
      <w:spacing w:before="60" w:after="60"/>
    </w:pPr>
  </w:style>
  <w:style w:type="paragraph" w:styleId="ListContinue">
    <w:name w:val="List Continue"/>
    <w:basedOn w:val="List"/>
    <w:rsid w:val="00084A98"/>
    <w:pPr>
      <w:ind w:firstLine="0"/>
    </w:pPr>
  </w:style>
  <w:style w:type="paragraph" w:customStyle="1" w:styleId="ListNote">
    <w:name w:val="List Note"/>
    <w:basedOn w:val="List"/>
    <w:rsid w:val="00084A98"/>
    <w:pPr>
      <w:pBdr>
        <w:top w:val="single" w:sz="6" w:space="2" w:color="918585"/>
        <w:bottom w:val="single" w:sz="6" w:space="2" w:color="918585"/>
      </w:pBdr>
      <w:tabs>
        <w:tab w:val="left" w:pos="1021"/>
      </w:tabs>
      <w:ind w:firstLine="0"/>
    </w:pPr>
  </w:style>
  <w:style w:type="paragraph" w:customStyle="1" w:styleId="Warning">
    <w:name w:val="Warning"/>
    <w:basedOn w:val="BodyText"/>
    <w:rsid w:val="00084A98"/>
    <w:pPr>
      <w:shd w:val="clear" w:color="auto" w:fill="D9D9D9"/>
      <w:tabs>
        <w:tab w:val="left" w:pos="992"/>
      </w:tabs>
      <w:ind w:left="119" w:right="119"/>
    </w:pPr>
    <w:rPr>
      <w:sz w:val="20"/>
    </w:rPr>
  </w:style>
  <w:style w:type="paragraph" w:customStyle="1" w:styleId="MarginIcons">
    <w:name w:val="Margin Icons"/>
    <w:basedOn w:val="BodyText"/>
    <w:rsid w:val="00084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A98"/>
    <w:rPr>
      <w:rFonts w:ascii="Courier New" w:hAnsi="Courier New"/>
    </w:rPr>
  </w:style>
  <w:style w:type="paragraph" w:customStyle="1" w:styleId="NoteBullet">
    <w:name w:val="Note Bullet"/>
    <w:basedOn w:val="Note"/>
    <w:rsid w:val="00084A98"/>
    <w:pPr>
      <w:tabs>
        <w:tab w:val="clear" w:pos="680"/>
      </w:tabs>
      <w:spacing w:before="60" w:after="60"/>
    </w:pPr>
  </w:style>
  <w:style w:type="paragraph" w:customStyle="1" w:styleId="SubHeading2">
    <w:name w:val="SubHeading2"/>
    <w:basedOn w:val="HeadingBase"/>
    <w:rsid w:val="00084A98"/>
    <w:pPr>
      <w:spacing w:before="240" w:after="60"/>
    </w:pPr>
    <w:rPr>
      <w:sz w:val="20"/>
    </w:rPr>
  </w:style>
  <w:style w:type="paragraph" w:customStyle="1" w:styleId="SubHeading1">
    <w:name w:val="SubHeading1"/>
    <w:basedOn w:val="HeadingBase"/>
    <w:rsid w:val="00084A98"/>
    <w:pPr>
      <w:spacing w:before="240" w:after="60"/>
    </w:pPr>
    <w:rPr>
      <w:color w:val="918585"/>
      <w:sz w:val="22"/>
    </w:rPr>
  </w:style>
  <w:style w:type="paragraph" w:customStyle="1" w:styleId="SideHeading">
    <w:name w:val="Side Heading"/>
    <w:basedOn w:val="HeadingBase"/>
    <w:rsid w:val="00084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A98"/>
    <w:pPr>
      <w:numPr>
        <w:numId w:val="12"/>
      </w:numPr>
    </w:pPr>
  </w:style>
  <w:style w:type="paragraph" w:styleId="PlainText">
    <w:name w:val="Plain Text"/>
    <w:basedOn w:val="Normal"/>
    <w:link w:val="PlainTextChar"/>
    <w:rsid w:val="00084A98"/>
    <w:rPr>
      <w:sz w:val="20"/>
    </w:rPr>
  </w:style>
  <w:style w:type="character" w:customStyle="1" w:styleId="PlainTextChar">
    <w:name w:val="Plain Text Char"/>
    <w:basedOn w:val="DefaultParagraphFont"/>
    <w:link w:val="PlainText"/>
    <w:rsid w:val="00084A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A98"/>
    <w:rPr>
      <w:b/>
      <w:smallCaps/>
    </w:rPr>
  </w:style>
  <w:style w:type="paragraph" w:customStyle="1" w:styleId="TableListNumber">
    <w:name w:val="Table List Number"/>
    <w:basedOn w:val="ListNumber"/>
    <w:rsid w:val="00084A98"/>
    <w:pPr>
      <w:numPr>
        <w:numId w:val="0"/>
      </w:numPr>
    </w:pPr>
  </w:style>
  <w:style w:type="paragraph" w:styleId="TOC4">
    <w:name w:val="toc 4"/>
    <w:basedOn w:val="TOCBase"/>
    <w:next w:val="Normal"/>
    <w:semiHidden/>
    <w:rsid w:val="00084A98"/>
    <w:pPr>
      <w:tabs>
        <w:tab w:val="right" w:leader="dot" w:pos="9071"/>
      </w:tabs>
      <w:ind w:left="1701"/>
    </w:pPr>
  </w:style>
  <w:style w:type="paragraph" w:customStyle="1" w:styleId="ListAlpha">
    <w:name w:val="List Alpha"/>
    <w:basedOn w:val="List"/>
    <w:rsid w:val="00084A98"/>
    <w:pPr>
      <w:numPr>
        <w:numId w:val="9"/>
      </w:numPr>
    </w:pPr>
  </w:style>
  <w:style w:type="paragraph" w:customStyle="1" w:styleId="ListAlpha2">
    <w:name w:val="List Alpha 2"/>
    <w:basedOn w:val="List2"/>
    <w:rsid w:val="00084A98"/>
    <w:pPr>
      <w:numPr>
        <w:numId w:val="8"/>
      </w:numPr>
    </w:pPr>
  </w:style>
  <w:style w:type="paragraph" w:styleId="List3">
    <w:name w:val="List 3"/>
    <w:basedOn w:val="BodyText"/>
    <w:rsid w:val="00084A98"/>
    <w:pPr>
      <w:tabs>
        <w:tab w:val="left" w:pos="1021"/>
      </w:tabs>
      <w:spacing w:before="60" w:after="60"/>
      <w:ind w:left="1020" w:hanging="340"/>
    </w:pPr>
  </w:style>
  <w:style w:type="paragraph" w:styleId="List4">
    <w:name w:val="List 4"/>
    <w:basedOn w:val="BodyText"/>
    <w:rsid w:val="00084A98"/>
    <w:pPr>
      <w:tabs>
        <w:tab w:val="left" w:pos="1361"/>
      </w:tabs>
      <w:spacing w:before="60" w:after="60"/>
      <w:ind w:left="1361" w:hanging="340"/>
    </w:pPr>
  </w:style>
  <w:style w:type="paragraph" w:styleId="List5">
    <w:name w:val="List 5"/>
    <w:basedOn w:val="BodyText"/>
    <w:rsid w:val="00084A98"/>
    <w:pPr>
      <w:tabs>
        <w:tab w:val="left" w:pos="1701"/>
      </w:tabs>
      <w:spacing w:before="60" w:after="60"/>
      <w:ind w:left="1701" w:hanging="340"/>
    </w:pPr>
  </w:style>
  <w:style w:type="paragraph" w:styleId="ListBullet3">
    <w:name w:val="List Bullet 3"/>
    <w:basedOn w:val="List3"/>
    <w:rsid w:val="00084A98"/>
    <w:pPr>
      <w:numPr>
        <w:numId w:val="15"/>
      </w:numPr>
      <w:tabs>
        <w:tab w:val="clear" w:pos="1021"/>
      </w:tabs>
      <w:ind w:left="1037" w:hanging="357"/>
    </w:pPr>
  </w:style>
  <w:style w:type="paragraph" w:styleId="ListBullet4">
    <w:name w:val="List Bullet 4"/>
    <w:basedOn w:val="List4"/>
    <w:rsid w:val="00084A98"/>
    <w:pPr>
      <w:numPr>
        <w:numId w:val="3"/>
      </w:numPr>
    </w:pPr>
  </w:style>
  <w:style w:type="paragraph" w:styleId="ListBullet5">
    <w:name w:val="List Bullet 5"/>
    <w:basedOn w:val="List5"/>
    <w:rsid w:val="00084A98"/>
    <w:pPr>
      <w:numPr>
        <w:numId w:val="4"/>
      </w:numPr>
    </w:pPr>
  </w:style>
  <w:style w:type="paragraph" w:styleId="ListContinue2">
    <w:name w:val="List Continue 2"/>
    <w:basedOn w:val="List2"/>
    <w:rsid w:val="00084A98"/>
    <w:pPr>
      <w:ind w:firstLine="0"/>
    </w:pPr>
  </w:style>
  <w:style w:type="paragraph" w:styleId="ListContinue3">
    <w:name w:val="List Continue 3"/>
    <w:basedOn w:val="List3"/>
    <w:rsid w:val="00084A98"/>
    <w:pPr>
      <w:ind w:left="1021" w:firstLine="0"/>
    </w:pPr>
  </w:style>
  <w:style w:type="paragraph" w:styleId="ListContinue4">
    <w:name w:val="List Continue 4"/>
    <w:basedOn w:val="List4"/>
    <w:rsid w:val="00084A98"/>
    <w:pPr>
      <w:ind w:firstLine="0"/>
    </w:pPr>
  </w:style>
  <w:style w:type="paragraph" w:styleId="ListContinue5">
    <w:name w:val="List Continue 5"/>
    <w:basedOn w:val="List5"/>
    <w:rsid w:val="00084A98"/>
    <w:pPr>
      <w:ind w:firstLine="0"/>
    </w:pPr>
  </w:style>
  <w:style w:type="paragraph" w:styleId="ListNumber3">
    <w:name w:val="List Number 3"/>
    <w:basedOn w:val="List3"/>
    <w:rsid w:val="00084A98"/>
    <w:pPr>
      <w:numPr>
        <w:numId w:val="5"/>
      </w:numPr>
    </w:pPr>
  </w:style>
  <w:style w:type="paragraph" w:styleId="ListNumber4">
    <w:name w:val="List Number 4"/>
    <w:basedOn w:val="List4"/>
    <w:rsid w:val="00084A98"/>
    <w:pPr>
      <w:numPr>
        <w:numId w:val="6"/>
      </w:numPr>
    </w:pPr>
  </w:style>
  <w:style w:type="paragraph" w:styleId="ListNumber5">
    <w:name w:val="List Number 5"/>
    <w:basedOn w:val="List5"/>
    <w:rsid w:val="00084A98"/>
    <w:pPr>
      <w:numPr>
        <w:numId w:val="7"/>
      </w:numPr>
    </w:pPr>
  </w:style>
  <w:style w:type="paragraph" w:styleId="BlockText">
    <w:name w:val="Block Text"/>
    <w:basedOn w:val="Normal"/>
    <w:rsid w:val="00084A98"/>
    <w:pPr>
      <w:spacing w:after="120"/>
      <w:ind w:left="1440" w:right="1440"/>
    </w:pPr>
  </w:style>
  <w:style w:type="character" w:customStyle="1" w:styleId="Subscript">
    <w:name w:val="Subscript"/>
    <w:basedOn w:val="DefaultParagraphFont"/>
    <w:rsid w:val="00084A98"/>
    <w:rPr>
      <w:sz w:val="16"/>
      <w:vertAlign w:val="subscript"/>
    </w:rPr>
  </w:style>
  <w:style w:type="character" w:customStyle="1" w:styleId="Superscript">
    <w:name w:val="Superscript"/>
    <w:basedOn w:val="DefaultParagraphFont"/>
    <w:rsid w:val="00084A98"/>
    <w:rPr>
      <w:sz w:val="16"/>
      <w:vertAlign w:val="superscript"/>
    </w:rPr>
  </w:style>
  <w:style w:type="character" w:customStyle="1" w:styleId="Symbols">
    <w:name w:val="Symbols"/>
    <w:basedOn w:val="DefaultParagraphFont"/>
    <w:rsid w:val="00084A98"/>
    <w:rPr>
      <w:rFonts w:ascii="Symbol" w:hAnsi="Symbol"/>
    </w:rPr>
  </w:style>
  <w:style w:type="character" w:customStyle="1" w:styleId="MenuOptions">
    <w:name w:val="Menu Options"/>
    <w:basedOn w:val="DefaultParagraphFont"/>
    <w:rsid w:val="00084A98"/>
    <w:rPr>
      <w:rFonts w:ascii="Arial Narrow" w:hAnsi="Arial Narrow"/>
      <w:smallCaps/>
    </w:rPr>
  </w:style>
  <w:style w:type="character" w:customStyle="1" w:styleId="Buttons">
    <w:name w:val="Buttons"/>
    <w:basedOn w:val="DefaultParagraphFont"/>
    <w:rsid w:val="00084A98"/>
    <w:rPr>
      <w:b/>
    </w:rPr>
  </w:style>
  <w:style w:type="character" w:customStyle="1" w:styleId="Underlined">
    <w:name w:val="Underlined"/>
    <w:basedOn w:val="DefaultParagraphFont"/>
    <w:rsid w:val="00084A98"/>
    <w:rPr>
      <w:u w:val="single"/>
    </w:rPr>
  </w:style>
  <w:style w:type="paragraph" w:customStyle="1" w:styleId="TableBodyTextRight">
    <w:name w:val="Table Body Text Right"/>
    <w:basedOn w:val="TableBodyText"/>
    <w:rsid w:val="00084A98"/>
    <w:pPr>
      <w:widowControl w:val="0"/>
      <w:autoSpaceDE w:val="0"/>
      <w:autoSpaceDN w:val="0"/>
      <w:adjustRightInd w:val="0"/>
      <w:jc w:val="right"/>
    </w:pPr>
    <w:rPr>
      <w:rFonts w:cs="Arial"/>
      <w:szCs w:val="18"/>
    </w:rPr>
  </w:style>
  <w:style w:type="paragraph" w:customStyle="1" w:styleId="CopyrightText">
    <w:name w:val="Copyright Text"/>
    <w:basedOn w:val="BodyText"/>
    <w:rsid w:val="00084A98"/>
    <w:rPr>
      <w:sz w:val="18"/>
    </w:rPr>
  </w:style>
  <w:style w:type="paragraph" w:customStyle="1" w:styleId="BodySmallRight">
    <w:name w:val="Body Small Right"/>
    <w:basedOn w:val="BodyTextRight"/>
    <w:rsid w:val="00084A98"/>
    <w:rPr>
      <w:sz w:val="18"/>
      <w:szCs w:val="18"/>
    </w:rPr>
  </w:style>
  <w:style w:type="paragraph" w:customStyle="1" w:styleId="MarginEdition">
    <w:name w:val="Margin Edition"/>
    <w:basedOn w:val="MarginNote"/>
    <w:rsid w:val="00084A98"/>
    <w:pPr>
      <w:spacing w:before="0" w:after="0"/>
    </w:pPr>
    <w:rPr>
      <w:rFonts w:ascii="Times New Roman" w:hAnsi="Times New Roman"/>
      <w:color w:val="999999"/>
    </w:rPr>
  </w:style>
  <w:style w:type="paragraph" w:customStyle="1" w:styleId="Spacer">
    <w:name w:val="Spacer"/>
    <w:basedOn w:val="Normal"/>
    <w:rsid w:val="00084A98"/>
    <w:rPr>
      <w:sz w:val="2"/>
      <w:szCs w:val="2"/>
    </w:rPr>
  </w:style>
  <w:style w:type="character" w:customStyle="1" w:styleId="Small">
    <w:name w:val="Small"/>
    <w:basedOn w:val="DefaultParagraphFont"/>
    <w:rsid w:val="00084A98"/>
    <w:rPr>
      <w:sz w:val="16"/>
    </w:rPr>
  </w:style>
  <w:style w:type="paragraph" w:customStyle="1" w:styleId="WideTable">
    <w:name w:val="Wide Table"/>
    <w:basedOn w:val="Normal"/>
    <w:rsid w:val="00084A98"/>
    <w:pPr>
      <w:ind w:left="-1418"/>
    </w:pPr>
    <w:rPr>
      <w:sz w:val="2"/>
      <w:szCs w:val="2"/>
    </w:rPr>
  </w:style>
  <w:style w:type="character" w:styleId="PageNumber">
    <w:name w:val="page number"/>
    <w:basedOn w:val="DefaultParagraphFont"/>
    <w:rsid w:val="00084A98"/>
  </w:style>
  <w:style w:type="paragraph" w:styleId="Quote">
    <w:name w:val="Quote"/>
    <w:basedOn w:val="Heading1"/>
    <w:link w:val="QuoteChar"/>
    <w:qFormat/>
    <w:rsid w:val="00084A98"/>
    <w:rPr>
      <w:b w:val="0"/>
      <w:sz w:val="72"/>
      <w:szCs w:val="72"/>
      <w:lang w:val="en-NZ"/>
    </w:rPr>
  </w:style>
  <w:style w:type="character" w:customStyle="1" w:styleId="QuoteChar">
    <w:name w:val="Quote Char"/>
    <w:basedOn w:val="DefaultParagraphFont"/>
    <w:link w:val="Quote"/>
    <w:rsid w:val="00084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A98"/>
    <w:pPr>
      <w:pageBreakBefore/>
    </w:pPr>
  </w:style>
  <w:style w:type="paragraph" w:customStyle="1" w:styleId="Border">
    <w:name w:val="Border"/>
    <w:basedOn w:val="Normal"/>
    <w:qFormat/>
    <w:rsid w:val="00084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A98"/>
    <w:rPr>
      <w:b/>
      <w:bCs/>
      <w:i/>
      <w:iCs/>
      <w:color w:val="auto"/>
    </w:rPr>
  </w:style>
  <w:style w:type="paragraph" w:styleId="IntenseQuote">
    <w:name w:val="Intense Quote"/>
    <w:basedOn w:val="Normal"/>
    <w:next w:val="Normal"/>
    <w:link w:val="IntenseQuoteChar"/>
    <w:uiPriority w:val="30"/>
    <w:qFormat/>
    <w:rsid w:val="00084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A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A98"/>
    <w:rPr>
      <w:smallCaps/>
      <w:color w:val="auto"/>
      <w:u w:val="single"/>
    </w:rPr>
  </w:style>
  <w:style w:type="character" w:styleId="IntenseReference">
    <w:name w:val="Intense Reference"/>
    <w:basedOn w:val="DefaultParagraphFont"/>
    <w:uiPriority w:val="32"/>
    <w:qFormat/>
    <w:rsid w:val="00084A98"/>
    <w:rPr>
      <w:b/>
      <w:bCs/>
      <w:smallCaps/>
      <w:color w:val="auto"/>
      <w:spacing w:val="5"/>
      <w:u w:val="single"/>
    </w:rPr>
  </w:style>
  <w:style w:type="paragraph" w:customStyle="1" w:styleId="2ColumnHeading">
    <w:name w:val="2Column Heading"/>
    <w:basedOn w:val="BodyText"/>
    <w:qFormat/>
    <w:rsid w:val="00084A98"/>
    <w:pPr>
      <w:spacing w:after="60"/>
      <w:ind w:left="-2268"/>
    </w:pPr>
    <w:rPr>
      <w:b/>
    </w:rPr>
  </w:style>
  <w:style w:type="paragraph" w:customStyle="1" w:styleId="Heading1TOC">
    <w:name w:val="Heading1 TOC"/>
    <w:basedOn w:val="Normal"/>
    <w:qFormat/>
    <w:rsid w:val="00084A98"/>
    <w:pPr>
      <w:spacing w:before="240" w:after="120"/>
    </w:pPr>
    <w:rPr>
      <w:rFonts w:ascii="Times New Roman" w:hAnsi="Times New Roman"/>
      <w:b/>
      <w:sz w:val="32"/>
    </w:rPr>
  </w:style>
  <w:style w:type="paragraph" w:customStyle="1" w:styleId="Heading2TOC">
    <w:name w:val="Heading2 TOC"/>
    <w:basedOn w:val="Normal"/>
    <w:qFormat/>
    <w:rsid w:val="00084A98"/>
    <w:pPr>
      <w:spacing w:before="240" w:after="60"/>
    </w:pPr>
    <w:rPr>
      <w:rFonts w:ascii="Times New Roman" w:hAnsi="Times New Roman"/>
      <w:b/>
      <w:sz w:val="28"/>
    </w:rPr>
  </w:style>
  <w:style w:type="character" w:customStyle="1" w:styleId="Underline">
    <w:name w:val="Underline"/>
    <w:basedOn w:val="DefaultParagraphFont"/>
    <w:qFormat/>
    <w:rsid w:val="00084A98"/>
    <w:rPr>
      <w:u w:val="single"/>
    </w:rPr>
  </w:style>
  <w:style w:type="paragraph" w:styleId="BalloonText">
    <w:name w:val="Balloon Text"/>
    <w:basedOn w:val="Normal"/>
    <w:link w:val="BalloonTextChar"/>
    <w:rsid w:val="00084A98"/>
    <w:rPr>
      <w:rFonts w:ascii="Tahoma" w:hAnsi="Tahoma" w:cs="Tahoma"/>
      <w:sz w:val="16"/>
      <w:szCs w:val="16"/>
    </w:rPr>
  </w:style>
  <w:style w:type="character" w:customStyle="1" w:styleId="BalloonTextChar">
    <w:name w:val="Balloon Text Char"/>
    <w:basedOn w:val="DefaultParagraphFont"/>
    <w:link w:val="BalloonText"/>
    <w:rsid w:val="00084A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A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A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1127</Words>
  <Characters>7238</Characters>
  <Application>Microsoft Office Word</Application>
  <DocSecurity>0</DocSecurity>
  <Lines>276</Lines>
  <Paragraphs>152</Paragraphs>
  <ScaleCrop>false</ScaleCrop>
  <Company>Author-it Software Corporation Ltd.</Company>
  <LinksUpToDate>false</LinksUpToDate>
  <CharactersWithSpaces>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FNSISV401A Evaluate risk for new business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