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325B5" w:rsidP="009325B5">
      <w:pPr>
        <w:pStyle w:val="Title"/>
      </w:pPr>
      <w:r>
        <w:fldChar w:fldCharType="begin"/>
      </w:r>
      <w:r>
        <w:instrText xml:space="preserve"> TITLE   \* MERGEFORMAT </w:instrText>
      </w:r>
      <w:r>
        <w:fldChar w:fldCharType="separate"/>
      </w:r>
      <w:r>
        <w:t>FNSISV301A Evaluate risk for renewal business</w:t>
      </w:r>
      <w:r>
        <w:fldChar w:fldCharType="end"/>
      </w:r>
    </w:p>
    <w:p w:rsidR="009325B5" w:rsidP="009325B5">
      <w:pPr>
        <w:pStyle w:val="Version"/>
        <w:sectPr w:rsidSect="000E1F2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0E1F2F" w:rsidP="000E1F2F">
      <w:pPr>
        <w:pStyle w:val="SuperHeading"/>
      </w:pPr>
      <w:r w:rsidRPr="000E1F2F">
        <w:t>FNSISV301A Evaluate risk for renewal business</w:t>
      </w:r>
    </w:p>
    <w:p w:rsidR="00000000" w:rsidRPr="000E1F2F" w:rsidP="000E1F2F">
      <w:pPr>
        <w:pStyle w:val="SuperHeading"/>
      </w:pPr>
    </w:p>
    <w:p w:rsidR="00000000" w:rsidRPr="000E1F2F" w:rsidP="000E1F2F">
      <w:pPr>
        <w:pStyle w:val="Heading1"/>
      </w:pPr>
      <w:bookmarkStart w:id="1" w:name="O_79359"/>
      <w:bookmarkEnd w:id="1"/>
      <w:r w:rsidRPr="000E1F2F">
        <w:t>Modification History</w:t>
      </w:r>
    </w:p>
    <w:p w:rsidR="00000000" w:rsidRPr="000E1F2F" w:rsidP="000E1F2F">
      <w:pPr>
        <w:pStyle w:val="BodyText"/>
      </w:pPr>
      <w:r w:rsidRPr="000E1F2F">
        <w:t>Not applicable.</w:t>
      </w:r>
    </w:p>
    <w:p w:rsidR="00000000" w:rsidRPr="000E1F2F" w:rsidP="000E1F2F">
      <w:pPr>
        <w:pStyle w:val="AllowPageBreak"/>
      </w:pPr>
    </w:p>
    <w:p w:rsidR="00000000" w:rsidRPr="000E1F2F" w:rsidP="000E1F2F">
      <w:pPr>
        <w:pStyle w:val="Heading1"/>
      </w:pPr>
      <w:bookmarkStart w:id="2" w:name="O_79360"/>
      <w:bookmarkEnd w:id="2"/>
      <w:r w:rsidRPr="000E1F2F">
        <w:t>Unit Descriptor</w:t>
      </w:r>
    </w:p>
    <w:tbl>
      <w:tblPr>
        <w:tblW w:w="0" w:type="auto"/>
        <w:tblLayout w:type="fixed"/>
        <w:tblCellMar>
          <w:left w:w="62" w:type="dxa"/>
          <w:right w:w="62" w:type="dxa"/>
        </w:tblCellMar>
        <w:tblLook w:val="0000"/>
      </w:tblPr>
      <w:tblGrid>
        <w:gridCol w:w="2647"/>
        <w:gridCol w:w="5875"/>
      </w:tblGrid>
      <w:tr w:rsidTr="009325B5">
        <w:tblPrEx>
          <w:tblW w:w="0" w:type="auto"/>
          <w:tblLayout w:type="fixed"/>
          <w:tblCellMar>
            <w:left w:w="62" w:type="dxa"/>
            <w:right w:w="62" w:type="dxa"/>
          </w:tblCellMar>
          <w:tblLook w:val="0000"/>
        </w:tblPrEx>
        <w:tc>
          <w:tcPr>
            <w:tcW w:w="26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1F2F">
            <w:pPr>
              <w:pStyle w:val="BodyText"/>
              <w:rPr>
                <w:lang w:val="en-NZ"/>
              </w:rPr>
            </w:pPr>
            <w:r w:rsidRPr="000E1F2F">
              <w:rPr>
                <w:rStyle w:val="SpecialBold"/>
              </w:rPr>
              <w:t>Unit descriptor</w:t>
            </w:r>
          </w:p>
        </w:tc>
        <w:tc>
          <w:tcPr>
            <w:tcW w:w="58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E1F2F" w:rsidP="000E1F2F">
            <w:pPr>
              <w:pStyle w:val="BodyText"/>
            </w:pPr>
            <w:r w:rsidRPr="000E1F2F">
              <w:t>This unit describes the performance outcomes, skills and knowledge required to evaluate the risk for renewa</w:t>
            </w:r>
            <w:r w:rsidRPr="000E1F2F">
              <w:t>l business including gathering the risk information, and reviewing and assessing it against appropriate risk criteria such as underwriting risk.</w:t>
            </w:r>
          </w:p>
          <w:p w:rsidR="00000000" w:rsidRPr="000E1F2F" w:rsidP="000E1F2F">
            <w:pPr>
              <w:pStyle w:val="BodyText"/>
            </w:pPr>
          </w:p>
          <w:p w:rsidR="00000000" w:rsidRPr="000E1F2F" w:rsidP="000E1F2F">
            <w:pPr>
              <w:pStyle w:val="BodyText"/>
            </w:pPr>
            <w:r w:rsidRPr="000E1F2F">
              <w:t>This unit applies to insurance broking roles and may be applied within organisations of various sizes and acro</w:t>
            </w:r>
            <w:r w:rsidRPr="000E1F2F">
              <w:t>ss a range of customer bases.</w:t>
            </w:r>
          </w:p>
          <w:p w:rsidR="00000000" w:rsidRPr="000E1F2F" w:rsidP="000E1F2F">
            <w:pPr>
              <w:pStyle w:val="BodyText"/>
            </w:pPr>
          </w:p>
          <w:p w:rsidR="00000000" w:rsidRPr="000E1F2F" w:rsidP="000E1F2F">
            <w:pPr>
              <w:pStyle w:val="BodyText"/>
            </w:pPr>
            <w:r w:rsidRPr="000E1F2F">
              <w:t>This unit is applicable to individuals working within enterprises and job roles subject to licensing, legislative, regulatory or certification requirements including legislation administered by the Australian Securities and Investments Commission (ASIC).</w:t>
            </w:r>
          </w:p>
        </w:tc>
      </w:tr>
    </w:tbl>
    <w:p w:rsidR="00000000" w:rsidRPr="000E1F2F" w:rsidP="000E1F2F">
      <w:pPr>
        <w:pStyle w:val="BodyText"/>
      </w:pPr>
    </w:p>
    <w:p w:rsidR="00000000" w:rsidRPr="000E1F2F" w:rsidP="000E1F2F">
      <w:pPr>
        <w:pStyle w:val="AllowPageBreak"/>
      </w:pPr>
    </w:p>
    <w:p w:rsidR="00000000" w:rsidRPr="000E1F2F" w:rsidP="000E1F2F">
      <w:pPr>
        <w:pStyle w:val="Heading1"/>
      </w:pPr>
      <w:bookmarkStart w:id="3" w:name="O_79361"/>
      <w:bookmarkEnd w:id="3"/>
      <w:r w:rsidRPr="000E1F2F">
        <w:t>Application of the Unit</w:t>
      </w:r>
    </w:p>
    <w:tbl>
      <w:tblPr>
        <w:tblW w:w="0" w:type="auto"/>
        <w:tblLayout w:type="fixed"/>
        <w:tblCellMar>
          <w:left w:w="62" w:type="dxa"/>
          <w:right w:w="62" w:type="dxa"/>
        </w:tblCellMar>
        <w:tblLook w:val="0000"/>
      </w:tblPr>
      <w:tblGrid>
        <w:gridCol w:w="2721"/>
        <w:gridCol w:w="5801"/>
      </w:tblGrid>
      <w:tr w:rsidTr="009325B5">
        <w:tblPrEx>
          <w:tblW w:w="0" w:type="auto"/>
          <w:tblLayout w:type="fixed"/>
          <w:tblCellMar>
            <w:left w:w="62" w:type="dxa"/>
            <w:right w:w="62" w:type="dxa"/>
          </w:tblCellMar>
          <w:tblLook w:val="0000"/>
        </w:tblPrEx>
        <w:trPr>
          <w:tblHeader/>
        </w:trPr>
        <w:tc>
          <w:tcPr>
            <w:tcW w:w="27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1F2F">
            <w:pPr>
              <w:pStyle w:val="BodyText"/>
              <w:rPr>
                <w:lang w:val="en-NZ"/>
              </w:rPr>
            </w:pPr>
            <w:r w:rsidRPr="000E1F2F">
              <w:rPr>
                <w:rStyle w:val="SpecialBold"/>
              </w:rPr>
              <w:t>Application of the unit</w:t>
            </w:r>
          </w:p>
        </w:tc>
        <w:tc>
          <w:tcPr>
            <w:tcW w:w="58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E1F2F" w:rsidP="000E1F2F">
            <w:pPr>
              <w:pStyle w:val="BodyText"/>
            </w:pPr>
            <w:r w:rsidRPr="000E1F2F">
              <w:t>This unit applies to job roles in a range of insurance sectors and may be applied within organisations of various sizes and across a range of customer bases.</w:t>
            </w:r>
          </w:p>
        </w:tc>
      </w:tr>
    </w:tbl>
    <w:p w:rsidR="00000000" w:rsidRPr="000E1F2F" w:rsidP="000E1F2F">
      <w:pPr>
        <w:pStyle w:val="BodyText"/>
      </w:pPr>
    </w:p>
    <w:p w:rsidR="00000000" w:rsidRPr="000E1F2F" w:rsidP="000E1F2F">
      <w:pPr>
        <w:pStyle w:val="AllowPageBreak"/>
      </w:pPr>
    </w:p>
    <w:p w:rsidR="00000000" w:rsidRPr="000E1F2F" w:rsidP="000E1F2F">
      <w:pPr>
        <w:pStyle w:val="Heading1"/>
      </w:pPr>
      <w:bookmarkStart w:id="4" w:name="O_79362"/>
      <w:bookmarkEnd w:id="4"/>
      <w:r w:rsidRPr="000E1F2F">
        <w:t>Licensing/Regulat</w:t>
      </w:r>
      <w:r w:rsidRPr="000E1F2F">
        <w:t>ory Information</w:t>
      </w:r>
    </w:p>
    <w:p w:rsidR="00000000" w:rsidRPr="000E1F2F" w:rsidP="000E1F2F">
      <w:pPr>
        <w:pStyle w:val="BodyText"/>
      </w:pPr>
      <w:r w:rsidRPr="000E1F2F">
        <w:t>Not applicable.</w:t>
      </w:r>
    </w:p>
    <w:p w:rsidR="00000000" w:rsidRPr="000E1F2F" w:rsidP="000E1F2F">
      <w:pPr>
        <w:pStyle w:val="AllowPageBreak"/>
      </w:pPr>
    </w:p>
    <w:p w:rsidR="00000000" w:rsidRPr="000E1F2F" w:rsidP="000E1F2F">
      <w:pPr>
        <w:pStyle w:val="Heading1"/>
      </w:pPr>
      <w:bookmarkStart w:id="5" w:name="O_79364"/>
      <w:bookmarkEnd w:id="5"/>
      <w:r w:rsidRPr="000E1F2F">
        <w:t>Pre-Requisites</w:t>
      </w:r>
    </w:p>
    <w:tbl>
      <w:tblPr>
        <w:tblW w:w="0" w:type="auto"/>
        <w:tblLayout w:type="fixed"/>
        <w:tblCellMar>
          <w:left w:w="62" w:type="dxa"/>
          <w:right w:w="62" w:type="dxa"/>
        </w:tblCellMar>
        <w:tblLook w:val="0000"/>
      </w:tblPr>
      <w:tblGrid>
        <w:gridCol w:w="2745"/>
        <w:gridCol w:w="1301"/>
        <w:gridCol w:w="4476"/>
      </w:tblGrid>
      <w:tr w:rsidTr="009325B5">
        <w:tblPrEx>
          <w:tblW w:w="0" w:type="auto"/>
          <w:tblLayout w:type="fixed"/>
          <w:tblCellMar>
            <w:left w:w="62" w:type="dxa"/>
            <w:right w:w="62" w:type="dxa"/>
          </w:tblCellMar>
          <w:tblLook w:val="0000"/>
        </w:tblPrEx>
        <w:trPr>
          <w:tblHeader/>
        </w:trPr>
        <w:tc>
          <w:tcPr>
            <w:tcW w:w="2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1F2F">
            <w:pPr>
              <w:pStyle w:val="BodyText"/>
              <w:rPr>
                <w:lang w:val="en-NZ"/>
              </w:rPr>
            </w:pPr>
            <w:r w:rsidRPr="000E1F2F">
              <w:rPr>
                <w:rStyle w:val="SpecialBold"/>
              </w:rPr>
              <w:t>Prerequisite units</w:t>
            </w:r>
          </w:p>
        </w:tc>
        <w:tc>
          <w:tcPr>
            <w:tcW w:w="577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1F2F">
            <w:pPr>
              <w:pStyle w:val="BodyText"/>
              <w:rPr>
                <w:lang w:val="en-NZ"/>
              </w:rPr>
            </w:pPr>
          </w:p>
        </w:tc>
      </w:tr>
      <w:tr w:rsidTr="009325B5">
        <w:tblPrEx>
          <w:tblW w:w="0" w:type="auto"/>
          <w:tblLayout w:type="fixed"/>
          <w:tblCellMar>
            <w:left w:w="62" w:type="dxa"/>
            <w:right w:w="62" w:type="dxa"/>
          </w:tblCellMar>
          <w:tblLook w:val="0000"/>
        </w:tblPrEx>
        <w:tc>
          <w:tcPr>
            <w:tcW w:w="2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1F2F">
            <w:pPr>
              <w:pStyle w:val="BodyText"/>
              <w:rPr>
                <w:lang w:val="en-NZ"/>
              </w:rPr>
            </w:pPr>
          </w:p>
        </w:tc>
      </w:tr>
      <w:tr w:rsidTr="009325B5">
        <w:tblPrEx>
          <w:tblW w:w="0" w:type="auto"/>
          <w:tblLayout w:type="fixed"/>
          <w:tblCellMar>
            <w:left w:w="62" w:type="dxa"/>
            <w:right w:w="62" w:type="dxa"/>
          </w:tblCellMar>
          <w:tblLook w:val="0000"/>
        </w:tblPrEx>
        <w:tc>
          <w:tcPr>
            <w:tcW w:w="2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E1F2F" w:rsidP="000E1F2F">
            <w:pPr>
              <w:pStyle w:val="BodyText"/>
            </w:pPr>
          </w:p>
        </w:tc>
      </w:tr>
    </w:tbl>
    <w:p w:rsidR="00000000" w:rsidRPr="000E1F2F" w:rsidP="000E1F2F">
      <w:pPr>
        <w:pStyle w:val="BodyText"/>
      </w:pPr>
    </w:p>
    <w:p w:rsidR="00000000" w:rsidRPr="000E1F2F" w:rsidP="000E1F2F">
      <w:pPr>
        <w:pStyle w:val="AllowPageBreak"/>
      </w:pPr>
    </w:p>
    <w:p w:rsidR="00000000" w:rsidRPr="000E1F2F" w:rsidP="000E1F2F">
      <w:pPr>
        <w:pStyle w:val="Heading1"/>
      </w:pPr>
      <w:bookmarkStart w:id="6" w:name="O_79363"/>
      <w:bookmarkEnd w:id="6"/>
      <w:r w:rsidRPr="000E1F2F">
        <w:t>Employability Skills Information</w:t>
      </w:r>
    </w:p>
    <w:tbl>
      <w:tblPr>
        <w:tblW w:w="0" w:type="auto"/>
        <w:tblLayout w:type="fixed"/>
        <w:tblCellMar>
          <w:left w:w="62" w:type="dxa"/>
          <w:right w:w="62" w:type="dxa"/>
        </w:tblCellMar>
        <w:tblLook w:val="0000"/>
      </w:tblPr>
      <w:tblGrid>
        <w:gridCol w:w="2762"/>
        <w:gridCol w:w="5760"/>
      </w:tblGrid>
      <w:tr w:rsidTr="009325B5">
        <w:tblPrEx>
          <w:tblW w:w="0" w:type="auto"/>
          <w:tblLayout w:type="fixed"/>
          <w:tblCellMar>
            <w:left w:w="62" w:type="dxa"/>
            <w:right w:w="62" w:type="dxa"/>
          </w:tblCellMar>
          <w:tblLook w:val="0000"/>
        </w:tblPrEx>
        <w:trPr>
          <w:tblHeader/>
        </w:trPr>
        <w:tc>
          <w:tcPr>
            <w:tcW w:w="2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1F2F">
            <w:pPr>
              <w:pStyle w:val="BodyText"/>
              <w:rPr>
                <w:lang w:val="en-NZ"/>
              </w:rPr>
            </w:pPr>
            <w:r w:rsidRPr="000E1F2F">
              <w:rPr>
                <w:rStyle w:val="SpecialBold"/>
              </w:rPr>
              <w:t>Employability skills</w:t>
            </w:r>
          </w:p>
        </w:tc>
        <w:tc>
          <w:tcPr>
            <w:tcW w:w="57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E1F2F" w:rsidP="000E1F2F">
            <w:pPr>
              <w:pStyle w:val="BodyText"/>
            </w:pPr>
            <w:r w:rsidRPr="000E1F2F">
              <w:t>This unit contains employability skills.</w:t>
            </w:r>
          </w:p>
        </w:tc>
      </w:tr>
    </w:tbl>
    <w:p w:rsidR="00000000" w:rsidRPr="000E1F2F" w:rsidP="000E1F2F">
      <w:pPr>
        <w:pStyle w:val="BodyText"/>
      </w:pPr>
    </w:p>
    <w:p w:rsidR="00000000" w:rsidRPr="000E1F2F" w:rsidP="000E1F2F">
      <w:pPr>
        <w:pStyle w:val="AllowPageBreak"/>
      </w:pPr>
    </w:p>
    <w:p w:rsidR="00000000" w:rsidRPr="000E1F2F" w:rsidP="000E1F2F">
      <w:pPr>
        <w:pStyle w:val="Heading1"/>
      </w:pPr>
      <w:bookmarkStart w:id="7" w:name="O_79365"/>
      <w:bookmarkEnd w:id="7"/>
      <w:r w:rsidRPr="000E1F2F">
        <w:t>Elements and Performance Criteria Pre-Content</w:t>
      </w:r>
    </w:p>
    <w:tbl>
      <w:tblPr>
        <w:tblW w:w="0" w:type="auto"/>
        <w:tblLayout w:type="fixed"/>
        <w:tblCellMar>
          <w:left w:w="62" w:type="dxa"/>
          <w:right w:w="62" w:type="dxa"/>
        </w:tblCellMar>
        <w:tblLook w:val="0000"/>
      </w:tblPr>
      <w:tblGrid>
        <w:gridCol w:w="2518"/>
        <w:gridCol w:w="6004"/>
      </w:tblGrid>
      <w:tr w:rsidTr="009325B5">
        <w:tblPrEx>
          <w:tblW w:w="0" w:type="auto"/>
          <w:tblLayout w:type="fixed"/>
          <w:tblCellMar>
            <w:left w:w="62" w:type="dxa"/>
            <w:right w:w="62" w:type="dxa"/>
          </w:tblCellMar>
          <w:tblLook w:val="0000"/>
        </w:tblPrEx>
        <w:tc>
          <w:tcPr>
            <w:tcW w:w="25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1F2F">
            <w:pPr>
              <w:pStyle w:val="BodyText"/>
              <w:rPr>
                <w:lang w:val="en-NZ"/>
              </w:rPr>
            </w:pPr>
            <w:r w:rsidRPr="000E1F2F">
              <w:t>Elements describe the essential outcomes of a unit of competency.</w:t>
            </w:r>
          </w:p>
        </w:tc>
        <w:tc>
          <w:tcPr>
            <w:tcW w:w="60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E1F2F" w:rsidP="000E1F2F">
            <w:pPr>
              <w:pStyle w:val="BodyText"/>
            </w:pPr>
            <w:r w:rsidRPr="000E1F2F">
              <w:t>Performance criteria describe the performance needed to demonstrate achievement of the element. Where bold italicised text is used, further info</w:t>
            </w:r>
            <w:r w:rsidRPr="000E1F2F">
              <w:t>rmation is detailed in the required skills and knowledge section and the range statement. Assessment of performance is to be consistent with the evidence guide.</w:t>
            </w:r>
          </w:p>
        </w:tc>
      </w:tr>
    </w:tbl>
    <w:p w:rsidR="00000000" w:rsidRPr="000E1F2F" w:rsidP="000E1F2F">
      <w:pPr>
        <w:pStyle w:val="BodyText"/>
      </w:pPr>
    </w:p>
    <w:p w:rsidR="00000000" w:rsidRPr="000E1F2F" w:rsidP="000E1F2F">
      <w:pPr>
        <w:pStyle w:val="AllowPageBreak"/>
      </w:pPr>
    </w:p>
    <w:p w:rsidR="00000000" w:rsidRPr="000E1F2F" w:rsidP="000E1F2F">
      <w:pPr>
        <w:pStyle w:val="Heading1"/>
      </w:pPr>
      <w:bookmarkStart w:id="8" w:name="O_79366"/>
      <w:bookmarkEnd w:id="8"/>
      <w:r w:rsidRPr="000E1F2F">
        <w:t>Elements and Performance Criteria</w:t>
      </w:r>
    </w:p>
    <w:tbl>
      <w:tblPr>
        <w:tblW w:w="0" w:type="auto"/>
        <w:tblLayout w:type="fixed"/>
        <w:tblCellMar>
          <w:left w:w="62" w:type="dxa"/>
          <w:right w:w="62" w:type="dxa"/>
        </w:tblCellMar>
        <w:tblLook w:val="0000"/>
      </w:tblPr>
      <w:tblGrid>
        <w:gridCol w:w="2518"/>
        <w:gridCol w:w="6004"/>
      </w:tblGrid>
      <w:tr w:rsidTr="009325B5">
        <w:tblPrEx>
          <w:tblW w:w="0" w:type="auto"/>
          <w:tblLayout w:type="fixed"/>
          <w:tblCellMar>
            <w:left w:w="62" w:type="dxa"/>
            <w:right w:w="62" w:type="dxa"/>
          </w:tblCellMar>
          <w:tblLook w:val="0000"/>
        </w:tblPrEx>
        <w:trPr>
          <w:tblHeader/>
        </w:trPr>
        <w:tc>
          <w:tcPr>
            <w:tcW w:w="25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E1F2F" w:rsidP="000E1F2F">
            <w:pPr>
              <w:pStyle w:val="BodyText"/>
            </w:pPr>
            <w:r w:rsidRPr="000E1F2F">
              <w:rPr>
                <w:rStyle w:val="SpecialBold"/>
              </w:rPr>
              <w:t>ELEMENT</w:t>
            </w:r>
          </w:p>
        </w:tc>
        <w:tc>
          <w:tcPr>
            <w:tcW w:w="60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1F2F">
            <w:pPr>
              <w:pStyle w:val="BodyText"/>
              <w:rPr>
                <w:lang w:val="en-NZ"/>
              </w:rPr>
            </w:pPr>
            <w:r w:rsidRPr="000E1F2F">
              <w:rPr>
                <w:rStyle w:val="SpecialBold"/>
              </w:rPr>
              <w:t>PERFORMANCE CRITERIA</w:t>
            </w:r>
          </w:p>
        </w:tc>
      </w:tr>
      <w:tr w:rsidTr="009325B5">
        <w:tblPrEx>
          <w:tblW w:w="0" w:type="auto"/>
          <w:tblLayout w:type="fixed"/>
          <w:tblCellMar>
            <w:left w:w="62" w:type="dxa"/>
            <w:right w:w="62" w:type="dxa"/>
          </w:tblCellMar>
          <w:tblLook w:val="0000"/>
        </w:tblPrEx>
        <w:tc>
          <w:tcPr>
            <w:tcW w:w="25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1F2F">
            <w:pPr>
              <w:pStyle w:val="List"/>
              <w:rPr>
                <w:lang w:val="en-NZ"/>
              </w:rPr>
            </w:pPr>
            <w:r w:rsidRPr="000E1F2F">
              <w:t>1.</w:t>
            </w:r>
            <w:r w:rsidRPr="000E1F2F">
              <w:tab/>
            </w:r>
            <w:r w:rsidRPr="000E1F2F">
              <w:t>Obtain information on risk</w:t>
            </w:r>
          </w:p>
        </w:tc>
        <w:tc>
          <w:tcPr>
            <w:tcW w:w="60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E1F2F" w:rsidP="000E1F2F">
            <w:pPr>
              <w:pStyle w:val="List2"/>
            </w:pPr>
            <w:r w:rsidRPr="000E1F2F">
              <w:t>1.1.</w:t>
            </w:r>
            <w:r w:rsidRPr="000E1F2F">
              <w:tab/>
              <w:t>Information is gathered in accordance with organisation guidelines on risk changes since prior acceptance, if required</w:t>
            </w:r>
          </w:p>
          <w:p w:rsidR="00000000" w:rsidRPr="000E1F2F" w:rsidP="000E1F2F">
            <w:pPr>
              <w:pStyle w:val="List2"/>
            </w:pPr>
            <w:r w:rsidRPr="000E1F2F">
              <w:t>1.2.</w:t>
            </w:r>
            <w:r w:rsidRPr="000E1F2F">
              <w:tab/>
              <w:t>Any claims on risk are identified</w:t>
            </w:r>
          </w:p>
          <w:p w:rsidR="00000000" w:rsidRPr="000E1F2F" w:rsidP="000E1F2F">
            <w:pPr>
              <w:pStyle w:val="List2"/>
            </w:pPr>
            <w:r w:rsidRPr="000E1F2F">
              <w:t>1.3.</w:t>
            </w:r>
            <w:r w:rsidRPr="000E1F2F">
              <w:tab/>
              <w:t xml:space="preserve">Information is gathered on </w:t>
            </w:r>
            <w:r w:rsidRPr="000E1F2F">
              <w:rPr>
                <w:rStyle w:val="BoldandItalics"/>
              </w:rPr>
              <w:t>client history</w:t>
            </w:r>
            <w:r w:rsidRPr="000E1F2F">
              <w:t xml:space="preserve"> if applicable</w:t>
            </w:r>
          </w:p>
          <w:p w:rsidR="00000000" w:rsidRPr="000E1F2F" w:rsidP="000E1F2F">
            <w:pPr>
              <w:pStyle w:val="List2"/>
            </w:pPr>
            <w:r w:rsidRPr="000E1F2F">
              <w:t>1.4.</w:t>
            </w:r>
            <w:r w:rsidRPr="000E1F2F">
              <w:tab/>
            </w:r>
            <w:r w:rsidRPr="000E1F2F">
              <w:t>Surveys/</w:t>
            </w:r>
            <w:r w:rsidRPr="000E1F2F">
              <w:rPr>
                <w:rStyle w:val="BoldandItalics"/>
              </w:rPr>
              <w:t>reports</w:t>
            </w:r>
            <w:r w:rsidRPr="000E1F2F">
              <w:t xml:space="preserve"> are commissioned if applicable to risk</w:t>
            </w:r>
          </w:p>
          <w:p w:rsidR="00000000" w:rsidRPr="000E1F2F" w:rsidP="000E1F2F">
            <w:pPr>
              <w:pStyle w:val="List2"/>
            </w:pPr>
            <w:r w:rsidRPr="000E1F2F">
              <w:t>1.5.</w:t>
            </w:r>
            <w:r w:rsidRPr="000E1F2F">
              <w:tab/>
              <w:t>Exception reporting is utilised if applicable</w:t>
            </w:r>
          </w:p>
          <w:p w:rsidR="00000000" w:rsidP="000E1F2F">
            <w:pPr>
              <w:pStyle w:val="List2"/>
              <w:rPr>
                <w:lang w:val="en-NZ"/>
              </w:rPr>
            </w:pPr>
            <w:r w:rsidRPr="000E1F2F">
              <w:t>1.6.</w:t>
            </w:r>
            <w:r w:rsidRPr="000E1F2F">
              <w:tab/>
            </w:r>
            <w:r w:rsidRPr="000E1F2F">
              <w:rPr>
                <w:rStyle w:val="BoldandItalics"/>
              </w:rPr>
              <w:t>Legislative and compliance requirements</w:t>
            </w:r>
            <w:r w:rsidRPr="000E1F2F">
              <w:t xml:space="preserve"> are adhered to in all cases</w:t>
            </w:r>
          </w:p>
        </w:tc>
      </w:tr>
      <w:tr w:rsidTr="009325B5">
        <w:tblPrEx>
          <w:tblW w:w="0" w:type="auto"/>
          <w:tblLayout w:type="fixed"/>
          <w:tblCellMar>
            <w:left w:w="62" w:type="dxa"/>
            <w:right w:w="62" w:type="dxa"/>
          </w:tblCellMar>
          <w:tblLook w:val="0000"/>
        </w:tblPrEx>
        <w:tc>
          <w:tcPr>
            <w:tcW w:w="25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1F2F">
            <w:pPr>
              <w:pStyle w:val="List"/>
              <w:rPr>
                <w:lang w:val="en-NZ"/>
              </w:rPr>
            </w:pPr>
            <w:r w:rsidRPr="000E1F2F">
              <w:t>2.</w:t>
            </w:r>
            <w:r w:rsidRPr="000E1F2F">
              <w:tab/>
              <w:t>Review risk information</w:t>
            </w:r>
          </w:p>
        </w:tc>
        <w:tc>
          <w:tcPr>
            <w:tcW w:w="60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E1F2F" w:rsidP="000E1F2F">
            <w:pPr>
              <w:pStyle w:val="List2"/>
            </w:pPr>
            <w:r w:rsidRPr="000E1F2F">
              <w:t>2.1.</w:t>
            </w:r>
            <w:r w:rsidRPr="000E1F2F">
              <w:tab/>
            </w:r>
            <w:r w:rsidRPr="000E1F2F">
              <w:rPr>
                <w:rStyle w:val="BoldandItalics"/>
              </w:rPr>
              <w:t>Information</w:t>
            </w:r>
            <w:r w:rsidRPr="000E1F2F">
              <w:t xml:space="preserve"> is reviewed to determine its rel</w:t>
            </w:r>
            <w:r w:rsidRPr="000E1F2F">
              <w:t>evance and reliability</w:t>
            </w:r>
          </w:p>
          <w:p w:rsidR="00000000" w:rsidRPr="000E1F2F" w:rsidP="000E1F2F">
            <w:pPr>
              <w:pStyle w:val="List2"/>
            </w:pPr>
            <w:r w:rsidRPr="000E1F2F">
              <w:t>2.2.</w:t>
            </w:r>
            <w:r w:rsidRPr="000E1F2F">
              <w:tab/>
              <w:t>Any claims on risk are checked and documented</w:t>
            </w:r>
          </w:p>
          <w:p w:rsidR="00000000" w:rsidP="000E1F2F">
            <w:pPr>
              <w:pStyle w:val="List2"/>
              <w:rPr>
                <w:lang w:val="en-NZ"/>
              </w:rPr>
            </w:pPr>
            <w:r w:rsidRPr="000E1F2F">
              <w:t>2.3.</w:t>
            </w:r>
            <w:r w:rsidRPr="000E1F2F">
              <w:tab/>
              <w:t>Compliance with risk management conditions is checked</w:t>
            </w:r>
          </w:p>
        </w:tc>
      </w:tr>
      <w:tr w:rsidTr="009325B5">
        <w:tblPrEx>
          <w:tblW w:w="0" w:type="auto"/>
          <w:tblLayout w:type="fixed"/>
          <w:tblCellMar>
            <w:left w:w="62" w:type="dxa"/>
            <w:right w:w="62" w:type="dxa"/>
          </w:tblCellMar>
          <w:tblLook w:val="0000"/>
        </w:tblPrEx>
        <w:tc>
          <w:tcPr>
            <w:tcW w:w="25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1F2F">
            <w:pPr>
              <w:pStyle w:val="List"/>
              <w:rPr>
                <w:lang w:val="en-NZ"/>
              </w:rPr>
            </w:pPr>
            <w:r w:rsidRPr="000E1F2F">
              <w:t>3.</w:t>
            </w:r>
            <w:r w:rsidRPr="000E1F2F">
              <w:tab/>
              <w:t>Assess information against established risk criteria</w:t>
            </w:r>
          </w:p>
        </w:tc>
        <w:tc>
          <w:tcPr>
            <w:tcW w:w="60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E1F2F" w:rsidP="000E1F2F">
            <w:pPr>
              <w:pStyle w:val="List2"/>
            </w:pPr>
            <w:r w:rsidRPr="000E1F2F">
              <w:t>3.1.</w:t>
            </w:r>
            <w:r w:rsidRPr="000E1F2F">
              <w:tab/>
            </w:r>
            <w:r w:rsidRPr="000E1F2F">
              <w:rPr>
                <w:rStyle w:val="BoldandItalics"/>
              </w:rPr>
              <w:t>Risk acceptance criteria</w:t>
            </w:r>
            <w:r w:rsidRPr="000E1F2F">
              <w:t xml:space="preserve">/net retentions are checked </w:t>
            </w:r>
            <w:r w:rsidRPr="000E1F2F">
              <w:t>for any changes over past period</w:t>
            </w:r>
          </w:p>
          <w:p w:rsidR="00000000" w:rsidRPr="000E1F2F" w:rsidP="000E1F2F">
            <w:pPr>
              <w:pStyle w:val="List2"/>
            </w:pPr>
            <w:r w:rsidRPr="000E1F2F">
              <w:t>3.2.</w:t>
            </w:r>
            <w:r w:rsidRPr="000E1F2F">
              <w:tab/>
              <w:t>Risk information is compared against risk acceptance criteria and procedures to assess acceptability of risk</w:t>
            </w:r>
          </w:p>
          <w:p w:rsidR="00000000" w:rsidRPr="000E1F2F" w:rsidP="000E1F2F">
            <w:pPr>
              <w:pStyle w:val="List2"/>
            </w:pPr>
            <w:r w:rsidRPr="000E1F2F">
              <w:t>3.3.</w:t>
            </w:r>
            <w:r w:rsidRPr="000E1F2F">
              <w:tab/>
              <w:t>Liaison with other internal departments is conducted to assess impact on business if applicable</w:t>
            </w:r>
          </w:p>
          <w:p w:rsidR="00000000" w:rsidRPr="000E1F2F" w:rsidP="000E1F2F">
            <w:pPr>
              <w:pStyle w:val="List2"/>
            </w:pPr>
            <w:r w:rsidRPr="000E1F2F">
              <w:t>3.4.</w:t>
            </w:r>
            <w:r w:rsidRPr="000E1F2F">
              <w:tab/>
              <w:t>Ris</w:t>
            </w:r>
            <w:r w:rsidRPr="000E1F2F">
              <w:t>k assessment data is documented according to organisation policy and procedures</w:t>
            </w:r>
          </w:p>
        </w:tc>
      </w:tr>
    </w:tbl>
    <w:p w:rsidR="00000000" w:rsidRPr="000E1F2F" w:rsidP="000E1F2F">
      <w:pPr>
        <w:pStyle w:val="BodyText"/>
      </w:pPr>
    </w:p>
    <w:p w:rsidR="00000000" w:rsidRPr="000E1F2F" w:rsidP="000E1F2F">
      <w:pPr>
        <w:pStyle w:val="AllowPageBreak"/>
      </w:pPr>
    </w:p>
    <w:p w:rsidR="00000000" w:rsidRPr="000E1F2F" w:rsidP="000E1F2F">
      <w:pPr>
        <w:pStyle w:val="Heading1"/>
      </w:pPr>
      <w:bookmarkStart w:id="9" w:name="O_79367"/>
      <w:bookmarkEnd w:id="9"/>
      <w:r w:rsidRPr="000E1F2F">
        <w:t>Required Skills and Knowledge</w:t>
      </w:r>
    </w:p>
    <w:tbl>
      <w:tblPr>
        <w:tblW w:w="0" w:type="auto"/>
        <w:tblLayout w:type="fixed"/>
        <w:tblCellMar>
          <w:left w:w="62" w:type="dxa"/>
          <w:right w:w="62" w:type="dxa"/>
        </w:tblCellMar>
        <w:tblLook w:val="0000"/>
      </w:tblPr>
      <w:tblGrid>
        <w:gridCol w:w="8522"/>
      </w:tblGrid>
      <w:tr w:rsidTr="009325B5">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0E1F2F">
            <w:pPr>
              <w:pStyle w:val="BodyText"/>
              <w:rPr>
                <w:lang w:val="en-NZ"/>
              </w:rPr>
            </w:pPr>
            <w:r w:rsidRPr="000E1F2F">
              <w:rPr>
                <w:rStyle w:val="SpecialBold"/>
              </w:rPr>
              <w:t>REQUIRED SKILLS AND KNOWLEDGE</w:t>
            </w:r>
          </w:p>
        </w:tc>
      </w:tr>
      <w:tr w:rsidTr="009325B5">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0E1F2F">
            <w:pPr>
              <w:pStyle w:val="BodyText"/>
              <w:rPr>
                <w:lang w:val="en-NZ"/>
              </w:rPr>
            </w:pPr>
            <w:r w:rsidRPr="000E1F2F">
              <w:t>This section describes the skills and knowledge required for this unit.</w:t>
            </w:r>
          </w:p>
        </w:tc>
      </w:tr>
      <w:tr w:rsidTr="009325B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1F2F">
            <w:pPr>
              <w:pStyle w:val="BodyText"/>
              <w:rPr>
                <w:lang w:val="en-NZ"/>
              </w:rPr>
            </w:pPr>
            <w:r w:rsidRPr="000E1F2F">
              <w:rPr>
                <w:rStyle w:val="SpecialBold"/>
              </w:rPr>
              <w:t>Required skills</w:t>
            </w:r>
          </w:p>
        </w:tc>
      </w:tr>
      <w:tr w:rsidTr="009325B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E1F2F" w:rsidP="000E1F2F">
            <w:pPr>
              <w:pStyle w:val="ListBullet"/>
            </w:pPr>
            <w:r w:rsidRPr="000E1F2F">
              <w:t>communication skills to:</w:t>
            </w:r>
          </w:p>
          <w:p w:rsidR="00000000" w:rsidRPr="000E1F2F" w:rsidP="000E1F2F">
            <w:pPr>
              <w:pStyle w:val="ListBullet2"/>
            </w:pPr>
            <w:r w:rsidRPr="000E1F2F">
              <w:t>determine and confirm information, using questioning and active listening as required</w:t>
            </w:r>
          </w:p>
          <w:p w:rsidR="00000000" w:rsidRPr="000E1F2F" w:rsidP="000E1F2F">
            <w:pPr>
              <w:pStyle w:val="ListBullet2"/>
            </w:pPr>
            <w:r w:rsidRPr="000E1F2F">
              <w:t>relate to customers</w:t>
            </w:r>
          </w:p>
          <w:p w:rsidR="00000000" w:rsidRPr="000E1F2F" w:rsidP="000E1F2F">
            <w:pPr>
              <w:pStyle w:val="ListBullet2"/>
            </w:pPr>
            <w:r w:rsidRPr="000E1F2F">
              <w:t>liaise with others, share information, listen and understand</w:t>
            </w:r>
          </w:p>
          <w:p w:rsidR="00000000" w:rsidRPr="000E1F2F" w:rsidP="000E1F2F">
            <w:pPr>
              <w:pStyle w:val="ListBullet2"/>
            </w:pPr>
            <w:r w:rsidRPr="000E1F2F">
              <w:t>use language and concepts appropriate to cultural differences</w:t>
            </w:r>
          </w:p>
          <w:p w:rsidR="00000000" w:rsidRPr="000E1F2F" w:rsidP="000E1F2F">
            <w:pPr>
              <w:pStyle w:val="ListBullet"/>
            </w:pPr>
            <w:r w:rsidRPr="000E1F2F">
              <w:t>numeracy and IT skills to:</w:t>
            </w:r>
          </w:p>
          <w:p w:rsidR="00000000" w:rsidRPr="000E1F2F" w:rsidP="000E1F2F">
            <w:pPr>
              <w:pStyle w:val="ListBullet2"/>
            </w:pPr>
            <w:r w:rsidRPr="000E1F2F">
              <w:t>perform calculations related to achieving required outcomes</w:t>
            </w:r>
          </w:p>
          <w:p w:rsidR="00000000" w:rsidRPr="000E1F2F" w:rsidP="000E1F2F">
            <w:pPr>
              <w:pStyle w:val="ListBullet2"/>
            </w:pPr>
            <w:r w:rsidRPr="000E1F2F">
              <w:t>use computer applications (word processing, spreadsheet, database, specific purpose computer systems) to assist in achieving required outcomes</w:t>
            </w:r>
          </w:p>
          <w:p w:rsidR="00000000" w:rsidRPr="000E1F2F" w:rsidP="000E1F2F">
            <w:pPr>
              <w:pStyle w:val="ListBullet2"/>
            </w:pPr>
            <w:r w:rsidRPr="000E1F2F">
              <w:t>access and update records</w:t>
            </w:r>
            <w:r w:rsidRPr="000E1F2F">
              <w:t xml:space="preserve"> electronically</w:t>
            </w:r>
          </w:p>
          <w:p w:rsidR="00000000" w:rsidRPr="000E1F2F" w:rsidP="000E1F2F">
            <w:pPr>
              <w:pStyle w:val="ListBullet2"/>
            </w:pPr>
            <w:r w:rsidRPr="000E1F2F">
              <w:t>access web based information services</w:t>
            </w:r>
          </w:p>
          <w:p w:rsidR="00000000" w:rsidRPr="000E1F2F" w:rsidP="000E1F2F">
            <w:pPr>
              <w:pStyle w:val="ListBullet"/>
            </w:pPr>
            <w:r w:rsidRPr="000E1F2F">
              <w:t>literacy skills to read and interpret documentation from a variety of sources and record and consolidate relevant related information</w:t>
            </w:r>
          </w:p>
          <w:p w:rsidR="00000000" w:rsidRPr="000E1F2F" w:rsidP="000E1F2F">
            <w:pPr>
              <w:pStyle w:val="ListBullet"/>
            </w:pPr>
            <w:r w:rsidRPr="000E1F2F">
              <w:t>research and analysis skills for accessing and interpreting relevan</w:t>
            </w:r>
            <w:r w:rsidRPr="000E1F2F">
              <w:t>t information</w:t>
            </w:r>
          </w:p>
          <w:p w:rsidR="00000000" w:rsidP="000E1F2F">
            <w:pPr>
              <w:pStyle w:val="ListBullet"/>
              <w:rPr>
                <w:lang w:val="en-NZ"/>
              </w:rPr>
            </w:pPr>
            <w:r w:rsidRPr="000E1F2F">
              <w:t>organisational skills, including the ability to plan and sequence work</w:t>
            </w:r>
          </w:p>
        </w:tc>
      </w:tr>
      <w:tr w:rsidTr="009325B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1F2F">
            <w:pPr>
              <w:pStyle w:val="BodyText"/>
              <w:rPr>
                <w:lang w:val="en-NZ"/>
              </w:rPr>
            </w:pPr>
            <w:r w:rsidRPr="000E1F2F">
              <w:rPr>
                <w:rStyle w:val="SpecialBold"/>
              </w:rPr>
              <w:t>Required knowledge</w:t>
            </w:r>
          </w:p>
        </w:tc>
      </w:tr>
      <w:tr w:rsidTr="009325B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E1F2F" w:rsidP="000E1F2F">
            <w:pPr>
              <w:pStyle w:val="ListBullet"/>
            </w:pPr>
            <w:r w:rsidRPr="000E1F2F">
              <w:t>application of Financial Services Reform legislation</w:t>
            </w:r>
          </w:p>
          <w:p w:rsidR="00000000" w:rsidRPr="000E1F2F" w:rsidP="000E1F2F">
            <w:pPr>
              <w:pStyle w:val="ListBullet"/>
            </w:pPr>
            <w:r w:rsidRPr="000E1F2F">
              <w:t>organisation or industry sector policy wording</w:t>
            </w:r>
          </w:p>
          <w:p w:rsidR="00000000" w:rsidRPr="000E1F2F" w:rsidP="000E1F2F">
            <w:pPr>
              <w:pStyle w:val="ListBullet"/>
            </w:pPr>
            <w:r w:rsidRPr="000E1F2F">
              <w:t>organisation policy, procedures, underwriting guidelines and authorities</w:t>
            </w:r>
          </w:p>
          <w:p w:rsidR="00000000" w:rsidRPr="000E1F2F" w:rsidP="000E1F2F">
            <w:pPr>
              <w:pStyle w:val="ListBullet"/>
            </w:pPr>
            <w:r w:rsidRPr="000E1F2F">
              <w:t>organisation products</w:t>
            </w:r>
          </w:p>
          <w:p w:rsidR="00000000" w:rsidRPr="000E1F2F" w:rsidP="000E1F2F">
            <w:pPr>
              <w:pStyle w:val="ListBullet"/>
            </w:pPr>
            <w:r w:rsidRPr="000E1F2F">
              <w:t>industry market position relative to product/line of business</w:t>
            </w:r>
          </w:p>
          <w:p w:rsidR="00000000" w:rsidRPr="000E1F2F" w:rsidP="000E1F2F">
            <w:pPr>
              <w:pStyle w:val="ListBullet"/>
            </w:pPr>
            <w:r w:rsidRPr="000E1F2F">
              <w:t>industry sector compliance requirements such as the General Insurance Code of Practice</w:t>
            </w:r>
          </w:p>
          <w:p w:rsidR="00000000" w:rsidRPr="000E1F2F" w:rsidP="000E1F2F">
            <w:pPr>
              <w:pStyle w:val="ListBullet"/>
            </w:pPr>
            <w:r w:rsidRPr="000E1F2F">
              <w:t>Insurance Co</w:t>
            </w:r>
            <w:r w:rsidRPr="000E1F2F">
              <w:t>ntracts Act, Insurance (Agents and Brokers) Act, Trade Practices Act, other statutory requirements</w:t>
            </w:r>
          </w:p>
          <w:p w:rsidR="00000000" w:rsidRPr="000E1F2F" w:rsidP="000E1F2F">
            <w:pPr>
              <w:pStyle w:val="ListBullet"/>
            </w:pPr>
            <w:r w:rsidRPr="000E1F2F">
              <w:t>interim cover as it relates to expiry of contracts and cancellations (Insurance Contracts Act ss. 38, 58)</w:t>
            </w:r>
          </w:p>
          <w:p w:rsidR="00000000" w:rsidRPr="000E1F2F" w:rsidP="000E1F2F">
            <w:pPr>
              <w:pStyle w:val="ListBullet"/>
            </w:pPr>
            <w:r w:rsidRPr="000E1F2F">
              <w:t>OHS requirements</w:t>
            </w:r>
          </w:p>
          <w:p w:rsidR="00000000" w:rsidRPr="000E1F2F" w:rsidP="000E1F2F">
            <w:pPr>
              <w:pStyle w:val="ListBullet"/>
            </w:pPr>
            <w:r w:rsidRPr="000E1F2F">
              <w:t>reinsurance, treaty and facultativ</w:t>
            </w:r>
            <w:r w:rsidRPr="000E1F2F">
              <w:t>e policies</w:t>
            </w:r>
          </w:p>
          <w:p w:rsidR="00000000" w:rsidRPr="000E1F2F" w:rsidP="000E1F2F">
            <w:pPr>
              <w:pStyle w:val="ListBullet"/>
            </w:pPr>
            <w:r w:rsidRPr="000E1F2F">
              <w:t>relevant common law, legal systems and procedures</w:t>
            </w:r>
          </w:p>
          <w:p w:rsidR="00000000" w:rsidRPr="000E1F2F" w:rsidP="000E1F2F">
            <w:pPr>
              <w:pStyle w:val="ListBullet"/>
            </w:pPr>
            <w:r w:rsidRPr="000E1F2F">
              <w:t>risk prevention methods and application</w:t>
            </w:r>
          </w:p>
        </w:tc>
      </w:tr>
    </w:tbl>
    <w:p w:rsidR="00000000" w:rsidRPr="000E1F2F" w:rsidP="000E1F2F">
      <w:pPr>
        <w:pStyle w:val="BodyText"/>
      </w:pPr>
    </w:p>
    <w:p w:rsidR="00000000" w:rsidRPr="000E1F2F" w:rsidP="000E1F2F">
      <w:pPr>
        <w:pStyle w:val="AllowPageBreak"/>
      </w:pPr>
    </w:p>
    <w:p w:rsidR="00000000" w:rsidRPr="000E1F2F" w:rsidP="000E1F2F">
      <w:pPr>
        <w:pStyle w:val="Heading1"/>
      </w:pPr>
      <w:bookmarkStart w:id="10" w:name="O_79368"/>
      <w:bookmarkEnd w:id="10"/>
      <w:r w:rsidRPr="000E1F2F">
        <w:t>Evidence Guide</w:t>
      </w:r>
    </w:p>
    <w:tbl>
      <w:tblPr>
        <w:tblW w:w="9570" w:type="dxa"/>
        <w:tblLayout w:type="fixed"/>
        <w:tblCellMar>
          <w:left w:w="62" w:type="dxa"/>
          <w:right w:w="62" w:type="dxa"/>
        </w:tblCellMar>
        <w:tblLook w:val="0000"/>
      </w:tblPr>
      <w:tblGrid>
        <w:gridCol w:w="2808"/>
        <w:gridCol w:w="6762"/>
      </w:tblGrid>
      <w:tr w:rsidTr="009325B5">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1F2F">
            <w:pPr>
              <w:pStyle w:val="BodyText"/>
              <w:rPr>
                <w:lang w:val="en-NZ"/>
              </w:rPr>
            </w:pPr>
            <w:r w:rsidRPr="000E1F2F">
              <w:rPr>
                <w:rStyle w:val="SpecialBold"/>
              </w:rPr>
              <w:t>EVIDENCE GUIDE</w:t>
            </w:r>
          </w:p>
        </w:tc>
      </w:tr>
      <w:tr w:rsidTr="009325B5">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1F2F">
            <w:pPr>
              <w:pStyle w:val="BodyText"/>
              <w:rPr>
                <w:lang w:val="en-NZ"/>
              </w:rPr>
            </w:pPr>
            <w:r w:rsidRPr="000E1F2F">
              <w:t>The Evidence Guide provides advice on assessment and must be read in conjunction with the performance criteria, required skills and knowledge, range statement and the Assessment Guidelines for the Training Package.</w:t>
            </w:r>
          </w:p>
        </w:tc>
      </w:tr>
      <w:tr w:rsidTr="009325B5">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1F2F">
            <w:pPr>
              <w:pStyle w:val="BodyText"/>
              <w:rPr>
                <w:lang w:val="en-NZ"/>
              </w:rPr>
            </w:pPr>
            <w:r w:rsidRPr="000E1F2F">
              <w:rPr>
                <w:rStyle w:val="SpecialBold"/>
              </w:rPr>
              <w:t>Overview of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1F2F">
            <w:pPr>
              <w:pStyle w:val="BodyText"/>
              <w:rPr>
                <w:lang w:val="en-NZ"/>
              </w:rPr>
            </w:pPr>
          </w:p>
        </w:tc>
      </w:tr>
      <w:tr w:rsidTr="009325B5">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1F2F">
            <w:pPr>
              <w:pStyle w:val="BodyText"/>
              <w:rPr>
                <w:lang w:val="en-NZ"/>
              </w:rPr>
            </w:pPr>
            <w:r w:rsidRPr="000E1F2F">
              <w:rPr>
                <w:rStyle w:val="SpecialBold"/>
              </w:rPr>
              <w:t>Critical aspects for assessment and evidence required to demonstrate competency in this unit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E1F2F" w:rsidP="000E1F2F">
            <w:pPr>
              <w:pStyle w:val="BodyText"/>
            </w:pPr>
            <w:r w:rsidRPr="000E1F2F">
              <w:t xml:space="preserve"> Evidence of the ability to:</w:t>
            </w:r>
          </w:p>
          <w:p w:rsidR="00000000" w:rsidRPr="000E1F2F" w:rsidP="000E1F2F">
            <w:pPr>
              <w:pStyle w:val="ListBullet"/>
            </w:pPr>
            <w:r w:rsidRPr="000E1F2F">
              <w:t>understand and apply all relevant legal obligations and organisation procedures when identifying and evaluating risks for renewal bus</w:t>
            </w:r>
            <w:r w:rsidRPr="000E1F2F">
              <w:t>iness</w:t>
            </w:r>
          </w:p>
          <w:p w:rsidR="00000000" w:rsidRPr="000E1F2F" w:rsidP="000E1F2F">
            <w:pPr>
              <w:pStyle w:val="ListBullet"/>
            </w:pPr>
            <w:r w:rsidRPr="000E1F2F">
              <w:t>maintain and apply sound understanding of relevant organisation products and services</w:t>
            </w:r>
          </w:p>
          <w:p w:rsidR="00000000" w:rsidRPr="000E1F2F" w:rsidP="000E1F2F">
            <w:pPr>
              <w:pStyle w:val="ListBullet"/>
            </w:pPr>
            <w:r w:rsidRPr="000E1F2F">
              <w:t>follow relevant underwriting guidelines and procedures</w:t>
            </w:r>
          </w:p>
          <w:p w:rsidR="00000000" w:rsidRPr="000E1F2F" w:rsidP="000E1F2F">
            <w:pPr>
              <w:pStyle w:val="ListBullet"/>
            </w:pPr>
            <w:r w:rsidRPr="000E1F2F">
              <w:t>identify and investigate risk as it relates to renewal business in accordance with underwriting and organisat</w:t>
            </w:r>
            <w:r w:rsidRPr="000E1F2F">
              <w:t>ion guidelines</w:t>
            </w:r>
          </w:p>
          <w:p w:rsidR="00000000" w:rsidP="000E1F2F">
            <w:pPr>
              <w:pStyle w:val="ListBullet"/>
              <w:rPr>
                <w:lang w:val="en-NZ"/>
              </w:rPr>
            </w:pPr>
            <w:r w:rsidRPr="000E1F2F">
              <w:t>document risk assessment data in accordance with organisation guidelines.</w:t>
            </w:r>
          </w:p>
        </w:tc>
      </w:tr>
      <w:tr w:rsidTr="009325B5">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1F2F">
            <w:pPr>
              <w:pStyle w:val="BodyText"/>
              <w:rPr>
                <w:lang w:val="en-NZ"/>
              </w:rPr>
            </w:pPr>
            <w:r w:rsidRPr="000E1F2F">
              <w:rPr>
                <w:rStyle w:val="SpecialBold"/>
              </w:rPr>
              <w:t>Context of and specific resources for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E1F2F" w:rsidP="000E1F2F">
            <w:pPr>
              <w:pStyle w:val="BodyText"/>
            </w:pPr>
            <w:r w:rsidRPr="000E1F2F">
              <w:t>Assessment must ensure:</w:t>
            </w:r>
          </w:p>
          <w:p w:rsidR="00000000" w:rsidRPr="000E1F2F" w:rsidP="000E1F2F">
            <w:pPr>
              <w:pStyle w:val="ListBullet"/>
            </w:pPr>
            <w:r w:rsidRPr="000E1F2F">
              <w:t>competency is demonstrated in the context of the work environment and conditions specified i</w:t>
            </w:r>
            <w:r w:rsidRPr="000E1F2F">
              <w:t>n the range statement either in a relevant workplace or a closely simulated work environment</w:t>
            </w:r>
          </w:p>
          <w:p w:rsidR="00000000" w:rsidRPr="000E1F2F" w:rsidP="000E1F2F">
            <w:pPr>
              <w:pStyle w:val="ListBullet"/>
            </w:pPr>
            <w:r w:rsidRPr="000E1F2F">
              <w:t>access to and the use of a range of common office equipment, technology, software and consumables</w:t>
            </w:r>
          </w:p>
          <w:p w:rsidR="00000000" w:rsidRPr="000E1F2F" w:rsidP="000E1F2F">
            <w:pPr>
              <w:pStyle w:val="ListBullet"/>
            </w:pPr>
            <w:r w:rsidRPr="000E1F2F">
              <w:t>access to organisation records</w:t>
            </w:r>
          </w:p>
          <w:p w:rsidR="00000000" w:rsidP="000E1F2F">
            <w:pPr>
              <w:pStyle w:val="ListBullet"/>
              <w:rPr>
                <w:lang w:val="en-NZ"/>
              </w:rPr>
            </w:pPr>
            <w:r w:rsidRPr="000E1F2F">
              <w:t>access to organisational policies and procedures.</w:t>
            </w:r>
          </w:p>
        </w:tc>
      </w:tr>
      <w:tr w:rsidTr="009325B5">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1F2F">
            <w:pPr>
              <w:pStyle w:val="BodyText"/>
              <w:rPr>
                <w:lang w:val="en-NZ"/>
              </w:rPr>
            </w:pPr>
            <w:r w:rsidRPr="000E1F2F">
              <w:rPr>
                <w:rStyle w:val="SpecialBold"/>
              </w:rPr>
              <w:t>Method of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E1F2F" w:rsidP="000E1F2F">
            <w:pPr>
              <w:pStyle w:val="BodyText"/>
            </w:pPr>
            <w:r w:rsidRPr="000E1F2F">
              <w:t xml:space="preserve">A range of assessment methods should be used to assess practical skills and knowledge. The following examples, in combination, are appropriate for this unit: </w:t>
            </w:r>
          </w:p>
          <w:p w:rsidR="00000000" w:rsidRPr="000E1F2F" w:rsidP="000E1F2F">
            <w:pPr>
              <w:pStyle w:val="ListBullet"/>
            </w:pPr>
            <w:r w:rsidRPr="000E1F2F">
              <w:t>evaluating an integrated</w:t>
            </w:r>
            <w:r w:rsidRPr="000E1F2F">
              <w:t xml:space="preserve"> activity, which combines the elements of competency for the unit, or a cluster of related units of competency</w:t>
            </w:r>
          </w:p>
          <w:p w:rsidR="00000000" w:rsidRPr="000E1F2F" w:rsidP="000E1F2F">
            <w:pPr>
              <w:pStyle w:val="ListBullet"/>
            </w:pPr>
            <w:r w:rsidRPr="000E1F2F">
              <w:t>observing processes and procedures in workplaces</w:t>
            </w:r>
          </w:p>
          <w:p w:rsidR="00000000" w:rsidRPr="000E1F2F" w:rsidP="000E1F2F">
            <w:pPr>
              <w:pStyle w:val="ListBullet"/>
            </w:pPr>
            <w:r w:rsidRPr="000E1F2F">
              <w:t>verbal or written questioning on underpinning knowledge and skills</w:t>
            </w:r>
          </w:p>
          <w:p w:rsidR="00000000" w:rsidRPr="000E1F2F" w:rsidP="000E1F2F">
            <w:pPr>
              <w:pStyle w:val="ListBullet"/>
            </w:pPr>
            <w:r w:rsidRPr="000E1F2F">
              <w:t>evaluating samples of work</w:t>
            </w:r>
          </w:p>
          <w:p w:rsidR="00000000" w:rsidP="000E1F2F">
            <w:pPr>
              <w:pStyle w:val="ListBullet"/>
              <w:rPr>
                <w:lang w:val="en-NZ"/>
              </w:rPr>
            </w:pPr>
            <w:r w:rsidRPr="000E1F2F">
              <w:t>ac</w:t>
            </w:r>
            <w:r w:rsidRPr="000E1F2F">
              <w:t>cessing and validating third party reports.</w:t>
            </w:r>
          </w:p>
        </w:tc>
      </w:tr>
      <w:tr w:rsidTr="009325B5">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1F2F">
            <w:pPr>
              <w:pStyle w:val="BodyText"/>
              <w:rPr>
                <w:lang w:val="en-NZ"/>
              </w:rPr>
            </w:pPr>
            <w:r w:rsidRPr="000E1F2F">
              <w:rPr>
                <w:rStyle w:val="SpecialBold"/>
              </w:rPr>
              <w:t>Guidance information for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E1F2F" w:rsidP="000E1F2F">
            <w:pPr>
              <w:pStyle w:val="BodyText"/>
            </w:pPr>
          </w:p>
        </w:tc>
      </w:tr>
    </w:tbl>
    <w:p w:rsidR="00000000" w:rsidRPr="000E1F2F" w:rsidP="000E1F2F">
      <w:pPr>
        <w:pStyle w:val="BodyText"/>
      </w:pPr>
    </w:p>
    <w:p w:rsidR="00000000" w:rsidRPr="000E1F2F" w:rsidP="000E1F2F">
      <w:pPr>
        <w:pStyle w:val="AllowPageBreak"/>
      </w:pPr>
    </w:p>
    <w:p w:rsidR="00000000" w:rsidRPr="000E1F2F" w:rsidP="000E1F2F">
      <w:pPr>
        <w:pStyle w:val="Heading1"/>
      </w:pPr>
      <w:bookmarkStart w:id="11" w:name="O_79369"/>
      <w:bookmarkEnd w:id="11"/>
      <w:r w:rsidRPr="000E1F2F">
        <w:t>Range Statement</w:t>
      </w:r>
    </w:p>
    <w:tbl>
      <w:tblPr>
        <w:tblW w:w="0" w:type="auto"/>
        <w:tblLayout w:type="fixed"/>
        <w:tblCellMar>
          <w:left w:w="62" w:type="dxa"/>
          <w:right w:w="62" w:type="dxa"/>
        </w:tblCellMar>
        <w:tblLook w:val="0000"/>
      </w:tblPr>
      <w:tblGrid>
        <w:gridCol w:w="2520"/>
        <w:gridCol w:w="6002"/>
      </w:tblGrid>
      <w:tr w:rsidTr="009325B5">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1F2F">
            <w:pPr>
              <w:pStyle w:val="BodyText"/>
              <w:rPr>
                <w:lang w:val="en-NZ"/>
              </w:rPr>
            </w:pPr>
            <w:r w:rsidRPr="000E1F2F">
              <w:rPr>
                <w:rStyle w:val="SpecialBold"/>
              </w:rPr>
              <w:t>RANGE STATEMENT</w:t>
            </w:r>
          </w:p>
        </w:tc>
      </w:tr>
      <w:tr w:rsidTr="009325B5">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1F2F">
            <w:pPr>
              <w:pStyle w:val="BodyText"/>
              <w:rPr>
                <w:lang w:val="en-NZ"/>
              </w:rPr>
            </w:pPr>
            <w:r w:rsidRPr="000E1F2F">
              <w:t>The range statement relates to the unit of competency as a whole. It allows for different work environments and situations that may affect performance. Bold italicised wording, if used in the performance criteria, is detailed below. Essential operating con</w:t>
            </w:r>
            <w:r w:rsidRPr="000E1F2F">
              <w:t>ditions that may be present with training and assessment (depending on the work situation, needs of the candidate, accessibility of the item, and local industry and regional contexts) may also be included.</w:t>
            </w:r>
          </w:p>
        </w:tc>
      </w:tr>
      <w:tr w:rsidTr="009325B5">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1F2F">
            <w:pPr>
              <w:pStyle w:val="BodyText"/>
              <w:rPr>
                <w:lang w:val="en-NZ"/>
              </w:rPr>
            </w:pPr>
            <w:r w:rsidRPr="000E1F2F">
              <w:rPr>
                <w:rStyle w:val="BoldandItalics"/>
              </w:rPr>
              <w:t>Client history</w:t>
            </w:r>
            <w:r w:rsidRPr="000E1F2F">
              <w:t xml:space="preserve"> may include:</w:t>
            </w:r>
          </w:p>
        </w:tc>
        <w:tc>
          <w:tcPr>
            <w:tcW w:w="60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E1F2F" w:rsidP="000E1F2F">
            <w:pPr>
              <w:pStyle w:val="ListBullet"/>
            </w:pPr>
            <w:r w:rsidRPr="000E1F2F">
              <w:t>claims records</w:t>
            </w:r>
          </w:p>
          <w:p w:rsidR="00000000" w:rsidRPr="000E1F2F" w:rsidP="000E1F2F">
            <w:pPr>
              <w:pStyle w:val="ListBullet"/>
            </w:pPr>
            <w:r w:rsidRPr="000E1F2F">
              <w:t>financial results</w:t>
            </w:r>
          </w:p>
          <w:p w:rsidR="00000000" w:rsidRPr="000E1F2F" w:rsidP="000E1F2F">
            <w:pPr>
              <w:pStyle w:val="ListBullet"/>
            </w:pPr>
            <w:r w:rsidRPr="000E1F2F">
              <w:t>number and type of policies</w:t>
            </w:r>
          </w:p>
          <w:p w:rsidR="00000000" w:rsidP="000E1F2F">
            <w:pPr>
              <w:pStyle w:val="ListBullet"/>
              <w:rPr>
                <w:lang w:val="en-NZ"/>
              </w:rPr>
            </w:pPr>
            <w:r w:rsidRPr="000E1F2F">
              <w:t>time insured.</w:t>
            </w:r>
          </w:p>
        </w:tc>
      </w:tr>
      <w:tr w:rsidTr="009325B5">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1F2F">
            <w:pPr>
              <w:pStyle w:val="BodyText"/>
              <w:rPr>
                <w:lang w:val="en-NZ"/>
              </w:rPr>
            </w:pPr>
            <w:r w:rsidRPr="000E1F2F">
              <w:rPr>
                <w:rStyle w:val="BoldandItalics"/>
              </w:rPr>
              <w:t>Reports</w:t>
            </w:r>
            <w:r w:rsidRPr="000E1F2F">
              <w:t xml:space="preserve"> may include:</w:t>
            </w:r>
          </w:p>
        </w:tc>
        <w:tc>
          <w:tcPr>
            <w:tcW w:w="60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E1F2F" w:rsidP="000E1F2F">
            <w:pPr>
              <w:pStyle w:val="ListBullet"/>
            </w:pPr>
            <w:r w:rsidRPr="000E1F2F">
              <w:t>pre-underwriting reports which are usually computer reports on policy premiums and claims</w:t>
            </w:r>
          </w:p>
          <w:p w:rsidR="00000000" w:rsidP="000E1F2F">
            <w:pPr>
              <w:pStyle w:val="ListBullet"/>
              <w:rPr>
                <w:lang w:val="en-NZ"/>
              </w:rPr>
            </w:pPr>
            <w:r w:rsidRPr="000E1F2F">
              <w:t>reports regarding reinsurance requirements and changes in the physical risk exposur</w:t>
            </w:r>
            <w:r w:rsidRPr="000E1F2F">
              <w:t>e.</w:t>
            </w:r>
          </w:p>
        </w:tc>
      </w:tr>
      <w:tr w:rsidTr="009325B5">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1F2F">
            <w:pPr>
              <w:pStyle w:val="BodyText"/>
              <w:rPr>
                <w:lang w:val="en-NZ"/>
              </w:rPr>
            </w:pPr>
            <w:r w:rsidRPr="000E1F2F">
              <w:rPr>
                <w:rStyle w:val="BoldandItalics"/>
              </w:rPr>
              <w:t>Legislative and compliance requirements</w:t>
            </w:r>
            <w:r w:rsidRPr="000E1F2F">
              <w:t xml:space="preserve"> may include:</w:t>
            </w:r>
          </w:p>
        </w:tc>
        <w:tc>
          <w:tcPr>
            <w:tcW w:w="60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E1F2F" w:rsidP="000E1F2F">
            <w:pPr>
              <w:pStyle w:val="ListBullet"/>
            </w:pPr>
            <w:r w:rsidRPr="000E1F2F">
              <w:t>codes of practice</w:t>
            </w:r>
          </w:p>
          <w:p w:rsidR="00000000" w:rsidRPr="000E1F2F" w:rsidP="000E1F2F">
            <w:pPr>
              <w:pStyle w:val="ListBullet"/>
            </w:pPr>
            <w:r w:rsidRPr="000E1F2F">
              <w:t>Corporations Act</w:t>
            </w:r>
          </w:p>
          <w:p w:rsidR="00000000" w:rsidRPr="000E1F2F" w:rsidP="000E1F2F">
            <w:pPr>
              <w:pStyle w:val="ListBullet"/>
            </w:pPr>
            <w:r w:rsidRPr="000E1F2F">
              <w:t>Financial Services Reform Act (FSRA)</w:t>
            </w:r>
          </w:p>
          <w:p w:rsidR="00000000" w:rsidP="000E1F2F">
            <w:pPr>
              <w:pStyle w:val="ListBullet"/>
              <w:rPr>
                <w:lang w:val="en-NZ"/>
              </w:rPr>
            </w:pPr>
            <w:r w:rsidRPr="000E1F2F">
              <w:t>relevant Australian Securities and Investments Commission (ASIC) requirements.</w:t>
            </w:r>
          </w:p>
        </w:tc>
      </w:tr>
      <w:tr w:rsidTr="009325B5">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1F2F">
            <w:pPr>
              <w:pStyle w:val="BodyText"/>
              <w:rPr>
                <w:lang w:val="en-NZ"/>
              </w:rPr>
            </w:pPr>
            <w:r w:rsidRPr="000E1F2F">
              <w:t xml:space="preserve">Sources of </w:t>
            </w:r>
            <w:r w:rsidRPr="000E1F2F">
              <w:rPr>
                <w:rStyle w:val="BoldandItalics"/>
              </w:rPr>
              <w:t>information</w:t>
            </w:r>
            <w:r w:rsidRPr="000E1F2F">
              <w:t xml:space="preserve"> may include:</w:t>
            </w:r>
          </w:p>
        </w:tc>
        <w:tc>
          <w:tcPr>
            <w:tcW w:w="60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E1F2F" w:rsidP="000E1F2F">
            <w:pPr>
              <w:pStyle w:val="ListBullet"/>
            </w:pPr>
            <w:r w:rsidRPr="000E1F2F">
              <w:t>amendments</w:t>
            </w:r>
          </w:p>
          <w:p w:rsidR="00000000" w:rsidRPr="000E1F2F" w:rsidP="000E1F2F">
            <w:pPr>
              <w:pStyle w:val="ListBullet"/>
            </w:pPr>
            <w:r w:rsidRPr="000E1F2F">
              <w:t>assessor reports</w:t>
            </w:r>
          </w:p>
          <w:p w:rsidR="00000000" w:rsidRPr="000E1F2F" w:rsidP="000E1F2F">
            <w:pPr>
              <w:pStyle w:val="ListBullet"/>
            </w:pPr>
            <w:r w:rsidRPr="000E1F2F">
              <w:t>broker slips</w:t>
            </w:r>
          </w:p>
          <w:p w:rsidR="00000000" w:rsidRPr="000E1F2F" w:rsidP="000E1F2F">
            <w:pPr>
              <w:pStyle w:val="ListBullet"/>
            </w:pPr>
            <w:r w:rsidRPr="000E1F2F">
              <w:t>claims</w:t>
            </w:r>
          </w:p>
          <w:p w:rsidR="00000000" w:rsidRPr="000E1F2F" w:rsidP="000E1F2F">
            <w:pPr>
              <w:pStyle w:val="ListBullet"/>
            </w:pPr>
            <w:r w:rsidRPr="000E1F2F">
              <w:t>customer duties of disclosure and renewal</w:t>
            </w:r>
          </w:p>
          <w:p w:rsidR="00000000" w:rsidRPr="000E1F2F" w:rsidP="000E1F2F">
            <w:pPr>
              <w:pStyle w:val="ListBullet"/>
            </w:pPr>
            <w:r w:rsidRPr="000E1F2F">
              <w:t>proposals</w:t>
            </w:r>
          </w:p>
          <w:p w:rsidR="00000000" w:rsidRPr="000E1F2F" w:rsidP="000E1F2F">
            <w:pPr>
              <w:pStyle w:val="ListBullet"/>
            </w:pPr>
            <w:r w:rsidRPr="000E1F2F">
              <w:t>stock exchange</w:t>
            </w:r>
          </w:p>
          <w:p w:rsidR="00000000" w:rsidRPr="000E1F2F" w:rsidP="000E1F2F">
            <w:pPr>
              <w:pStyle w:val="ListBullet"/>
            </w:pPr>
            <w:r w:rsidRPr="000E1F2F">
              <w:t>surveys</w:t>
            </w:r>
          </w:p>
          <w:p w:rsidR="00000000" w:rsidP="000E1F2F">
            <w:pPr>
              <w:pStyle w:val="ListBullet"/>
              <w:rPr>
                <w:lang w:val="en-NZ"/>
              </w:rPr>
            </w:pPr>
            <w:r w:rsidRPr="000E1F2F">
              <w:t>telephone contacts.</w:t>
            </w:r>
          </w:p>
        </w:tc>
      </w:tr>
      <w:tr w:rsidTr="009325B5">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1F2F">
            <w:pPr>
              <w:pStyle w:val="BodyText"/>
              <w:rPr>
                <w:lang w:val="en-NZ"/>
              </w:rPr>
            </w:pPr>
            <w:r w:rsidRPr="000E1F2F">
              <w:rPr>
                <w:rStyle w:val="BoldandItalics"/>
              </w:rPr>
              <w:t>Risk acceptance criteria</w:t>
            </w:r>
            <w:r w:rsidRPr="000E1F2F">
              <w:t xml:space="preserve"> may include:</w:t>
            </w:r>
          </w:p>
        </w:tc>
        <w:tc>
          <w:tcPr>
            <w:tcW w:w="60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E1F2F" w:rsidP="000E1F2F">
            <w:pPr>
              <w:pStyle w:val="ListBullet"/>
            </w:pPr>
            <w:r w:rsidRPr="000E1F2F">
              <w:t>claims history</w:t>
            </w:r>
          </w:p>
          <w:p w:rsidR="00000000" w:rsidRPr="000E1F2F" w:rsidP="000E1F2F">
            <w:pPr>
              <w:pStyle w:val="ListBullet"/>
            </w:pPr>
            <w:r w:rsidRPr="000E1F2F">
              <w:t>class of business</w:t>
            </w:r>
          </w:p>
          <w:p w:rsidR="00000000" w:rsidRPr="000E1F2F" w:rsidP="000E1F2F">
            <w:pPr>
              <w:pStyle w:val="ListBullet"/>
            </w:pPr>
            <w:r w:rsidRPr="000E1F2F">
              <w:t>driving and/or accident history</w:t>
            </w:r>
          </w:p>
          <w:p w:rsidR="00000000" w:rsidRPr="000E1F2F" w:rsidP="000E1F2F">
            <w:pPr>
              <w:pStyle w:val="ListBullet"/>
            </w:pPr>
            <w:r w:rsidRPr="000E1F2F">
              <w:t>locality</w:t>
            </w:r>
          </w:p>
          <w:p w:rsidR="00000000" w:rsidRPr="000E1F2F" w:rsidP="000E1F2F">
            <w:pPr>
              <w:pStyle w:val="ListBullet"/>
            </w:pPr>
            <w:r w:rsidRPr="000E1F2F">
              <w:t>minimum security levels.</w:t>
            </w:r>
          </w:p>
        </w:tc>
      </w:tr>
    </w:tbl>
    <w:p w:rsidR="009325B5" w:rsidP="000E1F2F">
      <w:pPr>
        <w:pStyle w:val="BodyText"/>
      </w:pPr>
    </w:p>
    <w:p w:rsidR="009325B5" w:rsidP="000E1F2F">
      <w:pPr>
        <w:pStyle w:val="BodyText"/>
      </w:pPr>
    </w:p>
    <w:p w:rsidR="00000000" w:rsidRPr="000E1F2F" w:rsidP="000E1F2F">
      <w:pPr>
        <w:pStyle w:val="Heading1"/>
      </w:pPr>
      <w:bookmarkStart w:id="12" w:name="O_79370"/>
      <w:bookmarkEnd w:id="12"/>
      <w:r w:rsidRPr="000E1F2F">
        <w:t>Unit Sector(s)</w:t>
      </w:r>
    </w:p>
    <w:tbl>
      <w:tblPr>
        <w:tblW w:w="0" w:type="auto"/>
        <w:tblLayout w:type="fixed"/>
        <w:tblCellMar>
          <w:left w:w="62" w:type="dxa"/>
          <w:right w:w="62" w:type="dxa"/>
        </w:tblCellMar>
        <w:tblLook w:val="0000"/>
      </w:tblPr>
      <w:tblGrid>
        <w:gridCol w:w="2594"/>
        <w:gridCol w:w="5928"/>
      </w:tblGrid>
      <w:tr w:rsidTr="009325B5">
        <w:tblPrEx>
          <w:tblW w:w="0" w:type="auto"/>
          <w:tblLayout w:type="fixed"/>
          <w:tblCellMar>
            <w:left w:w="62" w:type="dxa"/>
            <w:right w:w="62" w:type="dxa"/>
          </w:tblCellMar>
          <w:tblLook w:val="0000"/>
        </w:tblPrEx>
        <w:trPr>
          <w:tblHeader/>
        </w:trPr>
        <w:tc>
          <w:tcPr>
            <w:tcW w:w="25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1F2F">
            <w:pPr>
              <w:pStyle w:val="BodyText"/>
              <w:rPr>
                <w:lang w:val="en-NZ"/>
              </w:rPr>
            </w:pPr>
            <w:r w:rsidRPr="000E1F2F">
              <w:rPr>
                <w:rStyle w:val="SpecialBold"/>
              </w:rPr>
              <w:t>Unit sector</w:t>
            </w:r>
          </w:p>
        </w:tc>
        <w:tc>
          <w:tcPr>
            <w:tcW w:w="59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E1F2F" w:rsidP="000E1F2F">
            <w:pPr>
              <w:pStyle w:val="BodyText"/>
            </w:pPr>
            <w:r w:rsidRPr="000E1F2F">
              <w:t>Insurance services</w:t>
            </w:r>
          </w:p>
        </w:tc>
      </w:tr>
    </w:tbl>
    <w:p w:rsidR="00000000" w:rsidRPr="000E1F2F" w:rsidP="000E1F2F">
      <w:pPr>
        <w:pStyle w:val="BodyText"/>
      </w:pPr>
    </w:p>
    <w:p w:rsidR="00000000" w:rsidRPr="000E1F2F" w:rsidP="000E1F2F">
      <w:pPr>
        <w:pStyle w:val="AllowPageBreak"/>
      </w:pPr>
    </w:p>
    <w:p w:rsidR="00000000" w:rsidRPr="000E1F2F" w:rsidP="000E1F2F">
      <w:pPr>
        <w:pStyle w:val="Heading1"/>
      </w:pPr>
      <w:bookmarkStart w:id="13" w:name="O_156461"/>
      <w:bookmarkEnd w:id="13"/>
      <w:r w:rsidRPr="000E1F2F">
        <w:t>Competency field</w:t>
      </w:r>
    </w:p>
    <w:tbl>
      <w:tblPr>
        <w:tblW w:w="0" w:type="auto"/>
        <w:tblLayout w:type="fixed"/>
        <w:tblCellMar>
          <w:left w:w="62" w:type="dxa"/>
          <w:right w:w="62" w:type="dxa"/>
        </w:tblCellMar>
        <w:tblLook w:val="0000"/>
      </w:tblPr>
      <w:tblGrid>
        <w:gridCol w:w="2754"/>
        <w:gridCol w:w="5768"/>
      </w:tblGrid>
      <w:tr w:rsidTr="009325B5">
        <w:tblPrEx>
          <w:tblW w:w="0" w:type="auto"/>
          <w:tblLayout w:type="fixed"/>
          <w:tblCellMar>
            <w:left w:w="62" w:type="dxa"/>
            <w:right w:w="62" w:type="dxa"/>
          </w:tblCellMar>
          <w:tblLook w:val="0000"/>
        </w:tblPrEx>
        <w:trPr>
          <w:tblHeader/>
        </w:trPr>
        <w:tc>
          <w:tcPr>
            <w:tcW w:w="27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1F2F">
            <w:pPr>
              <w:pStyle w:val="BodyText"/>
              <w:rPr>
                <w:lang w:val="en-NZ"/>
              </w:rPr>
            </w:pPr>
            <w:r w:rsidRPr="000E1F2F">
              <w:rPr>
                <w:rStyle w:val="SpecialBold"/>
              </w:rPr>
              <w:t>Competency field</w:t>
            </w:r>
          </w:p>
        </w:tc>
        <w:tc>
          <w:tcPr>
            <w:tcW w:w="57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E1F2F" w:rsidP="000E1F2F">
            <w:pPr>
              <w:pStyle w:val="BodyText"/>
            </w:pPr>
          </w:p>
        </w:tc>
      </w:tr>
    </w:tbl>
    <w:p w:rsidR="00000000" w:rsidRPr="000E1F2F" w:rsidP="000E1F2F">
      <w:pPr>
        <w:pStyle w:val="BodyText"/>
      </w:pPr>
    </w:p>
    <w:p w:rsidR="00000000" w:rsidRPr="000E1F2F" w:rsidP="000E1F2F">
      <w:pPr>
        <w:pStyle w:val="AllowPageBreak"/>
      </w:pPr>
    </w:p>
    <w:p w:rsidR="00000000" w:rsidRPr="000E1F2F" w:rsidP="000E1F2F">
      <w:pPr>
        <w:pStyle w:val="Heading1"/>
      </w:pPr>
      <w:bookmarkStart w:id="14" w:name="O_156460"/>
      <w:bookmarkEnd w:id="14"/>
      <w:r w:rsidRPr="000E1F2F">
        <w:t>Co-requisite units</w:t>
      </w:r>
    </w:p>
    <w:tbl>
      <w:tblPr>
        <w:tblW w:w="0" w:type="auto"/>
        <w:tblLayout w:type="fixed"/>
        <w:tblCellMar>
          <w:left w:w="62" w:type="dxa"/>
          <w:right w:w="62" w:type="dxa"/>
        </w:tblCellMar>
        <w:tblLook w:val="0000"/>
      </w:tblPr>
      <w:tblGrid>
        <w:gridCol w:w="2629"/>
        <w:gridCol w:w="1324"/>
        <w:gridCol w:w="4569"/>
      </w:tblGrid>
      <w:tr w:rsidTr="009325B5">
        <w:tblPrEx>
          <w:tblW w:w="0" w:type="auto"/>
          <w:tblLayout w:type="fixed"/>
          <w:tblCellMar>
            <w:left w:w="62" w:type="dxa"/>
            <w:right w:w="62" w:type="dxa"/>
          </w:tblCellMar>
          <w:tblLook w:val="0000"/>
        </w:tblPrEx>
        <w:trPr>
          <w:tblHeader/>
        </w:trPr>
        <w:tc>
          <w:tcPr>
            <w:tcW w:w="26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1F2F">
            <w:pPr>
              <w:pStyle w:val="BodyText"/>
              <w:rPr>
                <w:lang w:val="en-NZ"/>
              </w:rPr>
            </w:pPr>
            <w:r w:rsidRPr="000E1F2F">
              <w:rPr>
                <w:rStyle w:val="SpecialBold"/>
              </w:rPr>
              <w:t>Co-requisite units</w:t>
            </w:r>
          </w:p>
        </w:tc>
        <w:tc>
          <w:tcPr>
            <w:tcW w:w="13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1F2F">
            <w:pPr>
              <w:pStyle w:val="BodyText"/>
              <w:rPr>
                <w:lang w:val="en-NZ"/>
              </w:rPr>
            </w:pPr>
          </w:p>
        </w:tc>
      </w:tr>
      <w:tr w:rsidTr="009325B5">
        <w:tblPrEx>
          <w:tblW w:w="0" w:type="auto"/>
          <w:tblLayout w:type="fixed"/>
          <w:tblCellMar>
            <w:left w:w="62" w:type="dxa"/>
            <w:right w:w="62" w:type="dxa"/>
          </w:tblCellMar>
          <w:tblLook w:val="0000"/>
        </w:tblPrEx>
        <w:tc>
          <w:tcPr>
            <w:tcW w:w="26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E1F2F" w:rsidP="000E1F2F">
            <w:pPr>
              <w:pStyle w:val="BodyText"/>
            </w:pPr>
          </w:p>
        </w:tc>
      </w:tr>
    </w:tbl>
    <w:p w:rsidR="00000000" w:rsidRPr="000E1F2F" w:rsidP="000E1F2F">
      <w:pPr>
        <w:pStyle w:val="BodyText"/>
      </w:pPr>
    </w:p>
    <w:p w:rsidR="00000000" w:rsidRPr="000E1F2F" w:rsidP="000E1F2F"/>
    <w:sectPr w:rsidSect="000E1F2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1F2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325B5" w:rsidP="009325B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1F2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25B5" w:rsidP="000E1F2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9325B5" w:rsidP="000E1F2F">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9325B5" w:rsidP="000E1F2F">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1F2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325B5" w:rsidP="009325B5">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1F2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25B5" w:rsidP="000E1F2F">
    <w:pPr>
      <w:pStyle w:val="Header"/>
      <w:framePr w:wrap="around"/>
    </w:pPr>
    <w:r>
      <w:fldChar w:fldCharType="begin"/>
    </w:r>
    <w:r>
      <w:instrText xml:space="preserve"> TITLE   \* MERGEFORMAT </w:instrText>
    </w:r>
    <w:r>
      <w:fldChar w:fldCharType="separate"/>
    </w:r>
    <w:r>
      <w:t>FNSISV301A Evaluate risk for renewal business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9325B5" w:rsidP="000E1F2F">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0F4BA6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A401D0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47A4D5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E1F2F"/>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0E1F2F"/>
    <w:pPr>
      <w:spacing w:before="360" w:after="60"/>
      <w:outlineLvl w:val="0"/>
    </w:pPr>
    <w:rPr>
      <w:sz w:val="32"/>
    </w:rPr>
  </w:style>
  <w:style w:type="paragraph" w:styleId="Heading2">
    <w:name w:val="heading 2"/>
    <w:basedOn w:val="HeadingBase"/>
    <w:next w:val="BodyText"/>
    <w:link w:val="Heading2Char"/>
    <w:qFormat/>
    <w:rsid w:val="000E1F2F"/>
    <w:pPr>
      <w:keepLines/>
      <w:spacing w:before="240" w:after="120"/>
      <w:outlineLvl w:val="1"/>
    </w:pPr>
    <w:rPr>
      <w:sz w:val="28"/>
      <w:szCs w:val="40"/>
    </w:rPr>
  </w:style>
  <w:style w:type="paragraph" w:styleId="Heading3">
    <w:name w:val="heading 3"/>
    <w:basedOn w:val="HeadingBase"/>
    <w:next w:val="BodyText"/>
    <w:link w:val="Heading3Char"/>
    <w:qFormat/>
    <w:rsid w:val="000E1F2F"/>
    <w:pPr>
      <w:spacing w:before="180" w:after="120"/>
      <w:outlineLvl w:val="2"/>
    </w:pPr>
    <w:rPr>
      <w:spacing w:val="-10"/>
      <w:kern w:val="32"/>
    </w:rPr>
  </w:style>
  <w:style w:type="paragraph" w:styleId="Heading4">
    <w:name w:val="heading 4"/>
    <w:basedOn w:val="HeadingBase"/>
    <w:next w:val="BodyText"/>
    <w:link w:val="Heading4Char"/>
    <w:qFormat/>
    <w:rsid w:val="000E1F2F"/>
    <w:pPr>
      <w:spacing w:before="160" w:after="120"/>
      <w:outlineLvl w:val="3"/>
    </w:pPr>
    <w:rPr>
      <w:sz w:val="22"/>
    </w:rPr>
  </w:style>
  <w:style w:type="paragraph" w:styleId="Heading5">
    <w:name w:val="heading 5"/>
    <w:basedOn w:val="HeadingBase"/>
    <w:next w:val="Normal"/>
    <w:link w:val="Heading5Char"/>
    <w:qFormat/>
    <w:rsid w:val="000E1F2F"/>
    <w:pPr>
      <w:spacing w:before="80"/>
      <w:outlineLvl w:val="4"/>
    </w:pPr>
    <w:rPr>
      <w:color w:val="918585"/>
      <w:sz w:val="20"/>
    </w:rPr>
  </w:style>
  <w:style w:type="paragraph" w:styleId="Heading6">
    <w:name w:val="heading 6"/>
    <w:basedOn w:val="HeadingBase"/>
    <w:next w:val="Normal"/>
    <w:link w:val="Heading6Char"/>
    <w:qFormat/>
    <w:rsid w:val="000E1F2F"/>
    <w:pPr>
      <w:spacing w:before="60"/>
      <w:outlineLvl w:val="5"/>
    </w:pPr>
    <w:rPr>
      <w:color w:val="918585"/>
      <w:sz w:val="20"/>
    </w:rPr>
  </w:style>
  <w:style w:type="paragraph" w:styleId="Heading7">
    <w:name w:val="heading 7"/>
    <w:basedOn w:val="Normal"/>
    <w:next w:val="Normal"/>
    <w:link w:val="Heading7Char"/>
    <w:qFormat/>
    <w:rsid w:val="000E1F2F"/>
    <w:pPr>
      <w:ind w:left="720"/>
      <w:outlineLvl w:val="6"/>
    </w:pPr>
    <w:rPr>
      <w:i/>
    </w:rPr>
  </w:style>
  <w:style w:type="paragraph" w:styleId="Heading8">
    <w:name w:val="heading 8"/>
    <w:basedOn w:val="Normal"/>
    <w:next w:val="Normal"/>
    <w:link w:val="Heading8Char"/>
    <w:qFormat/>
    <w:rsid w:val="000E1F2F"/>
    <w:pPr>
      <w:ind w:left="720"/>
      <w:outlineLvl w:val="7"/>
    </w:pPr>
    <w:rPr>
      <w:i/>
    </w:rPr>
  </w:style>
  <w:style w:type="paragraph" w:styleId="Heading9">
    <w:name w:val="heading 9"/>
    <w:basedOn w:val="Normal"/>
    <w:next w:val="Normal"/>
    <w:link w:val="Heading9Char"/>
    <w:qFormat/>
    <w:rsid w:val="000E1F2F"/>
    <w:pPr>
      <w:ind w:left="720"/>
      <w:outlineLvl w:val="8"/>
    </w:pPr>
    <w:rPr>
      <w:i/>
    </w:rPr>
  </w:style>
  <w:style w:type="character" w:default="1" w:styleId="DefaultParagraphFont">
    <w:name w:val="Default Paragraph Font"/>
    <w:uiPriority w:val="1"/>
    <w:unhideWhenUsed/>
    <w:rsid w:val="000E1F2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E1F2F"/>
  </w:style>
  <w:style w:type="character" w:customStyle="1" w:styleId="Heading1Char">
    <w:name w:val="Heading 1 Char"/>
    <w:basedOn w:val="DefaultParagraphFont"/>
    <w:link w:val="Heading1"/>
    <w:rsid w:val="000E1F2F"/>
    <w:rPr>
      <w:rFonts w:ascii="Times New Roman" w:eastAsia="Times New Roman" w:hAnsi="Times New Roman" w:cs="Times New Roman"/>
      <w:b/>
      <w:sz w:val="32"/>
      <w:szCs w:val="20"/>
      <w:lang w:eastAsia="en-US"/>
    </w:rPr>
  </w:style>
  <w:style w:type="paragraph" w:styleId="BodyText">
    <w:name w:val="Body Text"/>
    <w:basedOn w:val="Normal"/>
    <w:link w:val="BodyTextChar"/>
    <w:rsid w:val="000E1F2F"/>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0E1F2F"/>
    <w:rPr>
      <w:rFonts w:ascii="Times New Roman" w:eastAsia="Times New Roman" w:hAnsi="Times New Roman" w:cs="Times New Roman"/>
      <w:sz w:val="24"/>
      <w:lang w:val="en-US" w:eastAsia="en-US"/>
    </w:rPr>
  </w:style>
  <w:style w:type="paragraph" w:styleId="Footer">
    <w:name w:val="footer"/>
    <w:basedOn w:val="Normal"/>
    <w:link w:val="FooterChar"/>
    <w:rsid w:val="000E1F2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E1F2F"/>
    <w:rPr>
      <w:rFonts w:ascii="Times New Roman" w:eastAsia="Times New Roman" w:hAnsi="Times New Roman" w:cs="Times New Roman"/>
      <w:sz w:val="16"/>
      <w:lang w:val="en-US" w:eastAsia="en-US"/>
    </w:rPr>
  </w:style>
  <w:style w:type="paragraph" w:styleId="List">
    <w:name w:val="List"/>
    <w:basedOn w:val="BodyText"/>
    <w:next w:val="BodyText"/>
    <w:rsid w:val="000E1F2F"/>
    <w:pPr>
      <w:tabs>
        <w:tab w:val="left" w:pos="340"/>
      </w:tabs>
      <w:spacing w:before="60" w:after="60"/>
      <w:ind w:left="340" w:hanging="340"/>
    </w:pPr>
  </w:style>
  <w:style w:type="paragraph" w:styleId="ListBullet">
    <w:name w:val="List Bullet"/>
    <w:basedOn w:val="List"/>
    <w:rsid w:val="000E1F2F"/>
    <w:pPr>
      <w:numPr>
        <w:numId w:val="13"/>
      </w:numPr>
      <w:tabs>
        <w:tab w:val="clear" w:pos="340"/>
      </w:tabs>
      <w:spacing w:before="40" w:after="40"/>
    </w:pPr>
  </w:style>
  <w:style w:type="character" w:customStyle="1" w:styleId="SpecialBold">
    <w:name w:val="Special Bold"/>
    <w:basedOn w:val="DefaultParagraphFont"/>
    <w:rsid w:val="000E1F2F"/>
    <w:rPr>
      <w:b/>
      <w:spacing w:val="0"/>
    </w:rPr>
  </w:style>
  <w:style w:type="paragraph" w:styleId="ListBullet2">
    <w:name w:val="List Bullet 2"/>
    <w:basedOn w:val="List2"/>
    <w:rsid w:val="000E1F2F"/>
    <w:pPr>
      <w:numPr>
        <w:numId w:val="14"/>
      </w:numPr>
      <w:tabs>
        <w:tab w:val="clear" w:pos="680"/>
      </w:tabs>
    </w:pPr>
  </w:style>
  <w:style w:type="paragraph" w:styleId="Header">
    <w:name w:val="header"/>
    <w:basedOn w:val="Normal"/>
    <w:link w:val="HeaderChar"/>
    <w:rsid w:val="000E1F2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E1F2F"/>
    <w:rPr>
      <w:rFonts w:ascii="Times New Roman" w:eastAsia="Times New Roman" w:hAnsi="Times New Roman" w:cs="Times New Roman"/>
      <w:sz w:val="16"/>
      <w:szCs w:val="20"/>
      <w:lang w:val="en-GB" w:eastAsia="en-US"/>
    </w:rPr>
  </w:style>
  <w:style w:type="paragraph" w:customStyle="1" w:styleId="SuperHeading">
    <w:name w:val="SuperHeading"/>
    <w:basedOn w:val="Normal"/>
    <w:rsid w:val="000E1F2F"/>
    <w:pPr>
      <w:spacing w:before="240" w:after="120"/>
      <w:outlineLvl w:val="0"/>
    </w:pPr>
    <w:rPr>
      <w:rFonts w:ascii="Times New Roman" w:hAnsi="Times New Roman"/>
      <w:b/>
      <w:sz w:val="28"/>
    </w:rPr>
  </w:style>
  <w:style w:type="paragraph" w:customStyle="1" w:styleId="AllowPageBreak">
    <w:name w:val="AllowPageBreak"/>
    <w:rsid w:val="000E1F2F"/>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0E1F2F"/>
    <w:pPr>
      <w:tabs>
        <w:tab w:val="left" w:pos="680"/>
      </w:tabs>
      <w:spacing w:before="60" w:after="60"/>
      <w:ind w:left="680" w:hanging="340"/>
    </w:pPr>
  </w:style>
  <w:style w:type="character" w:customStyle="1" w:styleId="BoldandItalics">
    <w:name w:val="Bold and Italics"/>
    <w:qFormat/>
    <w:rsid w:val="000E1F2F"/>
    <w:rPr>
      <w:b/>
      <w:i/>
      <w:u w:val="none"/>
    </w:rPr>
  </w:style>
  <w:style w:type="character" w:customStyle="1" w:styleId="Heading2Char">
    <w:name w:val="Heading 2 Char"/>
    <w:basedOn w:val="DefaultParagraphFont"/>
    <w:link w:val="Heading2"/>
    <w:rsid w:val="000E1F2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E1F2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E1F2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E1F2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E1F2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E1F2F"/>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0E1F2F"/>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0E1F2F"/>
    <w:rPr>
      <w:rFonts w:ascii="Courier New" w:eastAsia="Times New Roman" w:hAnsi="Courier New" w:cs="Times New Roman"/>
      <w:i/>
      <w:szCs w:val="20"/>
      <w:lang w:val="en-US" w:eastAsia="en-US"/>
    </w:rPr>
  </w:style>
  <w:style w:type="paragraph" w:customStyle="1" w:styleId="HeadingBase">
    <w:name w:val="Heading Base"/>
    <w:rsid w:val="000E1F2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E1F2F"/>
    <w:pPr>
      <w:tabs>
        <w:tab w:val="right" w:leader="dot" w:pos="9072"/>
      </w:tabs>
      <w:ind w:left="567"/>
    </w:pPr>
    <w:rPr>
      <w:szCs w:val="22"/>
    </w:rPr>
  </w:style>
  <w:style w:type="paragraph" w:customStyle="1" w:styleId="TOCBase">
    <w:name w:val="TOC Base"/>
    <w:rsid w:val="000E1F2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E1F2F"/>
    <w:pPr>
      <w:tabs>
        <w:tab w:val="right" w:leader="dot" w:pos="9072"/>
      </w:tabs>
      <w:spacing w:before="40" w:after="40"/>
      <w:ind w:left="284"/>
    </w:pPr>
    <w:rPr>
      <w:rFonts w:ascii="Times New Roman" w:hAnsi="Times New Roman"/>
    </w:rPr>
  </w:style>
  <w:style w:type="paragraph" w:styleId="TOC1">
    <w:name w:val="toc 1"/>
    <w:basedOn w:val="TOCBase"/>
    <w:next w:val="Normal"/>
    <w:rsid w:val="000E1F2F"/>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0E1F2F"/>
    <w:pPr>
      <w:spacing w:before="5040"/>
      <w:jc w:val="center"/>
    </w:pPr>
    <w:rPr>
      <w:sz w:val="48"/>
      <w:szCs w:val="72"/>
      <w:lang w:val="en-US"/>
    </w:rPr>
  </w:style>
  <w:style w:type="character" w:customStyle="1" w:styleId="TitleChar">
    <w:name w:val="Title Char"/>
    <w:basedOn w:val="DefaultParagraphFont"/>
    <w:link w:val="Title"/>
    <w:rsid w:val="000E1F2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E1F2F"/>
    <w:pPr>
      <w:tabs>
        <w:tab w:val="left" w:pos="3600"/>
        <w:tab w:val="left" w:pos="3958"/>
      </w:tabs>
    </w:pPr>
  </w:style>
  <w:style w:type="paragraph" w:customStyle="1" w:styleId="Note">
    <w:name w:val="Note"/>
    <w:basedOn w:val="BodyText"/>
    <w:rsid w:val="000E1F2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E1F2F"/>
    <w:pPr>
      <w:framePr w:wrap="auto" w:hAnchor="text" w:y="6049"/>
    </w:pPr>
    <w:rPr>
      <w:color w:val="000000"/>
      <w:sz w:val="40"/>
    </w:rPr>
  </w:style>
  <w:style w:type="paragraph" w:customStyle="1" w:styleId="TOCTitle">
    <w:name w:val="TOCTitle"/>
    <w:basedOn w:val="Heading1"/>
    <w:rsid w:val="000E1F2F"/>
    <w:pPr>
      <w:spacing w:after="240"/>
      <w:jc w:val="center"/>
      <w:outlineLvl w:val="9"/>
    </w:pPr>
    <w:rPr>
      <w:caps/>
    </w:rPr>
  </w:style>
  <w:style w:type="paragraph" w:customStyle="1" w:styleId="Version">
    <w:name w:val="Version"/>
    <w:rsid w:val="000E1F2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E1F2F"/>
    <w:pPr>
      <w:keepNext w:val="0"/>
      <w:tabs>
        <w:tab w:val="right" w:pos="4176"/>
      </w:tabs>
      <w:ind w:left="198" w:hanging="198"/>
    </w:pPr>
    <w:rPr>
      <w:rFonts w:ascii="Garamond" w:hAnsi="Garamond"/>
    </w:rPr>
  </w:style>
  <w:style w:type="paragraph" w:styleId="IndexHeading">
    <w:name w:val="index heading"/>
    <w:basedOn w:val="Normal"/>
    <w:next w:val="Index1"/>
    <w:semiHidden/>
    <w:rsid w:val="000E1F2F"/>
    <w:pPr>
      <w:spacing w:before="120" w:after="120"/>
    </w:pPr>
    <w:rPr>
      <w:rFonts w:ascii="Arial" w:hAnsi="Arial"/>
      <w:b/>
      <w:color w:val="918585"/>
      <w:sz w:val="24"/>
    </w:rPr>
  </w:style>
  <w:style w:type="paragraph" w:customStyle="1" w:styleId="Chapter">
    <w:name w:val="Chapter"/>
    <w:basedOn w:val="Normal"/>
    <w:rsid w:val="000E1F2F"/>
    <w:pPr>
      <w:spacing w:before="240"/>
    </w:pPr>
    <w:rPr>
      <w:rFonts w:ascii="Times New Roman" w:hAnsi="Times New Roman"/>
      <w:smallCaps/>
      <w:spacing w:val="80"/>
      <w:sz w:val="28"/>
    </w:rPr>
  </w:style>
  <w:style w:type="paragraph" w:customStyle="1" w:styleId="InChapter">
    <w:name w:val="InChapter"/>
    <w:basedOn w:val="Heading3"/>
    <w:rsid w:val="000E1F2F"/>
    <w:pPr>
      <w:spacing w:after="240"/>
      <w:outlineLvl w:val="9"/>
    </w:pPr>
    <w:rPr>
      <w:noProof/>
    </w:rPr>
  </w:style>
  <w:style w:type="paragraph" w:styleId="Index2">
    <w:name w:val="index 2"/>
    <w:basedOn w:val="Normal"/>
    <w:next w:val="Normal"/>
    <w:semiHidden/>
    <w:rsid w:val="000E1F2F"/>
    <w:pPr>
      <w:tabs>
        <w:tab w:val="right" w:pos="4176"/>
      </w:tabs>
      <w:ind w:left="568" w:hanging="284"/>
    </w:pPr>
    <w:rPr>
      <w:rFonts w:ascii="Garamond" w:hAnsi="Garamond"/>
    </w:rPr>
  </w:style>
  <w:style w:type="paragraph" w:customStyle="1" w:styleId="Byline">
    <w:name w:val="Byline"/>
    <w:rsid w:val="000E1F2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E1F2F"/>
    <w:pPr>
      <w:tabs>
        <w:tab w:val="clear" w:pos="3600"/>
        <w:tab w:val="clear" w:pos="3958"/>
      </w:tabs>
      <w:jc w:val="right"/>
    </w:pPr>
  </w:style>
  <w:style w:type="character" w:styleId="Emphasis">
    <w:name w:val="Emphasis"/>
    <w:basedOn w:val="DefaultParagraphFont"/>
    <w:qFormat/>
    <w:rsid w:val="000E1F2F"/>
    <w:rPr>
      <w:i/>
    </w:rPr>
  </w:style>
  <w:style w:type="paragraph" w:styleId="Caption">
    <w:name w:val="caption"/>
    <w:basedOn w:val="BodyText"/>
    <w:next w:val="Normal"/>
    <w:qFormat/>
    <w:rsid w:val="000E1F2F"/>
    <w:pPr>
      <w:framePr w:w="2268" w:hSpace="181" w:vSpace="181" w:wrap="around" w:vAnchor="text" w:hAnchor="page" w:x="1135" w:y="285" w:anchorLock="1"/>
    </w:pPr>
    <w:rPr>
      <w:i/>
    </w:rPr>
  </w:style>
  <w:style w:type="paragraph" w:customStyle="1" w:styleId="MiniTOCTitle">
    <w:name w:val="MiniTOCTitle"/>
    <w:basedOn w:val="Heading4"/>
    <w:rsid w:val="000E1F2F"/>
    <w:pPr>
      <w:spacing w:before="240"/>
      <w:outlineLvl w:val="9"/>
    </w:pPr>
    <w:rPr>
      <w:noProof/>
      <w:sz w:val="24"/>
    </w:rPr>
  </w:style>
  <w:style w:type="paragraph" w:customStyle="1" w:styleId="MiniTOCItem">
    <w:name w:val="MiniTOCItem"/>
    <w:basedOn w:val="ListBullet"/>
    <w:rsid w:val="000E1F2F"/>
    <w:pPr>
      <w:numPr>
        <w:numId w:val="0"/>
      </w:numPr>
      <w:tabs>
        <w:tab w:val="right" w:leader="dot" w:pos="6521"/>
      </w:tabs>
      <w:spacing w:before="0" w:after="0"/>
    </w:pPr>
  </w:style>
  <w:style w:type="paragraph" w:customStyle="1" w:styleId="TOFTitle">
    <w:name w:val="TOFTitle"/>
    <w:basedOn w:val="TOCTitle"/>
    <w:rsid w:val="000E1F2F"/>
  </w:style>
  <w:style w:type="paragraph" w:styleId="TableofFigures">
    <w:name w:val="table of figures"/>
    <w:basedOn w:val="Normal"/>
    <w:next w:val="Normal"/>
    <w:semiHidden/>
    <w:rsid w:val="000E1F2F"/>
    <w:pPr>
      <w:tabs>
        <w:tab w:val="right" w:leader="dot" w:pos="9072"/>
      </w:tabs>
      <w:ind w:left="970" w:hanging="403"/>
    </w:pPr>
    <w:rPr>
      <w:rFonts w:ascii="Times New Roman" w:hAnsi="Times New Roman"/>
      <w:b/>
    </w:rPr>
  </w:style>
  <w:style w:type="paragraph" w:styleId="ListNumber">
    <w:name w:val="List Number"/>
    <w:basedOn w:val="List"/>
    <w:rsid w:val="000E1F2F"/>
    <w:pPr>
      <w:numPr>
        <w:numId w:val="11"/>
      </w:numPr>
    </w:pPr>
  </w:style>
  <w:style w:type="character" w:customStyle="1" w:styleId="WingdingSymbols">
    <w:name w:val="Wingding Symbols"/>
    <w:rsid w:val="000E1F2F"/>
    <w:rPr>
      <w:rFonts w:ascii="Wingdings" w:hAnsi="Wingdings"/>
    </w:rPr>
  </w:style>
  <w:style w:type="paragraph" w:customStyle="1" w:styleId="TableHeading">
    <w:name w:val="Table Heading"/>
    <w:basedOn w:val="HeadingBase"/>
    <w:rsid w:val="000E1F2F"/>
    <w:pPr>
      <w:keepLines/>
      <w:pBdr>
        <w:bottom w:val="single" w:sz="6" w:space="1" w:color="918585"/>
      </w:pBdr>
      <w:spacing w:before="240"/>
    </w:pPr>
  </w:style>
  <w:style w:type="character" w:customStyle="1" w:styleId="HotSpot">
    <w:name w:val="HotSpot"/>
    <w:rsid w:val="000E1F2F"/>
    <w:rPr>
      <w:color w:val="0033CC"/>
      <w:u w:val="none"/>
    </w:rPr>
  </w:style>
  <w:style w:type="paragraph" w:customStyle="1" w:styleId="BodyTextRight">
    <w:name w:val="Body Text Right"/>
    <w:basedOn w:val="BodyText"/>
    <w:rsid w:val="000E1F2F"/>
    <w:pPr>
      <w:spacing w:before="0" w:after="0"/>
      <w:jc w:val="right"/>
    </w:pPr>
  </w:style>
  <w:style w:type="paragraph" w:styleId="Index3">
    <w:name w:val="index 3"/>
    <w:basedOn w:val="ListNumber2"/>
    <w:next w:val="Normal"/>
    <w:semiHidden/>
    <w:rsid w:val="000E1F2F"/>
    <w:pPr>
      <w:numPr>
        <w:numId w:val="0"/>
      </w:numPr>
      <w:tabs>
        <w:tab w:val="right" w:leader="dot" w:pos="4176"/>
      </w:tabs>
    </w:pPr>
  </w:style>
  <w:style w:type="paragraph" w:styleId="ListNumber2">
    <w:name w:val="List Number 2"/>
    <w:basedOn w:val="List2"/>
    <w:rsid w:val="000E1F2F"/>
    <w:pPr>
      <w:numPr>
        <w:numId w:val="10"/>
      </w:numPr>
      <w:tabs>
        <w:tab w:val="clear" w:pos="1060"/>
      </w:tabs>
    </w:pPr>
  </w:style>
  <w:style w:type="paragraph" w:customStyle="1" w:styleId="MarginNote">
    <w:name w:val="Margin Note"/>
    <w:basedOn w:val="BodyText"/>
    <w:rsid w:val="000E1F2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E1F2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E1F2F"/>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0E1F2F"/>
    <w:rPr>
      <w:sz w:val="32"/>
    </w:rPr>
  </w:style>
  <w:style w:type="paragraph" w:customStyle="1" w:styleId="HeadingProcedure">
    <w:name w:val="Heading Procedure"/>
    <w:basedOn w:val="HeadingBase"/>
    <w:next w:val="Normal"/>
    <w:rsid w:val="000E1F2F"/>
    <w:pPr>
      <w:tabs>
        <w:tab w:val="left" w:pos="0"/>
      </w:tabs>
      <w:spacing w:before="120" w:after="60"/>
    </w:pPr>
    <w:rPr>
      <w:i/>
      <w:color w:val="918585"/>
      <w:sz w:val="22"/>
    </w:rPr>
  </w:style>
  <w:style w:type="paragraph" w:customStyle="1" w:styleId="TableBodyText">
    <w:name w:val="Table Body Text"/>
    <w:basedOn w:val="BodyText"/>
    <w:rsid w:val="000E1F2F"/>
    <w:pPr>
      <w:spacing w:before="60" w:after="60"/>
    </w:pPr>
  </w:style>
  <w:style w:type="paragraph" w:styleId="ListContinue">
    <w:name w:val="List Continue"/>
    <w:basedOn w:val="List"/>
    <w:rsid w:val="000E1F2F"/>
    <w:pPr>
      <w:ind w:firstLine="0"/>
    </w:pPr>
  </w:style>
  <w:style w:type="paragraph" w:customStyle="1" w:styleId="ListNote">
    <w:name w:val="List Note"/>
    <w:basedOn w:val="List"/>
    <w:rsid w:val="000E1F2F"/>
    <w:pPr>
      <w:pBdr>
        <w:top w:val="single" w:sz="6" w:space="2" w:color="918585"/>
        <w:bottom w:val="single" w:sz="6" w:space="2" w:color="918585"/>
      </w:pBdr>
      <w:tabs>
        <w:tab w:val="left" w:pos="1021"/>
      </w:tabs>
      <w:ind w:firstLine="0"/>
    </w:pPr>
  </w:style>
  <w:style w:type="paragraph" w:customStyle="1" w:styleId="Warning">
    <w:name w:val="Warning"/>
    <w:basedOn w:val="BodyText"/>
    <w:rsid w:val="000E1F2F"/>
    <w:pPr>
      <w:shd w:val="clear" w:color="auto" w:fill="D9D9D9"/>
      <w:tabs>
        <w:tab w:val="left" w:pos="992"/>
      </w:tabs>
      <w:ind w:left="119" w:right="119"/>
    </w:pPr>
    <w:rPr>
      <w:sz w:val="20"/>
    </w:rPr>
  </w:style>
  <w:style w:type="paragraph" w:customStyle="1" w:styleId="MarginIcons">
    <w:name w:val="Margin Icons"/>
    <w:basedOn w:val="BodyText"/>
    <w:rsid w:val="000E1F2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E1F2F"/>
    <w:rPr>
      <w:rFonts w:ascii="Courier New" w:hAnsi="Courier New"/>
    </w:rPr>
  </w:style>
  <w:style w:type="paragraph" w:customStyle="1" w:styleId="NoteBullet">
    <w:name w:val="Note Bullet"/>
    <w:basedOn w:val="Note"/>
    <w:rsid w:val="000E1F2F"/>
    <w:pPr>
      <w:tabs>
        <w:tab w:val="clear" w:pos="680"/>
      </w:tabs>
      <w:spacing w:before="60" w:after="60"/>
    </w:pPr>
  </w:style>
  <w:style w:type="paragraph" w:customStyle="1" w:styleId="SubHeading2">
    <w:name w:val="SubHeading2"/>
    <w:basedOn w:val="HeadingBase"/>
    <w:rsid w:val="000E1F2F"/>
    <w:pPr>
      <w:spacing w:before="240" w:after="60"/>
    </w:pPr>
    <w:rPr>
      <w:sz w:val="20"/>
    </w:rPr>
  </w:style>
  <w:style w:type="paragraph" w:customStyle="1" w:styleId="SubHeading1">
    <w:name w:val="SubHeading1"/>
    <w:basedOn w:val="HeadingBase"/>
    <w:rsid w:val="000E1F2F"/>
    <w:pPr>
      <w:spacing w:before="240" w:after="60"/>
    </w:pPr>
    <w:rPr>
      <w:color w:val="918585"/>
      <w:sz w:val="22"/>
    </w:rPr>
  </w:style>
  <w:style w:type="paragraph" w:customStyle="1" w:styleId="SideHeading">
    <w:name w:val="Side Heading"/>
    <w:basedOn w:val="HeadingBase"/>
    <w:rsid w:val="000E1F2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E1F2F"/>
    <w:pPr>
      <w:numPr>
        <w:numId w:val="12"/>
      </w:numPr>
    </w:pPr>
  </w:style>
  <w:style w:type="paragraph" w:styleId="PlainText">
    <w:name w:val="Plain Text"/>
    <w:basedOn w:val="Normal"/>
    <w:link w:val="PlainTextChar"/>
    <w:rsid w:val="000E1F2F"/>
    <w:rPr>
      <w:sz w:val="20"/>
    </w:rPr>
  </w:style>
  <w:style w:type="character" w:customStyle="1" w:styleId="PlainTextChar">
    <w:name w:val="Plain Text Char"/>
    <w:basedOn w:val="DefaultParagraphFont"/>
    <w:link w:val="PlainText"/>
    <w:rsid w:val="000E1F2F"/>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0E1F2F"/>
    <w:rPr>
      <w:b/>
      <w:smallCaps/>
    </w:rPr>
  </w:style>
  <w:style w:type="paragraph" w:customStyle="1" w:styleId="TableListNumber">
    <w:name w:val="Table List Number"/>
    <w:basedOn w:val="ListNumber"/>
    <w:rsid w:val="000E1F2F"/>
    <w:pPr>
      <w:numPr>
        <w:numId w:val="0"/>
      </w:numPr>
    </w:pPr>
  </w:style>
  <w:style w:type="paragraph" w:styleId="TOC4">
    <w:name w:val="toc 4"/>
    <w:basedOn w:val="TOCBase"/>
    <w:next w:val="Normal"/>
    <w:semiHidden/>
    <w:rsid w:val="000E1F2F"/>
    <w:pPr>
      <w:tabs>
        <w:tab w:val="right" w:leader="dot" w:pos="9071"/>
      </w:tabs>
      <w:ind w:left="1701"/>
    </w:pPr>
  </w:style>
  <w:style w:type="paragraph" w:customStyle="1" w:styleId="ListAlpha">
    <w:name w:val="List Alpha"/>
    <w:basedOn w:val="List"/>
    <w:rsid w:val="000E1F2F"/>
    <w:pPr>
      <w:numPr>
        <w:numId w:val="9"/>
      </w:numPr>
    </w:pPr>
  </w:style>
  <w:style w:type="paragraph" w:customStyle="1" w:styleId="ListAlpha2">
    <w:name w:val="List Alpha 2"/>
    <w:basedOn w:val="List2"/>
    <w:rsid w:val="000E1F2F"/>
    <w:pPr>
      <w:numPr>
        <w:numId w:val="8"/>
      </w:numPr>
    </w:pPr>
  </w:style>
  <w:style w:type="paragraph" w:styleId="List3">
    <w:name w:val="List 3"/>
    <w:basedOn w:val="BodyText"/>
    <w:rsid w:val="000E1F2F"/>
    <w:pPr>
      <w:tabs>
        <w:tab w:val="left" w:pos="1021"/>
      </w:tabs>
      <w:spacing w:before="60" w:after="60"/>
      <w:ind w:left="1020" w:hanging="340"/>
    </w:pPr>
  </w:style>
  <w:style w:type="paragraph" w:styleId="List4">
    <w:name w:val="List 4"/>
    <w:basedOn w:val="BodyText"/>
    <w:rsid w:val="000E1F2F"/>
    <w:pPr>
      <w:tabs>
        <w:tab w:val="left" w:pos="1361"/>
      </w:tabs>
      <w:spacing w:before="60" w:after="60"/>
      <w:ind w:left="1361" w:hanging="340"/>
    </w:pPr>
  </w:style>
  <w:style w:type="paragraph" w:styleId="List5">
    <w:name w:val="List 5"/>
    <w:basedOn w:val="BodyText"/>
    <w:rsid w:val="000E1F2F"/>
    <w:pPr>
      <w:tabs>
        <w:tab w:val="left" w:pos="1701"/>
      </w:tabs>
      <w:spacing w:before="60" w:after="60"/>
      <w:ind w:left="1701" w:hanging="340"/>
    </w:pPr>
  </w:style>
  <w:style w:type="paragraph" w:styleId="ListBullet3">
    <w:name w:val="List Bullet 3"/>
    <w:basedOn w:val="List3"/>
    <w:rsid w:val="000E1F2F"/>
    <w:pPr>
      <w:numPr>
        <w:numId w:val="15"/>
      </w:numPr>
      <w:tabs>
        <w:tab w:val="clear" w:pos="1021"/>
      </w:tabs>
      <w:ind w:left="1037" w:hanging="357"/>
    </w:pPr>
  </w:style>
  <w:style w:type="paragraph" w:styleId="ListBullet4">
    <w:name w:val="List Bullet 4"/>
    <w:basedOn w:val="List4"/>
    <w:rsid w:val="000E1F2F"/>
    <w:pPr>
      <w:numPr>
        <w:numId w:val="3"/>
      </w:numPr>
    </w:pPr>
  </w:style>
  <w:style w:type="paragraph" w:styleId="ListBullet5">
    <w:name w:val="List Bullet 5"/>
    <w:basedOn w:val="List5"/>
    <w:rsid w:val="000E1F2F"/>
    <w:pPr>
      <w:numPr>
        <w:numId w:val="4"/>
      </w:numPr>
    </w:pPr>
  </w:style>
  <w:style w:type="paragraph" w:styleId="ListContinue2">
    <w:name w:val="List Continue 2"/>
    <w:basedOn w:val="List2"/>
    <w:rsid w:val="000E1F2F"/>
    <w:pPr>
      <w:ind w:firstLine="0"/>
    </w:pPr>
  </w:style>
  <w:style w:type="paragraph" w:styleId="ListContinue3">
    <w:name w:val="List Continue 3"/>
    <w:basedOn w:val="List3"/>
    <w:rsid w:val="000E1F2F"/>
    <w:pPr>
      <w:ind w:left="1021" w:firstLine="0"/>
    </w:pPr>
  </w:style>
  <w:style w:type="paragraph" w:styleId="ListContinue4">
    <w:name w:val="List Continue 4"/>
    <w:basedOn w:val="List4"/>
    <w:rsid w:val="000E1F2F"/>
    <w:pPr>
      <w:ind w:firstLine="0"/>
    </w:pPr>
  </w:style>
  <w:style w:type="paragraph" w:styleId="ListContinue5">
    <w:name w:val="List Continue 5"/>
    <w:basedOn w:val="List5"/>
    <w:rsid w:val="000E1F2F"/>
    <w:pPr>
      <w:ind w:firstLine="0"/>
    </w:pPr>
  </w:style>
  <w:style w:type="paragraph" w:styleId="ListNumber3">
    <w:name w:val="List Number 3"/>
    <w:basedOn w:val="List3"/>
    <w:rsid w:val="000E1F2F"/>
    <w:pPr>
      <w:numPr>
        <w:numId w:val="5"/>
      </w:numPr>
    </w:pPr>
  </w:style>
  <w:style w:type="paragraph" w:styleId="ListNumber4">
    <w:name w:val="List Number 4"/>
    <w:basedOn w:val="List4"/>
    <w:rsid w:val="000E1F2F"/>
    <w:pPr>
      <w:numPr>
        <w:numId w:val="6"/>
      </w:numPr>
    </w:pPr>
  </w:style>
  <w:style w:type="paragraph" w:styleId="ListNumber5">
    <w:name w:val="List Number 5"/>
    <w:basedOn w:val="List5"/>
    <w:rsid w:val="000E1F2F"/>
    <w:pPr>
      <w:numPr>
        <w:numId w:val="7"/>
      </w:numPr>
    </w:pPr>
  </w:style>
  <w:style w:type="paragraph" w:styleId="BlockText">
    <w:name w:val="Block Text"/>
    <w:basedOn w:val="Normal"/>
    <w:rsid w:val="000E1F2F"/>
    <w:pPr>
      <w:spacing w:after="120"/>
      <w:ind w:left="1440" w:right="1440"/>
    </w:pPr>
  </w:style>
  <w:style w:type="character" w:customStyle="1" w:styleId="Subscript">
    <w:name w:val="Subscript"/>
    <w:basedOn w:val="DefaultParagraphFont"/>
    <w:rsid w:val="000E1F2F"/>
    <w:rPr>
      <w:sz w:val="16"/>
      <w:vertAlign w:val="subscript"/>
    </w:rPr>
  </w:style>
  <w:style w:type="character" w:customStyle="1" w:styleId="Superscript">
    <w:name w:val="Superscript"/>
    <w:basedOn w:val="DefaultParagraphFont"/>
    <w:rsid w:val="000E1F2F"/>
    <w:rPr>
      <w:sz w:val="16"/>
      <w:vertAlign w:val="superscript"/>
    </w:rPr>
  </w:style>
  <w:style w:type="character" w:customStyle="1" w:styleId="Symbols">
    <w:name w:val="Symbols"/>
    <w:basedOn w:val="DefaultParagraphFont"/>
    <w:rsid w:val="000E1F2F"/>
    <w:rPr>
      <w:rFonts w:ascii="Symbol" w:hAnsi="Symbol"/>
    </w:rPr>
  </w:style>
  <w:style w:type="character" w:customStyle="1" w:styleId="MenuOptions">
    <w:name w:val="Menu Options"/>
    <w:basedOn w:val="DefaultParagraphFont"/>
    <w:rsid w:val="000E1F2F"/>
    <w:rPr>
      <w:rFonts w:ascii="Arial Narrow" w:hAnsi="Arial Narrow"/>
      <w:smallCaps/>
    </w:rPr>
  </w:style>
  <w:style w:type="character" w:customStyle="1" w:styleId="Buttons">
    <w:name w:val="Buttons"/>
    <w:basedOn w:val="DefaultParagraphFont"/>
    <w:rsid w:val="000E1F2F"/>
    <w:rPr>
      <w:b/>
    </w:rPr>
  </w:style>
  <w:style w:type="character" w:customStyle="1" w:styleId="Underlined">
    <w:name w:val="Underlined"/>
    <w:basedOn w:val="DefaultParagraphFont"/>
    <w:rsid w:val="000E1F2F"/>
    <w:rPr>
      <w:u w:val="single"/>
    </w:rPr>
  </w:style>
  <w:style w:type="paragraph" w:customStyle="1" w:styleId="TableBodyTextRight">
    <w:name w:val="Table Body Text Right"/>
    <w:basedOn w:val="TableBodyText"/>
    <w:rsid w:val="000E1F2F"/>
    <w:pPr>
      <w:widowControl w:val="0"/>
      <w:autoSpaceDE w:val="0"/>
      <w:autoSpaceDN w:val="0"/>
      <w:adjustRightInd w:val="0"/>
      <w:jc w:val="right"/>
    </w:pPr>
    <w:rPr>
      <w:rFonts w:cs="Arial"/>
      <w:szCs w:val="18"/>
    </w:rPr>
  </w:style>
  <w:style w:type="paragraph" w:customStyle="1" w:styleId="CopyrightText">
    <w:name w:val="Copyright Text"/>
    <w:basedOn w:val="BodyText"/>
    <w:rsid w:val="000E1F2F"/>
    <w:rPr>
      <w:sz w:val="18"/>
    </w:rPr>
  </w:style>
  <w:style w:type="paragraph" w:customStyle="1" w:styleId="BodySmallRight">
    <w:name w:val="Body Small Right"/>
    <w:basedOn w:val="BodyTextRight"/>
    <w:rsid w:val="000E1F2F"/>
    <w:rPr>
      <w:sz w:val="18"/>
      <w:szCs w:val="18"/>
    </w:rPr>
  </w:style>
  <w:style w:type="paragraph" w:customStyle="1" w:styleId="MarginEdition">
    <w:name w:val="Margin Edition"/>
    <w:basedOn w:val="MarginNote"/>
    <w:rsid w:val="000E1F2F"/>
    <w:pPr>
      <w:spacing w:before="0" w:after="0"/>
    </w:pPr>
    <w:rPr>
      <w:rFonts w:ascii="Times New Roman" w:hAnsi="Times New Roman"/>
      <w:color w:val="999999"/>
    </w:rPr>
  </w:style>
  <w:style w:type="paragraph" w:customStyle="1" w:styleId="Spacer">
    <w:name w:val="Spacer"/>
    <w:basedOn w:val="Normal"/>
    <w:rsid w:val="000E1F2F"/>
    <w:rPr>
      <w:sz w:val="2"/>
      <w:szCs w:val="2"/>
    </w:rPr>
  </w:style>
  <w:style w:type="character" w:customStyle="1" w:styleId="Small">
    <w:name w:val="Small"/>
    <w:basedOn w:val="DefaultParagraphFont"/>
    <w:rsid w:val="000E1F2F"/>
    <w:rPr>
      <w:sz w:val="16"/>
    </w:rPr>
  </w:style>
  <w:style w:type="paragraph" w:customStyle="1" w:styleId="WideTable">
    <w:name w:val="Wide Table"/>
    <w:basedOn w:val="Normal"/>
    <w:rsid w:val="000E1F2F"/>
    <w:pPr>
      <w:ind w:left="-1418"/>
    </w:pPr>
    <w:rPr>
      <w:sz w:val="2"/>
      <w:szCs w:val="2"/>
    </w:rPr>
  </w:style>
  <w:style w:type="character" w:styleId="PageNumber">
    <w:name w:val="page number"/>
    <w:basedOn w:val="DefaultParagraphFont"/>
    <w:rsid w:val="000E1F2F"/>
  </w:style>
  <w:style w:type="paragraph" w:styleId="Quote">
    <w:name w:val="Quote"/>
    <w:basedOn w:val="Heading1"/>
    <w:link w:val="QuoteChar"/>
    <w:qFormat/>
    <w:rsid w:val="000E1F2F"/>
    <w:rPr>
      <w:b w:val="0"/>
      <w:sz w:val="72"/>
      <w:szCs w:val="72"/>
      <w:lang w:val="en-NZ"/>
    </w:rPr>
  </w:style>
  <w:style w:type="character" w:customStyle="1" w:styleId="QuoteChar">
    <w:name w:val="Quote Char"/>
    <w:basedOn w:val="DefaultParagraphFont"/>
    <w:link w:val="Quote"/>
    <w:rsid w:val="000E1F2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E1F2F"/>
    <w:pPr>
      <w:pageBreakBefore/>
    </w:pPr>
  </w:style>
  <w:style w:type="paragraph" w:customStyle="1" w:styleId="Border">
    <w:name w:val="Border"/>
    <w:basedOn w:val="Normal"/>
    <w:qFormat/>
    <w:rsid w:val="000E1F2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E1F2F"/>
    <w:rPr>
      <w:b/>
      <w:bCs/>
      <w:i/>
      <w:iCs/>
      <w:color w:val="auto"/>
    </w:rPr>
  </w:style>
  <w:style w:type="paragraph" w:styleId="IntenseQuote">
    <w:name w:val="Intense Quote"/>
    <w:basedOn w:val="Normal"/>
    <w:next w:val="Normal"/>
    <w:link w:val="IntenseQuoteChar"/>
    <w:uiPriority w:val="30"/>
    <w:qFormat/>
    <w:rsid w:val="000E1F2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E1F2F"/>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0E1F2F"/>
    <w:rPr>
      <w:smallCaps/>
      <w:color w:val="auto"/>
      <w:u w:val="single"/>
    </w:rPr>
  </w:style>
  <w:style w:type="character" w:styleId="IntenseReference">
    <w:name w:val="Intense Reference"/>
    <w:basedOn w:val="DefaultParagraphFont"/>
    <w:uiPriority w:val="32"/>
    <w:qFormat/>
    <w:rsid w:val="000E1F2F"/>
    <w:rPr>
      <w:b/>
      <w:bCs/>
      <w:smallCaps/>
      <w:color w:val="auto"/>
      <w:spacing w:val="5"/>
      <w:u w:val="single"/>
    </w:rPr>
  </w:style>
  <w:style w:type="paragraph" w:customStyle="1" w:styleId="2ColumnHeading">
    <w:name w:val="2Column Heading"/>
    <w:basedOn w:val="BodyText"/>
    <w:qFormat/>
    <w:rsid w:val="000E1F2F"/>
    <w:pPr>
      <w:spacing w:after="60"/>
      <w:ind w:left="-2268"/>
    </w:pPr>
    <w:rPr>
      <w:b/>
    </w:rPr>
  </w:style>
  <w:style w:type="paragraph" w:customStyle="1" w:styleId="Heading1TOC">
    <w:name w:val="Heading1 TOC"/>
    <w:basedOn w:val="Normal"/>
    <w:qFormat/>
    <w:rsid w:val="000E1F2F"/>
    <w:pPr>
      <w:spacing w:before="240" w:after="120"/>
    </w:pPr>
    <w:rPr>
      <w:rFonts w:ascii="Times New Roman" w:hAnsi="Times New Roman"/>
      <w:b/>
      <w:sz w:val="32"/>
    </w:rPr>
  </w:style>
  <w:style w:type="paragraph" w:customStyle="1" w:styleId="Heading2TOC">
    <w:name w:val="Heading2 TOC"/>
    <w:basedOn w:val="Normal"/>
    <w:qFormat/>
    <w:rsid w:val="000E1F2F"/>
    <w:pPr>
      <w:spacing w:before="240" w:after="60"/>
    </w:pPr>
    <w:rPr>
      <w:rFonts w:ascii="Times New Roman" w:hAnsi="Times New Roman"/>
      <w:b/>
      <w:sz w:val="28"/>
    </w:rPr>
  </w:style>
  <w:style w:type="character" w:customStyle="1" w:styleId="Underline">
    <w:name w:val="Underline"/>
    <w:basedOn w:val="DefaultParagraphFont"/>
    <w:qFormat/>
    <w:rsid w:val="000E1F2F"/>
    <w:rPr>
      <w:u w:val="single"/>
    </w:rPr>
  </w:style>
  <w:style w:type="paragraph" w:styleId="BalloonText">
    <w:name w:val="Balloon Text"/>
    <w:basedOn w:val="Normal"/>
    <w:link w:val="BalloonTextChar"/>
    <w:rsid w:val="000E1F2F"/>
    <w:rPr>
      <w:rFonts w:ascii="Tahoma" w:hAnsi="Tahoma" w:cs="Tahoma"/>
      <w:sz w:val="16"/>
      <w:szCs w:val="16"/>
    </w:rPr>
  </w:style>
  <w:style w:type="character" w:customStyle="1" w:styleId="BalloonTextChar">
    <w:name w:val="Balloon Text Char"/>
    <w:basedOn w:val="DefaultParagraphFont"/>
    <w:link w:val="BalloonText"/>
    <w:rsid w:val="000E1F2F"/>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0E1F2F"/>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0E1F2F"/>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1066</Words>
  <Characters>6788</Characters>
  <Application>Microsoft Office Word</Application>
  <DocSecurity>0</DocSecurity>
  <Lines>255</Lines>
  <Paragraphs>136</Paragraphs>
  <ScaleCrop>false</ScaleCrop>
  <Company>Author-it Software Corporation Ltd.</Company>
  <LinksUpToDate>false</LinksUpToDate>
  <CharactersWithSpaces>7782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FNSISV301A Evaluate risk for renewal business</dc:title>
  <dc:subject>Approved</dc:subject>
  <dc:creator>Innovation and Business Skills Australia</dc:creator>
  <cp:keywords>Revision Number: 1</cp:keywords>
  <dc:description>Copyright © 1996-2007 Author-it Software Corporation Ltd., all rights reserved.</dc:description>
  <cp:lastModifiedBy>Craig Taylor</cp:lastModifiedBy>
  <cp:revision>3</cp:revision>
  <dcterms:created xsi:type="dcterms:W3CDTF">2012-05-26T16:25:00Z</dcterms:created>
  <dcterms:modified xsi:type="dcterms:W3CDTF">2012-05-26T16:25:00Z</dcterms:modified>
</cp:coreProperties>
</file>