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6E5" w:rsidP="003556E5">
      <w:pPr>
        <w:pStyle w:val="Title"/>
      </w:pPr>
      <w:r>
        <w:fldChar w:fldCharType="begin"/>
      </w:r>
      <w:r>
        <w:instrText xml:space="preserve"> TITLE   \* MERGEFORMAT </w:instrText>
      </w:r>
      <w:r>
        <w:fldChar w:fldCharType="separate"/>
      </w:r>
      <w:r>
        <w:t>FNSINC602A Interpret and use financial statistics and tools</w:t>
      </w:r>
      <w:r>
        <w:fldChar w:fldCharType="end"/>
      </w:r>
    </w:p>
    <w:p w:rsidR="003556E5" w:rsidP="003556E5">
      <w:pPr>
        <w:pStyle w:val="Version"/>
        <w:sectPr w:rsidSect="000B1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1D1F" w:rsidP="000B1D1F">
      <w:pPr>
        <w:pStyle w:val="SuperHeading"/>
      </w:pPr>
      <w:r w:rsidRPr="000B1D1F">
        <w:t>FNSINC602A Interpret and use financial statistics and tools</w:t>
      </w:r>
    </w:p>
    <w:p w:rsidR="00000000" w:rsidRPr="000B1D1F" w:rsidP="000B1D1F">
      <w:pPr>
        <w:pStyle w:val="SuperHeading"/>
      </w:pPr>
    </w:p>
    <w:p w:rsidR="00000000" w:rsidRPr="000B1D1F" w:rsidP="000B1D1F">
      <w:pPr>
        <w:pStyle w:val="Heading1"/>
      </w:pPr>
      <w:bookmarkStart w:id="1" w:name="O_79347"/>
      <w:bookmarkEnd w:id="1"/>
      <w:r w:rsidRPr="000B1D1F">
        <w:t>Modification History</w:t>
      </w:r>
    </w:p>
    <w:p w:rsidR="00000000" w:rsidRPr="000B1D1F" w:rsidP="000B1D1F">
      <w:pPr>
        <w:pStyle w:val="BodyText"/>
      </w:pPr>
      <w:r w:rsidRPr="000B1D1F">
        <w:t>Not applicable.</w:t>
      </w:r>
    </w:p>
    <w:p w:rsidR="00000000" w:rsidRPr="000B1D1F" w:rsidP="000B1D1F">
      <w:pPr>
        <w:pStyle w:val="AllowPageBreak"/>
      </w:pPr>
    </w:p>
    <w:p w:rsidR="00000000" w:rsidRPr="000B1D1F" w:rsidP="000B1D1F">
      <w:pPr>
        <w:pStyle w:val="Heading1"/>
      </w:pPr>
      <w:bookmarkStart w:id="2" w:name="O_79348"/>
      <w:bookmarkEnd w:id="2"/>
      <w:r w:rsidRPr="000B1D1F">
        <w:t>Unit Descriptor</w:t>
      </w:r>
    </w:p>
    <w:tbl>
      <w:tblPr>
        <w:tblW w:w="0" w:type="auto"/>
        <w:tblLayout w:type="fixed"/>
        <w:tblCellMar>
          <w:left w:w="62" w:type="dxa"/>
          <w:right w:w="62" w:type="dxa"/>
        </w:tblCellMar>
        <w:tblLook w:val="0000"/>
      </w:tblPr>
      <w:tblGrid>
        <w:gridCol w:w="2641"/>
        <w:gridCol w:w="5881"/>
      </w:tblGrid>
      <w:tr w:rsidTr="003556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This unit covers the application of techniques to access, interpret and analyse statistical d</w:t>
            </w:r>
            <w:r w:rsidRPr="000B1D1F">
              <w:t>ata relevant to the financial services industry. It encompasses producing new statistical information and reports from existing data using a range of tools and processes.</w:t>
            </w:r>
          </w:p>
          <w:p w:rsidR="00000000" w:rsidRPr="000B1D1F" w:rsidP="000B1D1F">
            <w:pPr>
              <w:pStyle w:val="BodyText"/>
            </w:pPr>
          </w:p>
          <w:p w:rsidR="00000000" w:rsidRPr="000B1D1F" w:rsidP="000B1D1F">
            <w:pPr>
              <w:pStyle w:val="BodyText"/>
            </w:pPr>
            <w:r w:rsidRPr="000B1D1F">
              <w:t>There are no regulatory or licensing requirements applicable to this unit at the tim</w:t>
            </w:r>
            <w:r w:rsidRPr="000B1D1F">
              <w:t>e of endorsement.</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3" w:name="O_79349"/>
      <w:bookmarkEnd w:id="3"/>
      <w:r w:rsidRPr="000B1D1F">
        <w:t>Application of the Unit</w:t>
      </w:r>
    </w:p>
    <w:tbl>
      <w:tblPr>
        <w:tblW w:w="0" w:type="auto"/>
        <w:tblLayout w:type="fixed"/>
        <w:tblCellMar>
          <w:left w:w="62" w:type="dxa"/>
          <w:right w:w="62" w:type="dxa"/>
        </w:tblCellMar>
        <w:tblLook w:val="0000"/>
      </w:tblPr>
      <w:tblGrid>
        <w:gridCol w:w="2719"/>
        <w:gridCol w:w="5803"/>
      </w:tblGrid>
      <w:tr w:rsidTr="003556E5">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 xml:space="preserve">This unit requires application of a thorough understanding of the sources of financial data and statistical methods and techniques for analysis. </w:t>
            </w:r>
            <w:r w:rsidRPr="000B1D1F">
              <w:t>It is a base unit on which other skills required for work in the financial services industry can be built. It may be applied in all sectors of the industry.</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4" w:name="O_79350"/>
      <w:bookmarkEnd w:id="4"/>
      <w:r w:rsidRPr="000B1D1F">
        <w:t>Licensing/Regulatory Information</w:t>
      </w:r>
    </w:p>
    <w:p w:rsidR="00000000" w:rsidRPr="000B1D1F" w:rsidP="000B1D1F">
      <w:pPr>
        <w:pStyle w:val="BodyText"/>
      </w:pPr>
      <w:r w:rsidRPr="000B1D1F">
        <w:t>Not applicable.</w:t>
      </w:r>
    </w:p>
    <w:p w:rsidR="00000000" w:rsidRPr="000B1D1F" w:rsidP="000B1D1F">
      <w:pPr>
        <w:pStyle w:val="AllowPageBreak"/>
      </w:pPr>
    </w:p>
    <w:p w:rsidR="00000000" w:rsidRPr="000B1D1F" w:rsidP="000B1D1F">
      <w:pPr>
        <w:pStyle w:val="Heading1"/>
      </w:pPr>
      <w:bookmarkStart w:id="5" w:name="O_79352"/>
      <w:bookmarkEnd w:id="5"/>
      <w:r w:rsidRPr="000B1D1F">
        <w:t>Pre-Requisites</w:t>
      </w:r>
    </w:p>
    <w:tbl>
      <w:tblPr>
        <w:tblW w:w="0" w:type="auto"/>
        <w:tblLayout w:type="fixed"/>
        <w:tblCellMar>
          <w:left w:w="62" w:type="dxa"/>
          <w:right w:w="62" w:type="dxa"/>
        </w:tblCellMar>
        <w:tblLook w:val="0000"/>
      </w:tblPr>
      <w:tblGrid>
        <w:gridCol w:w="2745"/>
        <w:gridCol w:w="1301"/>
        <w:gridCol w:w="4476"/>
      </w:tblGrid>
      <w:tr w:rsidTr="003556E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p>
        </w:tc>
      </w:tr>
      <w:tr w:rsidTr="003556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p>
        </w:tc>
      </w:tr>
      <w:tr w:rsidTr="003556E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6" w:name="O_79351"/>
      <w:bookmarkEnd w:id="6"/>
      <w:r w:rsidRPr="000B1D1F">
        <w:t>Employability Skills Information</w:t>
      </w:r>
    </w:p>
    <w:tbl>
      <w:tblPr>
        <w:tblW w:w="0" w:type="auto"/>
        <w:tblLayout w:type="fixed"/>
        <w:tblCellMar>
          <w:left w:w="62" w:type="dxa"/>
          <w:right w:w="62" w:type="dxa"/>
        </w:tblCellMar>
        <w:tblLook w:val="0000"/>
      </w:tblPr>
      <w:tblGrid>
        <w:gridCol w:w="2762"/>
        <w:gridCol w:w="5760"/>
      </w:tblGrid>
      <w:tr w:rsidTr="003556E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This unit contains employability skills.</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7" w:name="O_79353"/>
      <w:bookmarkEnd w:id="7"/>
      <w:r w:rsidRPr="000B1D1F">
        <w:t>Elements and Performance Criteria Pre-Content</w:t>
      </w:r>
    </w:p>
    <w:tbl>
      <w:tblPr>
        <w:tblW w:w="0" w:type="auto"/>
        <w:tblLayout w:type="fixed"/>
        <w:tblCellMar>
          <w:left w:w="62" w:type="dxa"/>
          <w:right w:w="62" w:type="dxa"/>
        </w:tblCellMar>
        <w:tblLook w:val="0000"/>
      </w:tblPr>
      <w:tblGrid>
        <w:gridCol w:w="2529"/>
        <w:gridCol w:w="5993"/>
      </w:tblGrid>
      <w:tr w:rsidTr="003556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Performance criteria describe the performance needed to demonstrate achievement of the element. Where bold italicised text is used, further information is detailed in the required skills and</w:t>
            </w:r>
            <w:r w:rsidRPr="000B1D1F">
              <w:t xml:space="preserve"> knowledge section and the range statement. Assessment of performance is to be consistent with the evidence guide.</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8" w:name="O_79354"/>
      <w:bookmarkEnd w:id="8"/>
      <w:r w:rsidRPr="000B1D1F">
        <w:t>Elements and Performance Criteria</w:t>
      </w:r>
    </w:p>
    <w:tbl>
      <w:tblPr>
        <w:tblW w:w="0" w:type="auto"/>
        <w:tblLayout w:type="fixed"/>
        <w:tblCellMar>
          <w:left w:w="62" w:type="dxa"/>
          <w:right w:w="62" w:type="dxa"/>
        </w:tblCellMar>
        <w:tblLook w:val="0000"/>
      </w:tblPr>
      <w:tblGrid>
        <w:gridCol w:w="2529"/>
        <w:gridCol w:w="5993"/>
      </w:tblGrid>
      <w:tr w:rsidTr="003556E5">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PERFORMANCE CRITERIA</w:t>
            </w:r>
          </w:p>
        </w:tc>
      </w:tr>
      <w:tr w:rsidTr="003556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List"/>
              <w:rPr>
                <w:lang w:val="en-NZ"/>
              </w:rPr>
            </w:pPr>
            <w:r w:rsidRPr="000B1D1F">
              <w:t>1.</w:t>
            </w:r>
            <w:r w:rsidRPr="000B1D1F">
              <w:tab/>
              <w:t>Apply statistical methods to work</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2"/>
            </w:pPr>
            <w:r w:rsidRPr="000B1D1F">
              <w:t>1.1.</w:t>
            </w:r>
            <w:r w:rsidRPr="000B1D1F">
              <w:tab/>
              <w:t xml:space="preserve">Appropriate </w:t>
            </w:r>
            <w:r w:rsidRPr="000B1D1F">
              <w:rPr>
                <w:rStyle w:val="BoldandItalics"/>
              </w:rPr>
              <w:t>statistical methods</w:t>
            </w:r>
            <w:r w:rsidRPr="000B1D1F">
              <w:t xml:space="preserve"> that apply to financial services work are evaluated and chosen to suit the required work outcome</w:t>
            </w:r>
          </w:p>
          <w:p w:rsidR="00000000" w:rsidP="000B1D1F">
            <w:pPr>
              <w:pStyle w:val="List2"/>
              <w:rPr>
                <w:lang w:val="en-NZ"/>
              </w:rPr>
            </w:pPr>
            <w:r w:rsidRPr="000B1D1F">
              <w:t>1.2.</w:t>
            </w:r>
            <w:r w:rsidRPr="000B1D1F">
              <w:tab/>
              <w:t xml:space="preserve">Suitable </w:t>
            </w:r>
            <w:r w:rsidRPr="000B1D1F">
              <w:rPr>
                <w:rStyle w:val="BoldandItalics"/>
              </w:rPr>
              <w:t>tools and techniques</w:t>
            </w:r>
            <w:r w:rsidRPr="000B1D1F">
              <w:t xml:space="preserve"> for statistical analysis are known and used effectively</w:t>
            </w:r>
          </w:p>
        </w:tc>
      </w:tr>
      <w:tr w:rsidTr="003556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List"/>
              <w:rPr>
                <w:lang w:val="en-NZ"/>
              </w:rPr>
            </w:pPr>
            <w:r w:rsidRPr="000B1D1F">
              <w:t>2.</w:t>
            </w:r>
            <w:r w:rsidRPr="000B1D1F">
              <w:tab/>
              <w:t>Source and interpret statistical data</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2"/>
            </w:pPr>
            <w:r w:rsidRPr="000B1D1F">
              <w:t>2.1.</w:t>
            </w:r>
            <w:r w:rsidRPr="000B1D1F">
              <w:tab/>
              <w:t>I</w:t>
            </w:r>
            <w:r w:rsidRPr="000B1D1F">
              <w:t xml:space="preserve">nternal and external </w:t>
            </w:r>
            <w:r w:rsidRPr="000B1D1F">
              <w:rPr>
                <w:rStyle w:val="BoldandItalics"/>
              </w:rPr>
              <w:t>data and information sources</w:t>
            </w:r>
            <w:r w:rsidRPr="000B1D1F">
              <w:t xml:space="preserve"> are identified and accessed to source relevant current data</w:t>
            </w:r>
          </w:p>
          <w:p w:rsidR="00000000" w:rsidRPr="000B1D1F" w:rsidP="000B1D1F">
            <w:pPr>
              <w:pStyle w:val="List2"/>
            </w:pPr>
            <w:r w:rsidRPr="000B1D1F">
              <w:t>2.2.</w:t>
            </w:r>
            <w:r w:rsidRPr="000B1D1F">
              <w:tab/>
              <w:t xml:space="preserve">Data are validated in accordance with industry </w:t>
            </w:r>
            <w:r w:rsidRPr="000B1D1F">
              <w:rPr>
                <w:rStyle w:val="BoldandItalics"/>
              </w:rPr>
              <w:t>statistical standards</w:t>
            </w:r>
          </w:p>
          <w:p w:rsidR="00000000" w:rsidRPr="000B1D1F" w:rsidP="000B1D1F">
            <w:pPr>
              <w:pStyle w:val="List2"/>
            </w:pPr>
            <w:r w:rsidRPr="000B1D1F">
              <w:t>2.3.</w:t>
            </w:r>
            <w:r w:rsidRPr="000B1D1F">
              <w:tab/>
              <w:t>Data summaries and trends are used to verify currency and utility</w:t>
            </w:r>
          </w:p>
          <w:p w:rsidR="00000000" w:rsidP="000B1D1F">
            <w:pPr>
              <w:pStyle w:val="List2"/>
              <w:rPr>
                <w:lang w:val="en-NZ"/>
              </w:rPr>
            </w:pPr>
            <w:r w:rsidRPr="000B1D1F">
              <w:t>2</w:t>
            </w:r>
            <w:r w:rsidRPr="000B1D1F">
              <w:t>.4.</w:t>
            </w:r>
            <w:r w:rsidRPr="000B1D1F">
              <w:tab/>
            </w:r>
            <w:r w:rsidRPr="000B1D1F">
              <w:rPr>
                <w:rStyle w:val="BoldandItalics"/>
              </w:rPr>
              <w:t>Sampling techniques</w:t>
            </w:r>
            <w:r w:rsidRPr="000B1D1F">
              <w:t xml:space="preserve"> and </w:t>
            </w:r>
            <w:r w:rsidRPr="000B1D1F">
              <w:rPr>
                <w:rStyle w:val="BoldandItalics"/>
              </w:rPr>
              <w:t>diagrammatic</w:t>
            </w:r>
            <w:r w:rsidRPr="000B1D1F">
              <w:t xml:space="preserve">, </w:t>
            </w:r>
            <w:r w:rsidRPr="000B1D1F">
              <w:rPr>
                <w:rStyle w:val="BoldandItalics"/>
              </w:rPr>
              <w:t>graphical and tabular information</w:t>
            </w:r>
            <w:r w:rsidRPr="000B1D1F">
              <w:t xml:space="preserve"> are correctly interpreted and used for the required purpose</w:t>
            </w:r>
          </w:p>
        </w:tc>
      </w:tr>
      <w:tr w:rsidTr="003556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List"/>
              <w:rPr>
                <w:lang w:val="en-NZ"/>
              </w:rPr>
            </w:pPr>
            <w:r w:rsidRPr="000B1D1F">
              <w:t>3.</w:t>
            </w:r>
            <w:r w:rsidRPr="000B1D1F">
              <w:tab/>
              <w:t>Analyse data using appropriate techniques and tools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2"/>
            </w:pPr>
            <w:r w:rsidRPr="000B1D1F">
              <w:t>3.1.</w:t>
            </w:r>
            <w:r w:rsidRPr="000B1D1F">
              <w:tab/>
              <w:t>Organisational requirements and priorities are reflected in</w:t>
            </w:r>
            <w:r w:rsidRPr="000B1D1F">
              <w:t xml:space="preserve"> the analysis of statistical data</w:t>
            </w:r>
          </w:p>
          <w:p w:rsidR="00000000" w:rsidRPr="000B1D1F" w:rsidP="000B1D1F">
            <w:pPr>
              <w:pStyle w:val="List2"/>
            </w:pPr>
            <w:r w:rsidRPr="000B1D1F">
              <w:t>3.2.</w:t>
            </w:r>
            <w:r w:rsidRPr="000B1D1F">
              <w:tab/>
            </w:r>
            <w:r w:rsidRPr="000B1D1F">
              <w:rPr>
                <w:rStyle w:val="BoldandItalics"/>
              </w:rPr>
              <w:t>Analysis</w:t>
            </w:r>
            <w:r w:rsidRPr="000B1D1F">
              <w:t xml:space="preserve"> and descriptive tools and techniques are used to meet the required outcomes with any data </w:t>
            </w:r>
            <w:r w:rsidRPr="000B1D1F">
              <w:rPr>
                <w:rStyle w:val="BoldandItalics"/>
              </w:rPr>
              <w:t>errors</w:t>
            </w:r>
            <w:r w:rsidRPr="000B1D1F">
              <w:t xml:space="preserve"> corrected</w:t>
            </w:r>
          </w:p>
          <w:p w:rsidR="00000000" w:rsidP="000B1D1F">
            <w:pPr>
              <w:pStyle w:val="List2"/>
              <w:rPr>
                <w:lang w:val="en-NZ"/>
              </w:rPr>
            </w:pPr>
            <w:r w:rsidRPr="000B1D1F">
              <w:t>3.3.</w:t>
            </w:r>
            <w:r w:rsidRPr="000B1D1F">
              <w:tab/>
              <w:t xml:space="preserve">Reports of analysis are produced on time and in the appropriate detail and format including use </w:t>
            </w:r>
            <w:r w:rsidRPr="000B1D1F">
              <w:t>of diagrammatic, graphical and tabular information</w:t>
            </w:r>
          </w:p>
        </w:tc>
      </w:tr>
      <w:tr w:rsidTr="003556E5">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List"/>
              <w:rPr>
                <w:lang w:val="en-NZ"/>
              </w:rPr>
            </w:pPr>
            <w:r w:rsidRPr="000B1D1F">
              <w:t>4.</w:t>
            </w:r>
            <w:r w:rsidRPr="000B1D1F">
              <w:tab/>
              <w:t>Record statistical data analysis results and records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2"/>
            </w:pPr>
            <w:r w:rsidRPr="000B1D1F">
              <w:t>4.1.</w:t>
            </w:r>
            <w:r w:rsidRPr="000B1D1F">
              <w:tab/>
              <w:t>Records of data and statistical analysis are validated to ensure accuracy and consistency with industry and organisational standards</w:t>
            </w:r>
          </w:p>
          <w:p w:rsidR="00000000" w:rsidRPr="000B1D1F" w:rsidP="000B1D1F">
            <w:pPr>
              <w:pStyle w:val="List2"/>
            </w:pPr>
            <w:r w:rsidRPr="000B1D1F">
              <w:t>4.2.</w:t>
            </w:r>
            <w:r w:rsidRPr="000B1D1F">
              <w:tab/>
            </w:r>
            <w:r w:rsidRPr="000B1D1F">
              <w:t>Records are filed and stored for easy retrieval while meeting all security requirements</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9" w:name="O_79355"/>
      <w:bookmarkEnd w:id="9"/>
      <w:r w:rsidRPr="000B1D1F">
        <w:t>Required Skills and Knowledge</w:t>
      </w:r>
    </w:p>
    <w:tbl>
      <w:tblPr>
        <w:tblW w:w="0" w:type="auto"/>
        <w:tblLayout w:type="fixed"/>
        <w:tblCellMar>
          <w:left w:w="62" w:type="dxa"/>
          <w:right w:w="62" w:type="dxa"/>
        </w:tblCellMar>
        <w:tblLook w:val="0000"/>
      </w:tblPr>
      <w:tblGrid>
        <w:gridCol w:w="8522"/>
      </w:tblGrid>
      <w:tr w:rsidTr="003556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REQUIRED SKILLS AND KNOWLEDGE</w:t>
            </w:r>
          </w:p>
        </w:tc>
      </w:tr>
      <w:tr w:rsidTr="003556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t>This section describes the skills and knowledge required for this unit.</w:t>
            </w:r>
          </w:p>
        </w:tc>
      </w:tr>
      <w:tr w:rsidTr="00355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Required skills</w:t>
            </w:r>
          </w:p>
        </w:tc>
      </w:tr>
      <w:tr w:rsidTr="00355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communication skills to:</w:t>
            </w:r>
          </w:p>
          <w:p w:rsidR="00000000" w:rsidRPr="000B1D1F" w:rsidP="000B1D1F">
            <w:pPr>
              <w:pStyle w:val="ListBullet2"/>
            </w:pPr>
            <w:r w:rsidRPr="000B1D1F">
              <w:t>determine and confirm research requirements, using questioning and active listening as required</w:t>
            </w:r>
          </w:p>
          <w:p w:rsidR="00000000" w:rsidRPr="000B1D1F" w:rsidP="000B1D1F">
            <w:pPr>
              <w:pStyle w:val="ListBullet2"/>
            </w:pPr>
            <w:r w:rsidRPr="000B1D1F">
              <w:t>liaise with others, share information, listen and understand</w:t>
            </w:r>
          </w:p>
          <w:p w:rsidR="00000000" w:rsidRPr="000B1D1F" w:rsidP="000B1D1F">
            <w:pPr>
              <w:pStyle w:val="ListBullet2"/>
            </w:pPr>
            <w:r w:rsidRPr="000B1D1F">
              <w:t>use language and concepts appropriate to cultural differences</w:t>
            </w:r>
          </w:p>
          <w:p w:rsidR="00000000" w:rsidRPr="000B1D1F" w:rsidP="000B1D1F">
            <w:pPr>
              <w:pStyle w:val="ListBullet"/>
            </w:pPr>
            <w:r w:rsidRPr="000B1D1F">
              <w:t>literacy skills for drafting technical documentation</w:t>
            </w:r>
          </w:p>
          <w:p w:rsidR="00000000" w:rsidRPr="000B1D1F" w:rsidP="000B1D1F">
            <w:pPr>
              <w:pStyle w:val="ListBullet"/>
            </w:pPr>
            <w:r w:rsidRPr="000B1D1F">
              <w:t>highly developed numeracy and IT skills for:</w:t>
            </w:r>
          </w:p>
          <w:p w:rsidR="00000000" w:rsidRPr="000B1D1F" w:rsidP="000B1D1F">
            <w:pPr>
              <w:pStyle w:val="ListBullet2"/>
            </w:pPr>
            <w:r w:rsidRPr="000B1D1F">
              <w:t>using statistical formulas</w:t>
            </w:r>
          </w:p>
          <w:p w:rsidR="00000000" w:rsidRPr="000B1D1F" w:rsidP="000B1D1F">
            <w:pPr>
              <w:pStyle w:val="ListBullet2"/>
            </w:pPr>
            <w:r w:rsidRPr="000B1D1F">
              <w:t>accessing and using appropriate software such as word processors, spreadsheets and databases</w:t>
            </w:r>
          </w:p>
          <w:p w:rsidR="00000000" w:rsidRPr="000B1D1F" w:rsidP="000B1D1F">
            <w:pPr>
              <w:pStyle w:val="ListBullet2"/>
            </w:pPr>
            <w:r w:rsidRPr="000B1D1F">
              <w:t>using internet information</w:t>
            </w:r>
          </w:p>
          <w:p w:rsidR="00000000" w:rsidRPr="000B1D1F" w:rsidP="000B1D1F">
            <w:pPr>
              <w:pStyle w:val="ListBullet"/>
            </w:pPr>
            <w:r w:rsidRPr="000B1D1F">
              <w:t>problem s</w:t>
            </w:r>
            <w:r w:rsidRPr="000B1D1F">
              <w:t>olving skills to identify any issues that have the potential to impact on the research and analysis process or outcome and to develop options to resolve these issues when they arise</w:t>
            </w:r>
          </w:p>
          <w:p w:rsidR="00000000" w:rsidP="000B1D1F">
            <w:pPr>
              <w:pStyle w:val="ListBullet"/>
              <w:rPr>
                <w:lang w:val="en-NZ"/>
              </w:rPr>
            </w:pPr>
            <w:r w:rsidRPr="000B1D1F">
              <w:t>organisational skills, including the ability to plan and sequence work</w:t>
            </w:r>
          </w:p>
        </w:tc>
      </w:tr>
      <w:tr w:rsidTr="00355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Required knowledge</w:t>
            </w:r>
          </w:p>
        </w:tc>
      </w:tr>
      <w:tr w:rsidTr="003556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mathematical underpinnings of statistical methods</w:t>
            </w:r>
          </w:p>
          <w:p w:rsidR="00000000" w:rsidRPr="000B1D1F" w:rsidP="000B1D1F">
            <w:pPr>
              <w:pStyle w:val="ListBullet"/>
            </w:pPr>
            <w:r w:rsidRPr="000B1D1F">
              <w:t>the range of statistical ratios and analysis tools relevant to the financial services industry</w:t>
            </w:r>
          </w:p>
          <w:p w:rsidR="00000000" w:rsidRPr="000B1D1F" w:rsidP="000B1D1F">
            <w:pPr>
              <w:pStyle w:val="ListBullet"/>
            </w:pPr>
            <w:r w:rsidRPr="000B1D1F">
              <w:t>sources of relevant information available</w:t>
            </w:r>
          </w:p>
          <w:p w:rsidR="00000000" w:rsidRPr="000B1D1F" w:rsidP="000B1D1F">
            <w:pPr>
              <w:pStyle w:val="ListBullet"/>
            </w:pPr>
            <w:r w:rsidRPr="000B1D1F">
              <w:t>types of graphs, charts, diagrams and tables use</w:t>
            </w:r>
            <w:r w:rsidRPr="000B1D1F">
              <w:t>d in statistical modelling and reporting</w:t>
            </w:r>
          </w:p>
          <w:p w:rsidR="00000000" w:rsidRPr="000B1D1F" w:rsidP="000B1D1F">
            <w:pPr>
              <w:pStyle w:val="ListBullet"/>
            </w:pPr>
            <w:r w:rsidRPr="000B1D1F">
              <w:t>statistical standards</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10" w:name="O_79356"/>
      <w:bookmarkEnd w:id="10"/>
      <w:r w:rsidRPr="000B1D1F">
        <w:t>Evidence Guide</w:t>
      </w:r>
    </w:p>
    <w:tbl>
      <w:tblPr>
        <w:tblW w:w="9570" w:type="dxa"/>
        <w:tblLayout w:type="fixed"/>
        <w:tblCellMar>
          <w:left w:w="62" w:type="dxa"/>
          <w:right w:w="62" w:type="dxa"/>
        </w:tblCellMar>
        <w:tblLook w:val="0000"/>
      </w:tblPr>
      <w:tblGrid>
        <w:gridCol w:w="3908"/>
        <w:gridCol w:w="5662"/>
      </w:tblGrid>
      <w:tr w:rsidTr="003556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EVIDENCE GUIDE</w:t>
            </w:r>
          </w:p>
        </w:tc>
      </w:tr>
      <w:tr w:rsidTr="003556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t xml:space="preserve">The Evidence Guide provides advice on assessment and must be read in conjunction with the performance criteria, required skills and knowledge, </w:t>
            </w:r>
            <w:r w:rsidRPr="000B1D1F">
              <w:t>range statement and the Assessment Guidelines for the Training Package.</w:t>
            </w:r>
          </w:p>
        </w:tc>
      </w:tr>
      <w:tr w:rsidTr="00355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p>
        </w:tc>
      </w:tr>
      <w:tr w:rsidTr="00355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Evidence of the ability to:</w:t>
            </w:r>
          </w:p>
          <w:p w:rsidR="00000000" w:rsidRPr="000B1D1F" w:rsidP="000B1D1F">
            <w:pPr>
              <w:pStyle w:val="ListBullet"/>
            </w:pPr>
            <w:r w:rsidRPr="000B1D1F">
              <w:t>apply knowledge of statistical meth</w:t>
            </w:r>
            <w:r w:rsidRPr="000B1D1F">
              <w:t>ods used in the financial services industry</w:t>
            </w:r>
          </w:p>
          <w:p w:rsidR="00000000" w:rsidRPr="000B1D1F" w:rsidP="000B1D1F">
            <w:pPr>
              <w:pStyle w:val="ListBullet"/>
            </w:pPr>
            <w:r w:rsidRPr="000B1D1F">
              <w:t>source and access statistical and other data and produce and interpret statistics</w:t>
            </w:r>
          </w:p>
          <w:p w:rsidR="00000000" w:rsidRPr="000B1D1F" w:rsidP="000B1D1F">
            <w:pPr>
              <w:pStyle w:val="ListBullet"/>
            </w:pPr>
            <w:r w:rsidRPr="000B1D1F">
              <w:t>use financial data tools and calculations to produce accurate and informative statistical reports from data</w:t>
            </w:r>
          </w:p>
          <w:p w:rsidR="00000000" w:rsidP="000B1D1F">
            <w:pPr>
              <w:pStyle w:val="ListBullet"/>
              <w:rPr>
                <w:lang w:val="en-NZ"/>
              </w:rPr>
            </w:pPr>
            <w:r w:rsidRPr="000B1D1F">
              <w:t>record and store data for retrieval.</w:t>
            </w:r>
          </w:p>
        </w:tc>
      </w:tr>
      <w:tr w:rsidTr="00355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Assessment must ensure:</w:t>
            </w:r>
          </w:p>
          <w:p w:rsidR="00000000" w:rsidRPr="000B1D1F" w:rsidP="000B1D1F">
            <w:pPr>
              <w:pStyle w:val="ListBullet"/>
            </w:pPr>
            <w:r w:rsidRPr="000B1D1F">
              <w:t xml:space="preserve">competency is demonstrated in the context of the financial services work environment </w:t>
            </w:r>
            <w:r w:rsidRPr="000B1D1F">
              <w:t>and conditions specified in the range statement either in a relevant workplace or a closely simulated work environment</w:t>
            </w:r>
          </w:p>
          <w:p w:rsidR="00000000" w:rsidRPr="000B1D1F" w:rsidP="000B1D1F">
            <w:pPr>
              <w:pStyle w:val="ListBullet"/>
            </w:pPr>
            <w:r w:rsidRPr="000B1D1F">
              <w:t>access to and the use of a range of common office equipment, technology, software and consumables</w:t>
            </w:r>
          </w:p>
          <w:p w:rsidR="00000000" w:rsidRPr="000B1D1F" w:rsidP="000B1D1F">
            <w:pPr>
              <w:pStyle w:val="ListBullet"/>
            </w:pPr>
            <w:r w:rsidRPr="000B1D1F">
              <w:t>statistical modelling software</w:t>
            </w:r>
          </w:p>
          <w:p w:rsidR="00000000" w:rsidP="000B1D1F">
            <w:pPr>
              <w:pStyle w:val="ListBullet"/>
              <w:rPr>
                <w:lang w:val="en-NZ"/>
              </w:rPr>
            </w:pPr>
            <w:r w:rsidRPr="000B1D1F">
              <w:t xml:space="preserve">a range </w:t>
            </w:r>
            <w:r w:rsidRPr="000B1D1F">
              <w:t>of financial services industry statistical data.</w:t>
            </w:r>
          </w:p>
        </w:tc>
      </w:tr>
      <w:tr w:rsidTr="00355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A range of assessment methods should be used to assess practical skills and knowledge. The following examples, in combination, are appropriate for this unit:</w:t>
            </w:r>
          </w:p>
          <w:p w:rsidR="00000000" w:rsidRPr="000B1D1F" w:rsidP="000B1D1F">
            <w:pPr>
              <w:pStyle w:val="ListBullet"/>
            </w:pPr>
            <w:r w:rsidRPr="000B1D1F">
              <w:t>evaluating an integrated a</w:t>
            </w:r>
            <w:r w:rsidRPr="000B1D1F">
              <w:t>ctivity which combines the elements of competency for the unit or a cluster of related units of competency</w:t>
            </w:r>
          </w:p>
          <w:p w:rsidR="00000000" w:rsidRPr="000B1D1F" w:rsidP="000B1D1F">
            <w:pPr>
              <w:pStyle w:val="ListBullet"/>
            </w:pPr>
            <w:r w:rsidRPr="000B1D1F">
              <w:t>verbal or written questioning on underpinning knowledge and skills which may include formal examinations</w:t>
            </w:r>
          </w:p>
          <w:p w:rsidR="00000000" w:rsidRPr="000B1D1F" w:rsidP="000B1D1F">
            <w:pPr>
              <w:pStyle w:val="ListBullet"/>
            </w:pPr>
            <w:r w:rsidRPr="000B1D1F">
              <w:t>setting and reviewing workplace projects and business simulations/scenarios</w:t>
            </w:r>
          </w:p>
          <w:p w:rsidR="00000000" w:rsidP="000B1D1F">
            <w:pPr>
              <w:pStyle w:val="ListBullet"/>
              <w:rPr>
                <w:lang w:val="en-NZ"/>
              </w:rPr>
            </w:pPr>
            <w:r w:rsidRPr="000B1D1F">
              <w:t>evaluating samples of work.</w:t>
            </w:r>
          </w:p>
        </w:tc>
      </w:tr>
      <w:tr w:rsidTr="003556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11" w:name="O_79357"/>
      <w:bookmarkEnd w:id="11"/>
      <w:r w:rsidRPr="000B1D1F">
        <w:t>Range Statement</w:t>
      </w:r>
    </w:p>
    <w:tbl>
      <w:tblPr>
        <w:tblW w:w="0" w:type="auto"/>
        <w:tblLayout w:type="fixed"/>
        <w:tblCellMar>
          <w:left w:w="62" w:type="dxa"/>
          <w:right w:w="62" w:type="dxa"/>
        </w:tblCellMar>
        <w:tblLook w:val="0000"/>
      </w:tblPr>
      <w:tblGrid>
        <w:gridCol w:w="3478"/>
        <w:gridCol w:w="5044"/>
      </w:tblGrid>
      <w:tr w:rsidTr="003556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RANGE STATEMENT</w:t>
            </w:r>
          </w:p>
        </w:tc>
      </w:tr>
      <w:tr w:rsidTr="003556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t>The range statement relates to the unit of competency as a whole. It allows for different work environments and situations that may affect performance. Bold italicised wording, if used in the performance criteria, is detailed below. Essential operating con</w:t>
            </w:r>
            <w:r w:rsidRPr="000B1D1F">
              <w:t>ditions that may be present with training and assessment (depending on the work situation, needs of the candidate, accessibility of the item, and local industry and regional contexts) may also be included.</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Statistical methods</w:t>
            </w:r>
            <w:r w:rsidRPr="000B1D1F">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econometric mod</w:t>
            </w:r>
            <w:r w:rsidRPr="000B1D1F">
              <w:t>elling:</w:t>
            </w:r>
          </w:p>
          <w:p w:rsidR="00000000" w:rsidRPr="000B1D1F" w:rsidP="000B1D1F">
            <w:pPr>
              <w:pStyle w:val="ListBullet2"/>
            </w:pPr>
            <w:r w:rsidRPr="000B1D1F">
              <w:t>linear and nonlinear regression</w:t>
            </w:r>
          </w:p>
          <w:p w:rsidR="00000000" w:rsidRPr="000B1D1F" w:rsidP="000B1D1F">
            <w:pPr>
              <w:pStyle w:val="ListBullet2"/>
            </w:pPr>
            <w:r w:rsidRPr="000B1D1F">
              <w:t>multivariate analysis</w:t>
            </w:r>
          </w:p>
          <w:p w:rsidR="00000000" w:rsidRPr="000B1D1F" w:rsidP="000B1D1F">
            <w:pPr>
              <w:pStyle w:val="ListBullet2"/>
            </w:pPr>
            <w:r w:rsidRPr="000B1D1F">
              <w:t>time series analysis</w:t>
            </w:r>
          </w:p>
          <w:p w:rsidR="00000000" w:rsidRPr="000B1D1F" w:rsidP="000B1D1F">
            <w:pPr>
              <w:pStyle w:val="ListBullet2"/>
            </w:pPr>
            <w:r w:rsidRPr="000B1D1F">
              <w:t>trend analysis</w:t>
            </w:r>
          </w:p>
          <w:p w:rsidR="00000000" w:rsidRPr="000B1D1F" w:rsidP="000B1D1F">
            <w:pPr>
              <w:pStyle w:val="ListBullet2"/>
            </w:pPr>
            <w:r w:rsidRPr="000B1D1F">
              <w:t>moving average analysis</w:t>
            </w:r>
          </w:p>
          <w:p w:rsidR="00000000" w:rsidRPr="000B1D1F" w:rsidP="000B1D1F">
            <w:pPr>
              <w:pStyle w:val="ListBullet2"/>
            </w:pPr>
            <w:r w:rsidRPr="000B1D1F">
              <w:t>weighted moving averages</w:t>
            </w:r>
          </w:p>
          <w:p w:rsidR="00000000" w:rsidP="000B1D1F">
            <w:pPr>
              <w:pStyle w:val="ListBullet2"/>
              <w:rPr>
                <w:lang w:val="en-NZ"/>
              </w:rPr>
            </w:pPr>
            <w:r w:rsidRPr="000B1D1F">
              <w:t>cash flow forecasting.</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Tools and techniques</w:t>
            </w:r>
            <w:r w:rsidRPr="000B1D1F">
              <w:t xml:space="preserve"> for statistical analysis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liquidity ratios:</w:t>
            </w:r>
          </w:p>
          <w:p w:rsidR="00000000" w:rsidRPr="000B1D1F" w:rsidP="000B1D1F">
            <w:pPr>
              <w:pStyle w:val="ListBullet2"/>
            </w:pPr>
            <w:r w:rsidRPr="000B1D1F">
              <w:t>current ratio</w:t>
            </w:r>
          </w:p>
          <w:p w:rsidR="00000000" w:rsidRPr="000B1D1F" w:rsidP="000B1D1F">
            <w:pPr>
              <w:pStyle w:val="ListBullet2"/>
            </w:pPr>
            <w:r w:rsidRPr="000B1D1F">
              <w:t>quick ratio</w:t>
            </w:r>
          </w:p>
          <w:p w:rsidR="00000000" w:rsidRPr="000B1D1F" w:rsidP="000B1D1F">
            <w:pPr>
              <w:pStyle w:val="ListBullet2"/>
            </w:pPr>
            <w:r w:rsidRPr="000B1D1F">
              <w:t>working capital ratio</w:t>
            </w:r>
          </w:p>
          <w:p w:rsidR="00000000" w:rsidRPr="000B1D1F" w:rsidP="000B1D1F">
            <w:pPr>
              <w:pStyle w:val="ListBullet"/>
            </w:pPr>
            <w:r w:rsidRPr="000B1D1F">
              <w:t>profitability ratios:</w:t>
            </w:r>
          </w:p>
          <w:p w:rsidR="00000000" w:rsidRPr="000B1D1F" w:rsidP="000B1D1F">
            <w:pPr>
              <w:pStyle w:val="ListBullet2"/>
            </w:pPr>
            <w:r w:rsidRPr="000B1D1F">
              <w:t>return on assets (ROA)</w:t>
            </w:r>
          </w:p>
          <w:p w:rsidR="00000000" w:rsidRPr="000B1D1F" w:rsidP="000B1D1F">
            <w:pPr>
              <w:pStyle w:val="ListBullet2"/>
            </w:pPr>
            <w:r w:rsidRPr="000B1D1F">
              <w:t xml:space="preserve">return on equity (ROE) </w:t>
            </w:r>
          </w:p>
          <w:p w:rsidR="00000000" w:rsidRPr="000B1D1F" w:rsidP="000B1D1F">
            <w:pPr>
              <w:pStyle w:val="ListBullet2"/>
            </w:pPr>
            <w:r w:rsidRPr="000B1D1F">
              <w:t>return on investment (ROI)</w:t>
            </w:r>
          </w:p>
          <w:p w:rsidR="00000000" w:rsidRPr="000B1D1F" w:rsidP="000B1D1F">
            <w:pPr>
              <w:pStyle w:val="ListBullet2"/>
            </w:pPr>
            <w:r w:rsidRPr="000B1D1F">
              <w:t>profit margin by assets turnover ratio</w:t>
            </w:r>
          </w:p>
          <w:p w:rsidR="00000000" w:rsidRPr="000B1D1F" w:rsidP="000B1D1F">
            <w:pPr>
              <w:pStyle w:val="ListBullet2"/>
            </w:pPr>
            <w:r w:rsidRPr="000B1D1F">
              <w:t>gross margin ratio</w:t>
            </w:r>
          </w:p>
          <w:p w:rsidR="00000000" w:rsidRPr="000B1D1F" w:rsidP="000B1D1F">
            <w:pPr>
              <w:pStyle w:val="ListBullet2"/>
            </w:pPr>
            <w:r w:rsidRPr="000B1D1F">
              <w:t>net profit margin ratio</w:t>
            </w:r>
          </w:p>
          <w:p w:rsidR="00000000" w:rsidRPr="000B1D1F" w:rsidP="000B1D1F">
            <w:pPr>
              <w:pStyle w:val="ListBullet2"/>
            </w:pPr>
            <w:r w:rsidRPr="000B1D1F">
              <w:t>average stockholders' equity</w:t>
            </w:r>
          </w:p>
          <w:p w:rsidR="00000000" w:rsidRPr="000B1D1F" w:rsidP="000B1D1F">
            <w:pPr>
              <w:pStyle w:val="ListBullet"/>
            </w:pPr>
            <w:r w:rsidRPr="000B1D1F">
              <w:t>activity analysis ratios:</w:t>
            </w:r>
          </w:p>
          <w:p w:rsidR="00000000" w:rsidRPr="000B1D1F" w:rsidP="000B1D1F">
            <w:pPr>
              <w:pStyle w:val="ListBullet2"/>
            </w:pPr>
            <w:r w:rsidRPr="000B1D1F">
              <w:t>asset turnover ratio</w:t>
            </w:r>
          </w:p>
          <w:p w:rsidR="00000000" w:rsidRPr="000B1D1F" w:rsidP="000B1D1F">
            <w:pPr>
              <w:pStyle w:val="ListBullet2"/>
            </w:pPr>
            <w:r w:rsidRPr="000B1D1F">
              <w:t>accounts receivable turnover ratio</w:t>
            </w:r>
          </w:p>
          <w:p w:rsidR="00000000" w:rsidRPr="000B1D1F" w:rsidP="000B1D1F">
            <w:pPr>
              <w:pStyle w:val="ListBullet2"/>
            </w:pPr>
            <w:r w:rsidRPr="000B1D1F">
              <w:t>inventory turnover ratio</w:t>
            </w:r>
          </w:p>
          <w:p w:rsidR="00000000" w:rsidRPr="000B1D1F" w:rsidP="000B1D1F">
            <w:pPr>
              <w:pStyle w:val="ListBullet"/>
            </w:pPr>
            <w:r w:rsidRPr="000B1D1F">
              <w:t>capital structure analysis ratios:</w:t>
            </w:r>
          </w:p>
          <w:p w:rsidR="00000000" w:rsidRPr="000B1D1F" w:rsidP="000B1D1F">
            <w:pPr>
              <w:pStyle w:val="ListBullet2"/>
            </w:pPr>
            <w:r w:rsidRPr="000B1D1F">
              <w:t>debt to equity ratio</w:t>
            </w:r>
          </w:p>
          <w:p w:rsidR="00000000" w:rsidRPr="000B1D1F" w:rsidP="000B1D1F">
            <w:pPr>
              <w:pStyle w:val="ListBullet2"/>
            </w:pPr>
            <w:r w:rsidRPr="000B1D1F">
              <w:t>interest coverage ratio</w:t>
            </w:r>
          </w:p>
          <w:p w:rsidR="00000000" w:rsidRPr="000B1D1F" w:rsidP="000B1D1F">
            <w:pPr>
              <w:pStyle w:val="ListBullet"/>
            </w:pPr>
            <w:r w:rsidRPr="000B1D1F">
              <w:t>capital market analysis ratios:</w:t>
            </w:r>
          </w:p>
          <w:p w:rsidR="00000000" w:rsidRPr="000B1D1F" w:rsidP="000B1D1F">
            <w:pPr>
              <w:pStyle w:val="ListBullet2"/>
            </w:pPr>
            <w:r w:rsidRPr="000B1D1F">
              <w:t>price earnings (PE) ratio</w:t>
            </w:r>
          </w:p>
          <w:p w:rsidR="00000000" w:rsidRPr="000B1D1F" w:rsidP="000B1D1F">
            <w:pPr>
              <w:pStyle w:val="ListBullet2"/>
            </w:pPr>
            <w:r w:rsidRPr="000B1D1F">
              <w:t>market to book ratio</w:t>
            </w:r>
          </w:p>
          <w:p w:rsidR="00000000" w:rsidRPr="000B1D1F" w:rsidP="000B1D1F">
            <w:pPr>
              <w:pStyle w:val="ListBullet2"/>
            </w:pPr>
            <w:r w:rsidRPr="000B1D1F">
              <w:t>dividend yield ratio</w:t>
            </w:r>
          </w:p>
          <w:p w:rsidR="00000000" w:rsidP="000B1D1F">
            <w:pPr>
              <w:pStyle w:val="ListBullet2"/>
              <w:rPr>
                <w:lang w:val="en-NZ"/>
              </w:rPr>
            </w:pPr>
            <w:r w:rsidRPr="000B1D1F">
              <w:t>dividend payout ratio.</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Data and information sources</w:t>
            </w:r>
            <w:r w:rsidRPr="000B1D1F">
              <w:t xml:space="preserve"> can include but are not limited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Reserve Bank of Australia</w:t>
            </w:r>
          </w:p>
          <w:p w:rsidR="00000000" w:rsidRPr="000B1D1F" w:rsidP="000B1D1F">
            <w:pPr>
              <w:pStyle w:val="ListBullet"/>
            </w:pPr>
            <w:r w:rsidRPr="000B1D1F">
              <w:t>Australian Taxation Office (ATO)</w:t>
            </w:r>
          </w:p>
          <w:p w:rsidR="00000000" w:rsidRPr="000B1D1F" w:rsidP="000B1D1F">
            <w:pPr>
              <w:pStyle w:val="ListBullet"/>
            </w:pPr>
            <w:r w:rsidRPr="000B1D1F">
              <w:t>Australian Bureau of Statistics (ABS)</w:t>
            </w:r>
          </w:p>
          <w:p w:rsidR="00000000" w:rsidRPr="000B1D1F" w:rsidP="000B1D1F">
            <w:pPr>
              <w:pStyle w:val="ListBullet"/>
            </w:pPr>
            <w:r w:rsidRPr="000B1D1F">
              <w:t>National Statistical Service (NSS)</w:t>
            </w:r>
          </w:p>
          <w:p w:rsidR="00000000" w:rsidRPr="000B1D1F" w:rsidP="000B1D1F">
            <w:pPr>
              <w:pStyle w:val="ListBullet"/>
            </w:pPr>
            <w:r w:rsidRPr="000B1D1F">
              <w:t>Australian Securities and Investments Commission (ASIC)</w:t>
            </w:r>
          </w:p>
          <w:p w:rsidR="00000000" w:rsidRPr="000B1D1F" w:rsidP="000B1D1F">
            <w:pPr>
              <w:pStyle w:val="ListBullet"/>
            </w:pPr>
            <w:r w:rsidRPr="000B1D1F">
              <w:t>Australian Prudential Regulation Authority (APRA)</w:t>
            </w:r>
          </w:p>
          <w:p w:rsidR="00000000" w:rsidRPr="000B1D1F" w:rsidP="000B1D1F">
            <w:pPr>
              <w:pStyle w:val="ListBullet"/>
            </w:pPr>
            <w:r w:rsidRPr="000B1D1F">
              <w:t>industry association data and information</w:t>
            </w:r>
          </w:p>
          <w:p w:rsidR="00000000" w:rsidRPr="000B1D1F" w:rsidP="000B1D1F">
            <w:pPr>
              <w:pStyle w:val="ListBullet"/>
            </w:pPr>
            <w:r w:rsidRPr="000B1D1F">
              <w:t>organisational data and information (public record)</w:t>
            </w:r>
          </w:p>
          <w:p w:rsidR="00000000" w:rsidP="000B1D1F">
            <w:pPr>
              <w:pStyle w:val="ListBullet"/>
              <w:rPr>
                <w:lang w:val="en-NZ"/>
              </w:rPr>
            </w:pPr>
            <w:r w:rsidRPr="000B1D1F">
              <w:t>international governm</w:t>
            </w:r>
            <w:r w:rsidRPr="000B1D1F">
              <w:t>ent and organisation data and information.</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Statistical standards</w:t>
            </w:r>
            <w:r w:rsidRPr="000B1D1F">
              <w:t xml:space="preserve"> can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 xml:space="preserve">definitions </w:t>
            </w:r>
          </w:p>
          <w:p w:rsidR="00000000" w:rsidRPr="000B1D1F" w:rsidP="000B1D1F">
            <w:pPr>
              <w:pStyle w:val="ListBullet"/>
            </w:pPr>
            <w:r w:rsidRPr="000B1D1F">
              <w:t xml:space="preserve">statistical units </w:t>
            </w:r>
          </w:p>
          <w:p w:rsidR="00000000" w:rsidRPr="000B1D1F" w:rsidP="000B1D1F">
            <w:pPr>
              <w:pStyle w:val="ListBullet"/>
            </w:pPr>
            <w:r w:rsidRPr="000B1D1F">
              <w:t xml:space="preserve">classifications </w:t>
            </w:r>
          </w:p>
          <w:p w:rsidR="00000000" w:rsidRPr="000B1D1F" w:rsidP="000B1D1F">
            <w:pPr>
              <w:pStyle w:val="ListBullet"/>
            </w:pPr>
            <w:r w:rsidRPr="000B1D1F">
              <w:t xml:space="preserve">coding processes </w:t>
            </w:r>
          </w:p>
          <w:p w:rsidR="00000000" w:rsidRPr="000B1D1F" w:rsidP="000B1D1F">
            <w:pPr>
              <w:pStyle w:val="ListBullet"/>
            </w:pPr>
            <w:r w:rsidRPr="000B1D1F">
              <w:t xml:space="preserve">questionnaire modules </w:t>
            </w:r>
          </w:p>
          <w:p w:rsidR="00000000" w:rsidP="000B1D1F">
            <w:pPr>
              <w:pStyle w:val="ListBullet"/>
              <w:rPr>
                <w:lang w:val="en-NZ"/>
              </w:rPr>
            </w:pPr>
            <w:r w:rsidRPr="000B1D1F">
              <w:t>output categories</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Sampling techniques</w:t>
            </w:r>
            <w:r w:rsidRPr="000B1D1F">
              <w:t xml:space="preserve"> can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surveys</w:t>
            </w:r>
          </w:p>
          <w:p w:rsidR="00000000" w:rsidRPr="000B1D1F" w:rsidP="000B1D1F">
            <w:pPr>
              <w:pStyle w:val="ListBullet"/>
            </w:pPr>
            <w:r w:rsidRPr="000B1D1F">
              <w:t>descriptive statistics</w:t>
            </w:r>
          </w:p>
          <w:p w:rsidR="00000000" w:rsidRPr="000B1D1F" w:rsidP="000B1D1F">
            <w:pPr>
              <w:pStyle w:val="ListBullet"/>
            </w:pPr>
            <w:r w:rsidRPr="000B1D1F">
              <w:t xml:space="preserve">inferential statistics </w:t>
            </w:r>
          </w:p>
          <w:p w:rsidR="00000000" w:rsidRPr="000B1D1F" w:rsidP="000B1D1F">
            <w:pPr>
              <w:pStyle w:val="ListBullet"/>
            </w:pPr>
            <w:r w:rsidRPr="000B1D1F">
              <w:t>trends over time</w:t>
            </w:r>
          </w:p>
          <w:p w:rsidR="00000000" w:rsidRPr="000B1D1F" w:rsidP="000B1D1F">
            <w:pPr>
              <w:pStyle w:val="ListBullet"/>
            </w:pPr>
            <w:r w:rsidRPr="000B1D1F">
              <w:t>statistical associations</w:t>
            </w:r>
          </w:p>
          <w:p w:rsidR="00000000" w:rsidP="000B1D1F">
            <w:pPr>
              <w:pStyle w:val="ListBullet"/>
              <w:rPr>
                <w:lang w:val="en-NZ"/>
              </w:rPr>
            </w:pPr>
            <w:r w:rsidRPr="000B1D1F">
              <w:t>variability.</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Diagrammatic</w:t>
            </w:r>
            <w:r w:rsidRPr="000B1D1F">
              <w:t xml:space="preserve">, </w:t>
            </w:r>
            <w:r w:rsidRPr="000B1D1F">
              <w:rPr>
                <w:rStyle w:val="BoldandItalics"/>
              </w:rPr>
              <w:t>graphical and tabular information</w:t>
            </w:r>
            <w:r w:rsidRPr="000B1D1F">
              <w:t xml:space="preserve"> includes: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graphs:</w:t>
            </w:r>
          </w:p>
          <w:p w:rsidR="00000000" w:rsidRPr="000B1D1F" w:rsidP="000B1D1F">
            <w:pPr>
              <w:pStyle w:val="ListBullet2"/>
            </w:pPr>
            <w:r w:rsidRPr="000B1D1F">
              <w:t>line</w:t>
            </w:r>
          </w:p>
          <w:p w:rsidR="00000000" w:rsidRPr="000B1D1F" w:rsidP="000B1D1F">
            <w:pPr>
              <w:pStyle w:val="ListBullet2"/>
            </w:pPr>
            <w:r w:rsidRPr="000B1D1F">
              <w:t>bar</w:t>
            </w:r>
          </w:p>
          <w:p w:rsidR="00000000" w:rsidRPr="000B1D1F" w:rsidP="000B1D1F">
            <w:pPr>
              <w:pStyle w:val="ListBullet2"/>
            </w:pPr>
            <w:r w:rsidRPr="000B1D1F">
              <w:t>pie</w:t>
            </w:r>
          </w:p>
          <w:p w:rsidR="00000000" w:rsidRPr="000B1D1F" w:rsidP="000B1D1F">
            <w:pPr>
              <w:pStyle w:val="ListBullet2"/>
            </w:pPr>
            <w:r w:rsidRPr="000B1D1F">
              <w:t>scatter plot</w:t>
            </w:r>
          </w:p>
          <w:p w:rsidR="00000000" w:rsidRPr="000B1D1F" w:rsidP="000B1D1F">
            <w:pPr>
              <w:pStyle w:val="ListBullet2"/>
            </w:pPr>
            <w:r w:rsidRPr="000B1D1F">
              <w:t>histogram</w:t>
            </w:r>
          </w:p>
          <w:p w:rsidR="00000000" w:rsidRPr="000B1D1F" w:rsidP="000B1D1F">
            <w:pPr>
              <w:pStyle w:val="ListBullet2"/>
            </w:pPr>
            <w:r w:rsidRPr="000B1D1F">
              <w:t>pictograph</w:t>
            </w:r>
          </w:p>
          <w:p w:rsidR="00000000" w:rsidRPr="000B1D1F" w:rsidP="000B1D1F">
            <w:pPr>
              <w:pStyle w:val="ListBullet2"/>
            </w:pPr>
            <w:r w:rsidRPr="000B1D1F">
              <w:t>cosmograph</w:t>
            </w:r>
          </w:p>
          <w:p w:rsidR="00000000" w:rsidRPr="000B1D1F" w:rsidP="000B1D1F">
            <w:pPr>
              <w:pStyle w:val="ListBullet"/>
            </w:pPr>
            <w:r w:rsidRPr="000B1D1F">
              <w:t>diagrams:</w:t>
            </w:r>
          </w:p>
          <w:p w:rsidR="00000000" w:rsidRPr="000B1D1F" w:rsidP="000B1D1F">
            <w:pPr>
              <w:pStyle w:val="ListBullet2"/>
            </w:pPr>
            <w:r w:rsidRPr="000B1D1F">
              <w:t>tree</w:t>
            </w:r>
          </w:p>
          <w:p w:rsidR="00000000" w:rsidRPr="000B1D1F" w:rsidP="000B1D1F">
            <w:pPr>
              <w:pStyle w:val="ListBullet2"/>
            </w:pPr>
            <w:r w:rsidRPr="000B1D1F">
              <w:t>flowcharts</w:t>
            </w:r>
          </w:p>
          <w:p w:rsidR="00000000" w:rsidRPr="000B1D1F" w:rsidP="000B1D1F">
            <w:pPr>
              <w:pStyle w:val="ListBullet2"/>
            </w:pPr>
            <w:r w:rsidRPr="000B1D1F">
              <w:t>network</w:t>
            </w:r>
          </w:p>
          <w:p w:rsidR="00000000" w:rsidRPr="000B1D1F" w:rsidP="000B1D1F">
            <w:pPr>
              <w:pStyle w:val="ListBullet2"/>
            </w:pPr>
            <w:r w:rsidRPr="000B1D1F">
              <w:t>cluster</w:t>
            </w:r>
          </w:p>
          <w:p w:rsidR="00000000" w:rsidRPr="000B1D1F" w:rsidP="000B1D1F">
            <w:pPr>
              <w:pStyle w:val="ListBullet2"/>
            </w:pPr>
            <w:r w:rsidRPr="000B1D1F">
              <w:t>Venn</w:t>
            </w:r>
          </w:p>
          <w:p w:rsidR="00000000" w:rsidRPr="000B1D1F" w:rsidP="000B1D1F">
            <w:pPr>
              <w:pStyle w:val="ListBullet"/>
            </w:pPr>
            <w:r w:rsidRPr="000B1D1F">
              <w:t>tables:</w:t>
            </w:r>
          </w:p>
          <w:p w:rsidR="00000000" w:rsidRPr="000B1D1F" w:rsidP="000B1D1F">
            <w:pPr>
              <w:pStyle w:val="ListBullet2"/>
            </w:pPr>
            <w:r w:rsidRPr="000B1D1F">
              <w:t>XY</w:t>
            </w:r>
          </w:p>
          <w:p w:rsidR="00000000" w:rsidRPr="000B1D1F" w:rsidP="000B1D1F">
            <w:pPr>
              <w:pStyle w:val="ListBullet2"/>
            </w:pPr>
            <w:r w:rsidRPr="000B1D1F">
              <w:t>column</w:t>
            </w:r>
          </w:p>
          <w:p w:rsidR="00000000" w:rsidRPr="000B1D1F" w:rsidP="000B1D1F">
            <w:pPr>
              <w:pStyle w:val="ListBullet2"/>
            </w:pPr>
            <w:r w:rsidRPr="000B1D1F">
              <w:t>one or two grouped</w:t>
            </w:r>
          </w:p>
          <w:p w:rsidR="00000000" w:rsidP="000B1D1F">
            <w:pPr>
              <w:pStyle w:val="ListBullet2"/>
              <w:rPr>
                <w:lang w:val="en-NZ"/>
              </w:rPr>
            </w:pPr>
            <w:r w:rsidRPr="000B1D1F">
              <w:t>contingency.</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BoldandItalics"/>
              </w:rPr>
              <w:t>Analysis</w:t>
            </w:r>
            <w:r w:rsidRPr="000B1D1F">
              <w:t xml:space="preserve"> tools and techniques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mean</w:t>
            </w:r>
          </w:p>
          <w:p w:rsidR="00000000" w:rsidRPr="000B1D1F" w:rsidP="000B1D1F">
            <w:pPr>
              <w:pStyle w:val="ListBullet"/>
            </w:pPr>
            <w:r w:rsidRPr="000B1D1F">
              <w:t>median</w:t>
            </w:r>
          </w:p>
          <w:p w:rsidR="00000000" w:rsidRPr="000B1D1F" w:rsidP="000B1D1F">
            <w:pPr>
              <w:pStyle w:val="ListBullet"/>
            </w:pPr>
            <w:r w:rsidRPr="000B1D1F">
              <w:t>mode</w:t>
            </w:r>
          </w:p>
          <w:p w:rsidR="00000000" w:rsidRPr="000B1D1F" w:rsidP="000B1D1F">
            <w:pPr>
              <w:pStyle w:val="ListBullet"/>
            </w:pPr>
            <w:r w:rsidRPr="000B1D1F">
              <w:t>standard deviation</w:t>
            </w:r>
          </w:p>
          <w:p w:rsidR="00000000" w:rsidRPr="000B1D1F" w:rsidP="000B1D1F">
            <w:pPr>
              <w:pStyle w:val="ListBullet"/>
            </w:pPr>
            <w:r w:rsidRPr="000B1D1F">
              <w:t>standard error</w:t>
            </w:r>
          </w:p>
          <w:p w:rsidR="00000000" w:rsidP="000B1D1F">
            <w:pPr>
              <w:pStyle w:val="ListBullet"/>
              <w:rPr>
                <w:lang w:val="en-NZ"/>
              </w:rPr>
            </w:pPr>
            <w:r w:rsidRPr="000B1D1F">
              <w:t>relative standard error.</w:t>
            </w:r>
          </w:p>
        </w:tc>
      </w:tr>
      <w:tr w:rsidTr="003556E5">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t xml:space="preserve">Data </w:t>
            </w:r>
            <w:r w:rsidRPr="000B1D1F">
              <w:rPr>
                <w:rStyle w:val="BoldandItalics"/>
              </w:rPr>
              <w:t>errors</w:t>
            </w:r>
            <w:r w:rsidRPr="000B1D1F">
              <w:t xml:space="preserve"> can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ListBullet"/>
            </w:pPr>
            <w:r w:rsidRPr="000B1D1F">
              <w:t>incorrect data</w:t>
            </w:r>
          </w:p>
          <w:p w:rsidR="00000000" w:rsidRPr="000B1D1F" w:rsidP="000B1D1F">
            <w:pPr>
              <w:pStyle w:val="ListBullet"/>
            </w:pPr>
            <w:r w:rsidRPr="000B1D1F">
              <w:t>mismatched data sets</w:t>
            </w:r>
          </w:p>
          <w:p w:rsidR="00000000" w:rsidRPr="000B1D1F" w:rsidP="000B1D1F">
            <w:pPr>
              <w:pStyle w:val="ListBullet"/>
            </w:pPr>
            <w:r w:rsidRPr="000B1D1F">
              <w:t>sampling variation</w:t>
            </w:r>
          </w:p>
          <w:p w:rsidR="00000000" w:rsidRPr="000B1D1F" w:rsidP="000B1D1F">
            <w:pPr>
              <w:pStyle w:val="ListBullet"/>
            </w:pPr>
            <w:r w:rsidRPr="000B1D1F">
              <w:t>incorrect measurements</w:t>
            </w:r>
          </w:p>
          <w:p w:rsidR="00000000" w:rsidRPr="000B1D1F" w:rsidP="000B1D1F">
            <w:pPr>
              <w:pStyle w:val="ListBullet"/>
            </w:pPr>
            <w:r w:rsidRPr="000B1D1F">
              <w:t>transcription errors.</w:t>
            </w:r>
          </w:p>
        </w:tc>
      </w:tr>
    </w:tbl>
    <w:p w:rsidR="003556E5" w:rsidP="000B1D1F">
      <w:pPr>
        <w:pStyle w:val="BodyText"/>
      </w:pPr>
    </w:p>
    <w:p w:rsidR="003556E5" w:rsidP="000B1D1F">
      <w:pPr>
        <w:pStyle w:val="BodyText"/>
      </w:pPr>
    </w:p>
    <w:p w:rsidR="00000000" w:rsidRPr="000B1D1F" w:rsidP="000B1D1F">
      <w:pPr>
        <w:pStyle w:val="Heading1"/>
      </w:pPr>
      <w:bookmarkStart w:id="12" w:name="O_79358"/>
      <w:bookmarkEnd w:id="12"/>
      <w:r w:rsidRPr="000B1D1F">
        <w:t>Unit Sector(s)</w:t>
      </w:r>
    </w:p>
    <w:tbl>
      <w:tblPr>
        <w:tblW w:w="0" w:type="auto"/>
        <w:tblLayout w:type="fixed"/>
        <w:tblCellMar>
          <w:left w:w="62" w:type="dxa"/>
          <w:right w:w="62" w:type="dxa"/>
        </w:tblCellMar>
        <w:tblLook w:val="0000"/>
      </w:tblPr>
      <w:tblGrid>
        <w:gridCol w:w="2601"/>
        <w:gridCol w:w="5921"/>
      </w:tblGrid>
      <w:tr w:rsidTr="003556E5">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r w:rsidRPr="000B1D1F">
              <w:t>Industry capability</w:t>
            </w: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13" w:name="O_156459"/>
      <w:bookmarkEnd w:id="13"/>
      <w:r w:rsidRPr="000B1D1F">
        <w:t>Competency field</w:t>
      </w:r>
    </w:p>
    <w:tbl>
      <w:tblPr>
        <w:tblW w:w="0" w:type="auto"/>
        <w:tblLayout w:type="fixed"/>
        <w:tblCellMar>
          <w:left w:w="62" w:type="dxa"/>
          <w:right w:w="62" w:type="dxa"/>
        </w:tblCellMar>
        <w:tblLook w:val="0000"/>
      </w:tblPr>
      <w:tblGrid>
        <w:gridCol w:w="2754"/>
        <w:gridCol w:w="5768"/>
      </w:tblGrid>
      <w:tr w:rsidTr="003556E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p>
        </w:tc>
      </w:tr>
    </w:tbl>
    <w:p w:rsidR="00000000" w:rsidRPr="000B1D1F" w:rsidP="000B1D1F">
      <w:pPr>
        <w:pStyle w:val="BodyText"/>
      </w:pPr>
    </w:p>
    <w:p w:rsidR="00000000" w:rsidRPr="000B1D1F" w:rsidP="000B1D1F">
      <w:pPr>
        <w:pStyle w:val="AllowPageBreak"/>
      </w:pPr>
    </w:p>
    <w:p w:rsidR="00000000" w:rsidRPr="000B1D1F" w:rsidP="000B1D1F">
      <w:pPr>
        <w:pStyle w:val="Heading1"/>
      </w:pPr>
      <w:bookmarkStart w:id="14" w:name="O_156458"/>
      <w:bookmarkEnd w:id="14"/>
      <w:r w:rsidRPr="000B1D1F">
        <w:t>Co-requisite units</w:t>
      </w:r>
    </w:p>
    <w:tbl>
      <w:tblPr>
        <w:tblW w:w="0" w:type="auto"/>
        <w:tblLayout w:type="fixed"/>
        <w:tblCellMar>
          <w:left w:w="62" w:type="dxa"/>
          <w:right w:w="62" w:type="dxa"/>
        </w:tblCellMar>
        <w:tblLook w:val="0000"/>
      </w:tblPr>
      <w:tblGrid>
        <w:gridCol w:w="2629"/>
        <w:gridCol w:w="1324"/>
        <w:gridCol w:w="4569"/>
      </w:tblGrid>
      <w:tr w:rsidTr="003556E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r w:rsidRPr="000B1D1F">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p>
        </w:tc>
      </w:tr>
      <w:tr w:rsidTr="003556E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D1F">
            <w:pPr>
              <w:pStyle w:val="BodyText"/>
              <w:rPr>
                <w:lang w:val="en-NZ"/>
              </w:rPr>
            </w:pPr>
          </w:p>
        </w:tc>
      </w:tr>
      <w:tr w:rsidTr="003556E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D1F" w:rsidP="000B1D1F">
            <w:pPr>
              <w:pStyle w:val="BodyText"/>
            </w:pPr>
          </w:p>
        </w:tc>
      </w:tr>
    </w:tbl>
    <w:p w:rsidR="00000000" w:rsidRPr="000B1D1F" w:rsidP="000B1D1F">
      <w:pPr>
        <w:pStyle w:val="BodyText"/>
      </w:pPr>
    </w:p>
    <w:p w:rsidR="00000000" w:rsidRPr="000B1D1F" w:rsidP="000B1D1F"/>
    <w:sectPr w:rsidSect="000B1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6E5" w:rsidP="00355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E5" w:rsidP="000B1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56E5" w:rsidP="000B1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56E5" w:rsidP="000B1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6E5" w:rsidP="003556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6E5" w:rsidP="000B1D1F">
    <w:pPr>
      <w:pStyle w:val="Header"/>
      <w:framePr w:wrap="around"/>
    </w:pPr>
    <w:r>
      <w:fldChar w:fldCharType="begin"/>
    </w:r>
    <w:r>
      <w:instrText xml:space="preserve"> TITLE   \* MERGEFORMAT </w:instrText>
    </w:r>
    <w:r>
      <w:fldChar w:fldCharType="separate"/>
    </w:r>
    <w:r>
      <w:t>FNSINC602A Interpret and use financial statistics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6E5" w:rsidP="000B1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E1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03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5A9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D1F"/>
    <w:pPr>
      <w:spacing w:before="360" w:after="60"/>
      <w:outlineLvl w:val="0"/>
    </w:pPr>
    <w:rPr>
      <w:sz w:val="32"/>
    </w:rPr>
  </w:style>
  <w:style w:type="paragraph" w:styleId="Heading2">
    <w:name w:val="heading 2"/>
    <w:basedOn w:val="HeadingBase"/>
    <w:next w:val="BodyText"/>
    <w:link w:val="Heading2Char"/>
    <w:qFormat/>
    <w:rsid w:val="000B1D1F"/>
    <w:pPr>
      <w:keepLines/>
      <w:spacing w:before="240" w:after="120"/>
      <w:outlineLvl w:val="1"/>
    </w:pPr>
    <w:rPr>
      <w:sz w:val="28"/>
      <w:szCs w:val="40"/>
    </w:rPr>
  </w:style>
  <w:style w:type="paragraph" w:styleId="Heading3">
    <w:name w:val="heading 3"/>
    <w:basedOn w:val="HeadingBase"/>
    <w:next w:val="BodyText"/>
    <w:link w:val="Heading3Char"/>
    <w:qFormat/>
    <w:rsid w:val="000B1D1F"/>
    <w:pPr>
      <w:spacing w:before="180" w:after="120"/>
      <w:outlineLvl w:val="2"/>
    </w:pPr>
    <w:rPr>
      <w:spacing w:val="-10"/>
      <w:kern w:val="32"/>
    </w:rPr>
  </w:style>
  <w:style w:type="paragraph" w:styleId="Heading4">
    <w:name w:val="heading 4"/>
    <w:basedOn w:val="HeadingBase"/>
    <w:next w:val="BodyText"/>
    <w:link w:val="Heading4Char"/>
    <w:qFormat/>
    <w:rsid w:val="000B1D1F"/>
    <w:pPr>
      <w:spacing w:before="160" w:after="120"/>
      <w:outlineLvl w:val="3"/>
    </w:pPr>
    <w:rPr>
      <w:sz w:val="22"/>
    </w:rPr>
  </w:style>
  <w:style w:type="paragraph" w:styleId="Heading5">
    <w:name w:val="heading 5"/>
    <w:basedOn w:val="HeadingBase"/>
    <w:next w:val="Normal"/>
    <w:link w:val="Heading5Char"/>
    <w:qFormat/>
    <w:rsid w:val="000B1D1F"/>
    <w:pPr>
      <w:spacing w:before="80"/>
      <w:outlineLvl w:val="4"/>
    </w:pPr>
    <w:rPr>
      <w:color w:val="918585"/>
      <w:sz w:val="20"/>
    </w:rPr>
  </w:style>
  <w:style w:type="paragraph" w:styleId="Heading6">
    <w:name w:val="heading 6"/>
    <w:basedOn w:val="HeadingBase"/>
    <w:next w:val="Normal"/>
    <w:link w:val="Heading6Char"/>
    <w:qFormat/>
    <w:rsid w:val="000B1D1F"/>
    <w:pPr>
      <w:spacing w:before="60"/>
      <w:outlineLvl w:val="5"/>
    </w:pPr>
    <w:rPr>
      <w:color w:val="918585"/>
      <w:sz w:val="20"/>
    </w:rPr>
  </w:style>
  <w:style w:type="paragraph" w:styleId="Heading7">
    <w:name w:val="heading 7"/>
    <w:basedOn w:val="Normal"/>
    <w:next w:val="Normal"/>
    <w:link w:val="Heading7Char"/>
    <w:qFormat/>
    <w:rsid w:val="000B1D1F"/>
    <w:pPr>
      <w:ind w:left="720"/>
      <w:outlineLvl w:val="6"/>
    </w:pPr>
    <w:rPr>
      <w:i/>
    </w:rPr>
  </w:style>
  <w:style w:type="paragraph" w:styleId="Heading8">
    <w:name w:val="heading 8"/>
    <w:basedOn w:val="Normal"/>
    <w:next w:val="Normal"/>
    <w:link w:val="Heading8Char"/>
    <w:qFormat/>
    <w:rsid w:val="000B1D1F"/>
    <w:pPr>
      <w:ind w:left="720"/>
      <w:outlineLvl w:val="7"/>
    </w:pPr>
    <w:rPr>
      <w:i/>
    </w:rPr>
  </w:style>
  <w:style w:type="paragraph" w:styleId="Heading9">
    <w:name w:val="heading 9"/>
    <w:basedOn w:val="Normal"/>
    <w:next w:val="Normal"/>
    <w:link w:val="Heading9Char"/>
    <w:qFormat/>
    <w:rsid w:val="000B1D1F"/>
    <w:pPr>
      <w:ind w:left="720"/>
      <w:outlineLvl w:val="8"/>
    </w:pPr>
    <w:rPr>
      <w:i/>
    </w:rPr>
  </w:style>
  <w:style w:type="character" w:default="1" w:styleId="DefaultParagraphFont">
    <w:name w:val="Default Paragraph Font"/>
    <w:uiPriority w:val="1"/>
    <w:unhideWhenUsed/>
    <w:rsid w:val="000B1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D1F"/>
  </w:style>
  <w:style w:type="character" w:customStyle="1" w:styleId="Heading1Char">
    <w:name w:val="Heading 1 Char"/>
    <w:basedOn w:val="DefaultParagraphFont"/>
    <w:link w:val="Heading1"/>
    <w:rsid w:val="000B1D1F"/>
    <w:rPr>
      <w:rFonts w:ascii="Times New Roman" w:eastAsia="Times New Roman" w:hAnsi="Times New Roman" w:cs="Times New Roman"/>
      <w:b/>
      <w:sz w:val="32"/>
      <w:szCs w:val="20"/>
      <w:lang w:eastAsia="en-US"/>
    </w:rPr>
  </w:style>
  <w:style w:type="paragraph" w:styleId="BodyText">
    <w:name w:val="Body Text"/>
    <w:basedOn w:val="Normal"/>
    <w:link w:val="BodyTextChar"/>
    <w:rsid w:val="000B1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D1F"/>
    <w:rPr>
      <w:rFonts w:ascii="Times New Roman" w:eastAsia="Times New Roman" w:hAnsi="Times New Roman" w:cs="Times New Roman"/>
      <w:sz w:val="24"/>
      <w:lang w:val="en-US" w:eastAsia="en-US"/>
    </w:rPr>
  </w:style>
  <w:style w:type="paragraph" w:styleId="Footer">
    <w:name w:val="footer"/>
    <w:basedOn w:val="Normal"/>
    <w:link w:val="FooterChar"/>
    <w:rsid w:val="000B1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D1F"/>
    <w:rPr>
      <w:rFonts w:ascii="Times New Roman" w:eastAsia="Times New Roman" w:hAnsi="Times New Roman" w:cs="Times New Roman"/>
      <w:sz w:val="16"/>
      <w:lang w:val="en-US" w:eastAsia="en-US"/>
    </w:rPr>
  </w:style>
  <w:style w:type="paragraph" w:styleId="List">
    <w:name w:val="List"/>
    <w:basedOn w:val="BodyText"/>
    <w:next w:val="BodyText"/>
    <w:rsid w:val="000B1D1F"/>
    <w:pPr>
      <w:tabs>
        <w:tab w:val="left" w:pos="340"/>
      </w:tabs>
      <w:spacing w:before="60" w:after="60"/>
      <w:ind w:left="340" w:hanging="340"/>
    </w:pPr>
  </w:style>
  <w:style w:type="paragraph" w:styleId="ListBullet">
    <w:name w:val="List Bullet"/>
    <w:basedOn w:val="List"/>
    <w:rsid w:val="000B1D1F"/>
    <w:pPr>
      <w:numPr>
        <w:numId w:val="13"/>
      </w:numPr>
      <w:tabs>
        <w:tab w:val="clear" w:pos="340"/>
      </w:tabs>
      <w:spacing w:before="40" w:after="40"/>
    </w:pPr>
  </w:style>
  <w:style w:type="character" w:customStyle="1" w:styleId="SpecialBold">
    <w:name w:val="Special Bold"/>
    <w:basedOn w:val="DefaultParagraphFont"/>
    <w:rsid w:val="000B1D1F"/>
    <w:rPr>
      <w:b/>
      <w:spacing w:val="0"/>
    </w:rPr>
  </w:style>
  <w:style w:type="paragraph" w:styleId="ListBullet2">
    <w:name w:val="List Bullet 2"/>
    <w:basedOn w:val="List2"/>
    <w:rsid w:val="000B1D1F"/>
    <w:pPr>
      <w:numPr>
        <w:numId w:val="14"/>
      </w:numPr>
      <w:tabs>
        <w:tab w:val="clear" w:pos="680"/>
      </w:tabs>
    </w:pPr>
  </w:style>
  <w:style w:type="paragraph" w:styleId="Header">
    <w:name w:val="header"/>
    <w:basedOn w:val="Normal"/>
    <w:link w:val="HeaderChar"/>
    <w:rsid w:val="000B1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D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D1F"/>
    <w:pPr>
      <w:spacing w:before="240" w:after="120"/>
      <w:outlineLvl w:val="0"/>
    </w:pPr>
    <w:rPr>
      <w:rFonts w:ascii="Times New Roman" w:hAnsi="Times New Roman"/>
      <w:b/>
      <w:sz w:val="28"/>
    </w:rPr>
  </w:style>
  <w:style w:type="paragraph" w:customStyle="1" w:styleId="AllowPageBreak">
    <w:name w:val="AllowPageBreak"/>
    <w:rsid w:val="000B1D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1D1F"/>
    <w:pPr>
      <w:tabs>
        <w:tab w:val="left" w:pos="680"/>
      </w:tabs>
      <w:spacing w:before="60" w:after="60"/>
      <w:ind w:left="680" w:hanging="340"/>
    </w:pPr>
  </w:style>
  <w:style w:type="character" w:customStyle="1" w:styleId="BoldandItalics">
    <w:name w:val="Bold and Italics"/>
    <w:qFormat/>
    <w:rsid w:val="000B1D1F"/>
    <w:rPr>
      <w:b/>
      <w:i/>
      <w:u w:val="none"/>
    </w:rPr>
  </w:style>
  <w:style w:type="character" w:customStyle="1" w:styleId="Heading2Char">
    <w:name w:val="Heading 2 Char"/>
    <w:basedOn w:val="DefaultParagraphFont"/>
    <w:link w:val="Heading2"/>
    <w:rsid w:val="000B1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D1F"/>
    <w:rPr>
      <w:rFonts w:ascii="Courier New" w:eastAsia="Times New Roman" w:hAnsi="Courier New" w:cs="Times New Roman"/>
      <w:i/>
      <w:szCs w:val="20"/>
      <w:lang w:val="en-US" w:eastAsia="en-US"/>
    </w:rPr>
  </w:style>
  <w:style w:type="paragraph" w:customStyle="1" w:styleId="HeadingBase">
    <w:name w:val="Heading Base"/>
    <w:rsid w:val="000B1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D1F"/>
    <w:pPr>
      <w:tabs>
        <w:tab w:val="right" w:leader="dot" w:pos="9072"/>
      </w:tabs>
      <w:ind w:left="567"/>
    </w:pPr>
    <w:rPr>
      <w:szCs w:val="22"/>
    </w:rPr>
  </w:style>
  <w:style w:type="paragraph" w:customStyle="1" w:styleId="TOCBase">
    <w:name w:val="TOC Base"/>
    <w:rsid w:val="000B1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D1F"/>
    <w:pPr>
      <w:tabs>
        <w:tab w:val="right" w:leader="dot" w:pos="9072"/>
      </w:tabs>
      <w:spacing w:before="40" w:after="40"/>
      <w:ind w:left="284"/>
    </w:pPr>
    <w:rPr>
      <w:rFonts w:ascii="Times New Roman" w:hAnsi="Times New Roman"/>
    </w:rPr>
  </w:style>
  <w:style w:type="paragraph" w:styleId="TOC1">
    <w:name w:val="toc 1"/>
    <w:basedOn w:val="TOCBase"/>
    <w:next w:val="Normal"/>
    <w:rsid w:val="000B1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D1F"/>
    <w:pPr>
      <w:spacing w:before="5040"/>
      <w:jc w:val="center"/>
    </w:pPr>
    <w:rPr>
      <w:sz w:val="48"/>
      <w:szCs w:val="72"/>
      <w:lang w:val="en-US"/>
    </w:rPr>
  </w:style>
  <w:style w:type="character" w:customStyle="1" w:styleId="TitleChar">
    <w:name w:val="Title Char"/>
    <w:basedOn w:val="DefaultParagraphFont"/>
    <w:link w:val="Title"/>
    <w:rsid w:val="000B1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D1F"/>
    <w:pPr>
      <w:tabs>
        <w:tab w:val="left" w:pos="3600"/>
        <w:tab w:val="left" w:pos="3958"/>
      </w:tabs>
    </w:pPr>
  </w:style>
  <w:style w:type="paragraph" w:customStyle="1" w:styleId="Note">
    <w:name w:val="Note"/>
    <w:basedOn w:val="BodyText"/>
    <w:rsid w:val="000B1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D1F"/>
    <w:pPr>
      <w:framePr w:wrap="auto" w:hAnchor="text" w:y="6049"/>
    </w:pPr>
    <w:rPr>
      <w:color w:val="000000"/>
      <w:sz w:val="40"/>
    </w:rPr>
  </w:style>
  <w:style w:type="paragraph" w:customStyle="1" w:styleId="TOCTitle">
    <w:name w:val="TOCTitle"/>
    <w:basedOn w:val="Heading1"/>
    <w:rsid w:val="000B1D1F"/>
    <w:pPr>
      <w:spacing w:after="240"/>
      <w:jc w:val="center"/>
      <w:outlineLvl w:val="9"/>
    </w:pPr>
    <w:rPr>
      <w:caps/>
    </w:rPr>
  </w:style>
  <w:style w:type="paragraph" w:customStyle="1" w:styleId="Version">
    <w:name w:val="Version"/>
    <w:rsid w:val="000B1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D1F"/>
    <w:pPr>
      <w:keepNext w:val="0"/>
      <w:tabs>
        <w:tab w:val="right" w:pos="4176"/>
      </w:tabs>
      <w:ind w:left="198" w:hanging="198"/>
    </w:pPr>
    <w:rPr>
      <w:rFonts w:ascii="Garamond" w:hAnsi="Garamond"/>
    </w:rPr>
  </w:style>
  <w:style w:type="paragraph" w:styleId="IndexHeading">
    <w:name w:val="index heading"/>
    <w:basedOn w:val="Normal"/>
    <w:next w:val="Index1"/>
    <w:semiHidden/>
    <w:rsid w:val="000B1D1F"/>
    <w:pPr>
      <w:spacing w:before="120" w:after="120"/>
    </w:pPr>
    <w:rPr>
      <w:rFonts w:ascii="Arial" w:hAnsi="Arial"/>
      <w:b/>
      <w:color w:val="918585"/>
      <w:sz w:val="24"/>
    </w:rPr>
  </w:style>
  <w:style w:type="paragraph" w:customStyle="1" w:styleId="Chapter">
    <w:name w:val="Chapter"/>
    <w:basedOn w:val="Normal"/>
    <w:rsid w:val="000B1D1F"/>
    <w:pPr>
      <w:spacing w:before="240"/>
    </w:pPr>
    <w:rPr>
      <w:rFonts w:ascii="Times New Roman" w:hAnsi="Times New Roman"/>
      <w:smallCaps/>
      <w:spacing w:val="80"/>
      <w:sz w:val="28"/>
    </w:rPr>
  </w:style>
  <w:style w:type="paragraph" w:customStyle="1" w:styleId="InChapter">
    <w:name w:val="InChapter"/>
    <w:basedOn w:val="Heading3"/>
    <w:rsid w:val="000B1D1F"/>
    <w:pPr>
      <w:spacing w:after="240"/>
      <w:outlineLvl w:val="9"/>
    </w:pPr>
    <w:rPr>
      <w:noProof/>
    </w:rPr>
  </w:style>
  <w:style w:type="paragraph" w:styleId="Index2">
    <w:name w:val="index 2"/>
    <w:basedOn w:val="Normal"/>
    <w:next w:val="Normal"/>
    <w:semiHidden/>
    <w:rsid w:val="000B1D1F"/>
    <w:pPr>
      <w:tabs>
        <w:tab w:val="right" w:pos="4176"/>
      </w:tabs>
      <w:ind w:left="568" w:hanging="284"/>
    </w:pPr>
    <w:rPr>
      <w:rFonts w:ascii="Garamond" w:hAnsi="Garamond"/>
    </w:rPr>
  </w:style>
  <w:style w:type="paragraph" w:customStyle="1" w:styleId="Byline">
    <w:name w:val="Byline"/>
    <w:rsid w:val="000B1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D1F"/>
    <w:pPr>
      <w:tabs>
        <w:tab w:val="clear" w:pos="3600"/>
        <w:tab w:val="clear" w:pos="3958"/>
      </w:tabs>
      <w:jc w:val="right"/>
    </w:pPr>
  </w:style>
  <w:style w:type="character" w:styleId="Emphasis">
    <w:name w:val="Emphasis"/>
    <w:basedOn w:val="DefaultParagraphFont"/>
    <w:qFormat/>
    <w:rsid w:val="000B1D1F"/>
    <w:rPr>
      <w:i/>
    </w:rPr>
  </w:style>
  <w:style w:type="paragraph" w:styleId="Caption">
    <w:name w:val="caption"/>
    <w:basedOn w:val="BodyText"/>
    <w:next w:val="Normal"/>
    <w:qFormat/>
    <w:rsid w:val="000B1D1F"/>
    <w:pPr>
      <w:framePr w:w="2268" w:hSpace="181" w:vSpace="181" w:wrap="around" w:vAnchor="text" w:hAnchor="page" w:x="1135" w:y="285" w:anchorLock="1"/>
    </w:pPr>
    <w:rPr>
      <w:i/>
    </w:rPr>
  </w:style>
  <w:style w:type="paragraph" w:customStyle="1" w:styleId="MiniTOCTitle">
    <w:name w:val="MiniTOCTitle"/>
    <w:basedOn w:val="Heading4"/>
    <w:rsid w:val="000B1D1F"/>
    <w:pPr>
      <w:spacing w:before="240"/>
      <w:outlineLvl w:val="9"/>
    </w:pPr>
    <w:rPr>
      <w:noProof/>
      <w:sz w:val="24"/>
    </w:rPr>
  </w:style>
  <w:style w:type="paragraph" w:customStyle="1" w:styleId="MiniTOCItem">
    <w:name w:val="MiniTOCItem"/>
    <w:basedOn w:val="ListBullet"/>
    <w:rsid w:val="000B1D1F"/>
    <w:pPr>
      <w:numPr>
        <w:numId w:val="0"/>
      </w:numPr>
      <w:tabs>
        <w:tab w:val="right" w:leader="dot" w:pos="6521"/>
      </w:tabs>
      <w:spacing w:before="0" w:after="0"/>
    </w:pPr>
  </w:style>
  <w:style w:type="paragraph" w:customStyle="1" w:styleId="TOFTitle">
    <w:name w:val="TOFTitle"/>
    <w:basedOn w:val="TOCTitle"/>
    <w:rsid w:val="000B1D1F"/>
  </w:style>
  <w:style w:type="paragraph" w:styleId="TableofFigures">
    <w:name w:val="table of figures"/>
    <w:basedOn w:val="Normal"/>
    <w:next w:val="Normal"/>
    <w:semiHidden/>
    <w:rsid w:val="000B1D1F"/>
    <w:pPr>
      <w:tabs>
        <w:tab w:val="right" w:leader="dot" w:pos="9072"/>
      </w:tabs>
      <w:ind w:left="970" w:hanging="403"/>
    </w:pPr>
    <w:rPr>
      <w:rFonts w:ascii="Times New Roman" w:hAnsi="Times New Roman"/>
      <w:b/>
    </w:rPr>
  </w:style>
  <w:style w:type="paragraph" w:styleId="ListNumber">
    <w:name w:val="List Number"/>
    <w:basedOn w:val="List"/>
    <w:rsid w:val="000B1D1F"/>
    <w:pPr>
      <w:numPr>
        <w:numId w:val="11"/>
      </w:numPr>
    </w:pPr>
  </w:style>
  <w:style w:type="character" w:customStyle="1" w:styleId="WingdingSymbols">
    <w:name w:val="Wingding Symbols"/>
    <w:rsid w:val="000B1D1F"/>
    <w:rPr>
      <w:rFonts w:ascii="Wingdings" w:hAnsi="Wingdings"/>
    </w:rPr>
  </w:style>
  <w:style w:type="paragraph" w:customStyle="1" w:styleId="TableHeading">
    <w:name w:val="Table Heading"/>
    <w:basedOn w:val="HeadingBase"/>
    <w:rsid w:val="000B1D1F"/>
    <w:pPr>
      <w:keepLines/>
      <w:pBdr>
        <w:bottom w:val="single" w:sz="6" w:space="1" w:color="918585"/>
      </w:pBdr>
      <w:spacing w:before="240"/>
    </w:pPr>
  </w:style>
  <w:style w:type="character" w:customStyle="1" w:styleId="HotSpot">
    <w:name w:val="HotSpot"/>
    <w:rsid w:val="000B1D1F"/>
    <w:rPr>
      <w:color w:val="0033CC"/>
      <w:u w:val="none"/>
    </w:rPr>
  </w:style>
  <w:style w:type="paragraph" w:customStyle="1" w:styleId="BodyTextRight">
    <w:name w:val="Body Text Right"/>
    <w:basedOn w:val="BodyText"/>
    <w:rsid w:val="000B1D1F"/>
    <w:pPr>
      <w:spacing w:before="0" w:after="0"/>
      <w:jc w:val="right"/>
    </w:pPr>
  </w:style>
  <w:style w:type="paragraph" w:styleId="Index3">
    <w:name w:val="index 3"/>
    <w:basedOn w:val="ListNumber2"/>
    <w:next w:val="Normal"/>
    <w:semiHidden/>
    <w:rsid w:val="000B1D1F"/>
    <w:pPr>
      <w:numPr>
        <w:numId w:val="0"/>
      </w:numPr>
      <w:tabs>
        <w:tab w:val="right" w:leader="dot" w:pos="4176"/>
      </w:tabs>
    </w:pPr>
  </w:style>
  <w:style w:type="paragraph" w:styleId="ListNumber2">
    <w:name w:val="List Number 2"/>
    <w:basedOn w:val="List2"/>
    <w:rsid w:val="000B1D1F"/>
    <w:pPr>
      <w:numPr>
        <w:numId w:val="10"/>
      </w:numPr>
      <w:tabs>
        <w:tab w:val="clear" w:pos="1060"/>
      </w:tabs>
    </w:pPr>
  </w:style>
  <w:style w:type="paragraph" w:customStyle="1" w:styleId="MarginNote">
    <w:name w:val="Margin Note"/>
    <w:basedOn w:val="BodyText"/>
    <w:rsid w:val="000B1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D1F"/>
    <w:rPr>
      <w:sz w:val="32"/>
    </w:rPr>
  </w:style>
  <w:style w:type="paragraph" w:customStyle="1" w:styleId="HeadingProcedure">
    <w:name w:val="Heading Procedure"/>
    <w:basedOn w:val="HeadingBase"/>
    <w:next w:val="Normal"/>
    <w:rsid w:val="000B1D1F"/>
    <w:pPr>
      <w:tabs>
        <w:tab w:val="left" w:pos="0"/>
      </w:tabs>
      <w:spacing w:before="120" w:after="60"/>
    </w:pPr>
    <w:rPr>
      <w:i/>
      <w:color w:val="918585"/>
      <w:sz w:val="22"/>
    </w:rPr>
  </w:style>
  <w:style w:type="paragraph" w:customStyle="1" w:styleId="TableBodyText">
    <w:name w:val="Table Body Text"/>
    <w:basedOn w:val="BodyText"/>
    <w:rsid w:val="000B1D1F"/>
    <w:pPr>
      <w:spacing w:before="60" w:after="60"/>
    </w:pPr>
  </w:style>
  <w:style w:type="paragraph" w:styleId="ListContinue">
    <w:name w:val="List Continue"/>
    <w:basedOn w:val="List"/>
    <w:rsid w:val="000B1D1F"/>
    <w:pPr>
      <w:ind w:firstLine="0"/>
    </w:pPr>
  </w:style>
  <w:style w:type="paragraph" w:customStyle="1" w:styleId="ListNote">
    <w:name w:val="List Note"/>
    <w:basedOn w:val="List"/>
    <w:rsid w:val="000B1D1F"/>
    <w:pPr>
      <w:pBdr>
        <w:top w:val="single" w:sz="6" w:space="2" w:color="918585"/>
        <w:bottom w:val="single" w:sz="6" w:space="2" w:color="918585"/>
      </w:pBdr>
      <w:tabs>
        <w:tab w:val="left" w:pos="1021"/>
      </w:tabs>
      <w:ind w:firstLine="0"/>
    </w:pPr>
  </w:style>
  <w:style w:type="paragraph" w:customStyle="1" w:styleId="Warning">
    <w:name w:val="Warning"/>
    <w:basedOn w:val="BodyText"/>
    <w:rsid w:val="000B1D1F"/>
    <w:pPr>
      <w:shd w:val="clear" w:color="auto" w:fill="D9D9D9"/>
      <w:tabs>
        <w:tab w:val="left" w:pos="992"/>
      </w:tabs>
      <w:ind w:left="119" w:right="119"/>
    </w:pPr>
    <w:rPr>
      <w:sz w:val="20"/>
    </w:rPr>
  </w:style>
  <w:style w:type="paragraph" w:customStyle="1" w:styleId="MarginIcons">
    <w:name w:val="Margin Icons"/>
    <w:basedOn w:val="BodyText"/>
    <w:rsid w:val="000B1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D1F"/>
    <w:rPr>
      <w:rFonts w:ascii="Courier New" w:hAnsi="Courier New"/>
    </w:rPr>
  </w:style>
  <w:style w:type="paragraph" w:customStyle="1" w:styleId="NoteBullet">
    <w:name w:val="Note Bullet"/>
    <w:basedOn w:val="Note"/>
    <w:rsid w:val="000B1D1F"/>
    <w:pPr>
      <w:tabs>
        <w:tab w:val="clear" w:pos="680"/>
      </w:tabs>
      <w:spacing w:before="60" w:after="60"/>
    </w:pPr>
  </w:style>
  <w:style w:type="paragraph" w:customStyle="1" w:styleId="SubHeading2">
    <w:name w:val="SubHeading2"/>
    <w:basedOn w:val="HeadingBase"/>
    <w:rsid w:val="000B1D1F"/>
    <w:pPr>
      <w:spacing w:before="240" w:after="60"/>
    </w:pPr>
    <w:rPr>
      <w:sz w:val="20"/>
    </w:rPr>
  </w:style>
  <w:style w:type="paragraph" w:customStyle="1" w:styleId="SubHeading1">
    <w:name w:val="SubHeading1"/>
    <w:basedOn w:val="HeadingBase"/>
    <w:rsid w:val="000B1D1F"/>
    <w:pPr>
      <w:spacing w:before="240" w:after="60"/>
    </w:pPr>
    <w:rPr>
      <w:color w:val="918585"/>
      <w:sz w:val="22"/>
    </w:rPr>
  </w:style>
  <w:style w:type="paragraph" w:customStyle="1" w:styleId="SideHeading">
    <w:name w:val="Side Heading"/>
    <w:basedOn w:val="HeadingBase"/>
    <w:rsid w:val="000B1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D1F"/>
    <w:pPr>
      <w:numPr>
        <w:numId w:val="12"/>
      </w:numPr>
    </w:pPr>
  </w:style>
  <w:style w:type="paragraph" w:styleId="PlainText">
    <w:name w:val="Plain Text"/>
    <w:basedOn w:val="Normal"/>
    <w:link w:val="PlainTextChar"/>
    <w:rsid w:val="000B1D1F"/>
    <w:rPr>
      <w:sz w:val="20"/>
    </w:rPr>
  </w:style>
  <w:style w:type="character" w:customStyle="1" w:styleId="PlainTextChar">
    <w:name w:val="Plain Text Char"/>
    <w:basedOn w:val="DefaultParagraphFont"/>
    <w:link w:val="PlainText"/>
    <w:rsid w:val="000B1D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D1F"/>
    <w:rPr>
      <w:b/>
      <w:smallCaps/>
    </w:rPr>
  </w:style>
  <w:style w:type="paragraph" w:customStyle="1" w:styleId="TableListNumber">
    <w:name w:val="Table List Number"/>
    <w:basedOn w:val="ListNumber"/>
    <w:rsid w:val="000B1D1F"/>
    <w:pPr>
      <w:numPr>
        <w:numId w:val="0"/>
      </w:numPr>
    </w:pPr>
  </w:style>
  <w:style w:type="paragraph" w:styleId="TOC4">
    <w:name w:val="toc 4"/>
    <w:basedOn w:val="TOCBase"/>
    <w:next w:val="Normal"/>
    <w:semiHidden/>
    <w:rsid w:val="000B1D1F"/>
    <w:pPr>
      <w:tabs>
        <w:tab w:val="right" w:leader="dot" w:pos="9071"/>
      </w:tabs>
      <w:ind w:left="1701"/>
    </w:pPr>
  </w:style>
  <w:style w:type="paragraph" w:customStyle="1" w:styleId="ListAlpha">
    <w:name w:val="List Alpha"/>
    <w:basedOn w:val="List"/>
    <w:rsid w:val="000B1D1F"/>
    <w:pPr>
      <w:numPr>
        <w:numId w:val="9"/>
      </w:numPr>
    </w:pPr>
  </w:style>
  <w:style w:type="paragraph" w:customStyle="1" w:styleId="ListAlpha2">
    <w:name w:val="List Alpha 2"/>
    <w:basedOn w:val="List2"/>
    <w:rsid w:val="000B1D1F"/>
    <w:pPr>
      <w:numPr>
        <w:numId w:val="8"/>
      </w:numPr>
    </w:pPr>
  </w:style>
  <w:style w:type="paragraph" w:styleId="List3">
    <w:name w:val="List 3"/>
    <w:basedOn w:val="BodyText"/>
    <w:rsid w:val="000B1D1F"/>
    <w:pPr>
      <w:tabs>
        <w:tab w:val="left" w:pos="1021"/>
      </w:tabs>
      <w:spacing w:before="60" w:after="60"/>
      <w:ind w:left="1020" w:hanging="340"/>
    </w:pPr>
  </w:style>
  <w:style w:type="paragraph" w:styleId="List4">
    <w:name w:val="List 4"/>
    <w:basedOn w:val="BodyText"/>
    <w:rsid w:val="000B1D1F"/>
    <w:pPr>
      <w:tabs>
        <w:tab w:val="left" w:pos="1361"/>
      </w:tabs>
      <w:spacing w:before="60" w:after="60"/>
      <w:ind w:left="1361" w:hanging="340"/>
    </w:pPr>
  </w:style>
  <w:style w:type="paragraph" w:styleId="List5">
    <w:name w:val="List 5"/>
    <w:basedOn w:val="BodyText"/>
    <w:rsid w:val="000B1D1F"/>
    <w:pPr>
      <w:tabs>
        <w:tab w:val="left" w:pos="1701"/>
      </w:tabs>
      <w:spacing w:before="60" w:after="60"/>
      <w:ind w:left="1701" w:hanging="340"/>
    </w:pPr>
  </w:style>
  <w:style w:type="paragraph" w:styleId="ListBullet3">
    <w:name w:val="List Bullet 3"/>
    <w:basedOn w:val="List3"/>
    <w:rsid w:val="000B1D1F"/>
    <w:pPr>
      <w:numPr>
        <w:numId w:val="15"/>
      </w:numPr>
      <w:tabs>
        <w:tab w:val="clear" w:pos="1021"/>
      </w:tabs>
      <w:ind w:left="1037" w:hanging="357"/>
    </w:pPr>
  </w:style>
  <w:style w:type="paragraph" w:styleId="ListBullet4">
    <w:name w:val="List Bullet 4"/>
    <w:basedOn w:val="List4"/>
    <w:rsid w:val="000B1D1F"/>
    <w:pPr>
      <w:numPr>
        <w:numId w:val="3"/>
      </w:numPr>
    </w:pPr>
  </w:style>
  <w:style w:type="paragraph" w:styleId="ListBullet5">
    <w:name w:val="List Bullet 5"/>
    <w:basedOn w:val="List5"/>
    <w:rsid w:val="000B1D1F"/>
    <w:pPr>
      <w:numPr>
        <w:numId w:val="4"/>
      </w:numPr>
    </w:pPr>
  </w:style>
  <w:style w:type="paragraph" w:styleId="ListContinue2">
    <w:name w:val="List Continue 2"/>
    <w:basedOn w:val="List2"/>
    <w:rsid w:val="000B1D1F"/>
    <w:pPr>
      <w:ind w:firstLine="0"/>
    </w:pPr>
  </w:style>
  <w:style w:type="paragraph" w:styleId="ListContinue3">
    <w:name w:val="List Continue 3"/>
    <w:basedOn w:val="List3"/>
    <w:rsid w:val="000B1D1F"/>
    <w:pPr>
      <w:ind w:left="1021" w:firstLine="0"/>
    </w:pPr>
  </w:style>
  <w:style w:type="paragraph" w:styleId="ListContinue4">
    <w:name w:val="List Continue 4"/>
    <w:basedOn w:val="List4"/>
    <w:rsid w:val="000B1D1F"/>
    <w:pPr>
      <w:ind w:firstLine="0"/>
    </w:pPr>
  </w:style>
  <w:style w:type="paragraph" w:styleId="ListContinue5">
    <w:name w:val="List Continue 5"/>
    <w:basedOn w:val="List5"/>
    <w:rsid w:val="000B1D1F"/>
    <w:pPr>
      <w:ind w:firstLine="0"/>
    </w:pPr>
  </w:style>
  <w:style w:type="paragraph" w:styleId="ListNumber3">
    <w:name w:val="List Number 3"/>
    <w:basedOn w:val="List3"/>
    <w:rsid w:val="000B1D1F"/>
    <w:pPr>
      <w:numPr>
        <w:numId w:val="5"/>
      </w:numPr>
    </w:pPr>
  </w:style>
  <w:style w:type="paragraph" w:styleId="ListNumber4">
    <w:name w:val="List Number 4"/>
    <w:basedOn w:val="List4"/>
    <w:rsid w:val="000B1D1F"/>
    <w:pPr>
      <w:numPr>
        <w:numId w:val="6"/>
      </w:numPr>
    </w:pPr>
  </w:style>
  <w:style w:type="paragraph" w:styleId="ListNumber5">
    <w:name w:val="List Number 5"/>
    <w:basedOn w:val="List5"/>
    <w:rsid w:val="000B1D1F"/>
    <w:pPr>
      <w:numPr>
        <w:numId w:val="7"/>
      </w:numPr>
    </w:pPr>
  </w:style>
  <w:style w:type="paragraph" w:styleId="BlockText">
    <w:name w:val="Block Text"/>
    <w:basedOn w:val="Normal"/>
    <w:rsid w:val="000B1D1F"/>
    <w:pPr>
      <w:spacing w:after="120"/>
      <w:ind w:left="1440" w:right="1440"/>
    </w:pPr>
  </w:style>
  <w:style w:type="character" w:customStyle="1" w:styleId="Subscript">
    <w:name w:val="Subscript"/>
    <w:basedOn w:val="DefaultParagraphFont"/>
    <w:rsid w:val="000B1D1F"/>
    <w:rPr>
      <w:sz w:val="16"/>
      <w:vertAlign w:val="subscript"/>
    </w:rPr>
  </w:style>
  <w:style w:type="character" w:customStyle="1" w:styleId="Superscript">
    <w:name w:val="Superscript"/>
    <w:basedOn w:val="DefaultParagraphFont"/>
    <w:rsid w:val="000B1D1F"/>
    <w:rPr>
      <w:sz w:val="16"/>
      <w:vertAlign w:val="superscript"/>
    </w:rPr>
  </w:style>
  <w:style w:type="character" w:customStyle="1" w:styleId="Symbols">
    <w:name w:val="Symbols"/>
    <w:basedOn w:val="DefaultParagraphFont"/>
    <w:rsid w:val="000B1D1F"/>
    <w:rPr>
      <w:rFonts w:ascii="Symbol" w:hAnsi="Symbol"/>
    </w:rPr>
  </w:style>
  <w:style w:type="character" w:customStyle="1" w:styleId="MenuOptions">
    <w:name w:val="Menu Options"/>
    <w:basedOn w:val="DefaultParagraphFont"/>
    <w:rsid w:val="000B1D1F"/>
    <w:rPr>
      <w:rFonts w:ascii="Arial Narrow" w:hAnsi="Arial Narrow"/>
      <w:smallCaps/>
    </w:rPr>
  </w:style>
  <w:style w:type="character" w:customStyle="1" w:styleId="Buttons">
    <w:name w:val="Buttons"/>
    <w:basedOn w:val="DefaultParagraphFont"/>
    <w:rsid w:val="000B1D1F"/>
    <w:rPr>
      <w:b/>
    </w:rPr>
  </w:style>
  <w:style w:type="character" w:customStyle="1" w:styleId="Underlined">
    <w:name w:val="Underlined"/>
    <w:basedOn w:val="DefaultParagraphFont"/>
    <w:rsid w:val="000B1D1F"/>
    <w:rPr>
      <w:u w:val="single"/>
    </w:rPr>
  </w:style>
  <w:style w:type="paragraph" w:customStyle="1" w:styleId="TableBodyTextRight">
    <w:name w:val="Table Body Text Right"/>
    <w:basedOn w:val="TableBodyText"/>
    <w:rsid w:val="000B1D1F"/>
    <w:pPr>
      <w:widowControl w:val="0"/>
      <w:autoSpaceDE w:val="0"/>
      <w:autoSpaceDN w:val="0"/>
      <w:adjustRightInd w:val="0"/>
      <w:jc w:val="right"/>
    </w:pPr>
    <w:rPr>
      <w:rFonts w:cs="Arial"/>
      <w:szCs w:val="18"/>
    </w:rPr>
  </w:style>
  <w:style w:type="paragraph" w:customStyle="1" w:styleId="CopyrightText">
    <w:name w:val="Copyright Text"/>
    <w:basedOn w:val="BodyText"/>
    <w:rsid w:val="000B1D1F"/>
    <w:rPr>
      <w:sz w:val="18"/>
    </w:rPr>
  </w:style>
  <w:style w:type="paragraph" w:customStyle="1" w:styleId="BodySmallRight">
    <w:name w:val="Body Small Right"/>
    <w:basedOn w:val="BodyTextRight"/>
    <w:rsid w:val="000B1D1F"/>
    <w:rPr>
      <w:sz w:val="18"/>
      <w:szCs w:val="18"/>
    </w:rPr>
  </w:style>
  <w:style w:type="paragraph" w:customStyle="1" w:styleId="MarginEdition">
    <w:name w:val="Margin Edition"/>
    <w:basedOn w:val="MarginNote"/>
    <w:rsid w:val="000B1D1F"/>
    <w:pPr>
      <w:spacing w:before="0" w:after="0"/>
    </w:pPr>
    <w:rPr>
      <w:rFonts w:ascii="Times New Roman" w:hAnsi="Times New Roman"/>
      <w:color w:val="999999"/>
    </w:rPr>
  </w:style>
  <w:style w:type="paragraph" w:customStyle="1" w:styleId="Spacer">
    <w:name w:val="Spacer"/>
    <w:basedOn w:val="Normal"/>
    <w:rsid w:val="000B1D1F"/>
    <w:rPr>
      <w:sz w:val="2"/>
      <w:szCs w:val="2"/>
    </w:rPr>
  </w:style>
  <w:style w:type="character" w:customStyle="1" w:styleId="Small">
    <w:name w:val="Small"/>
    <w:basedOn w:val="DefaultParagraphFont"/>
    <w:rsid w:val="000B1D1F"/>
    <w:rPr>
      <w:sz w:val="16"/>
    </w:rPr>
  </w:style>
  <w:style w:type="paragraph" w:customStyle="1" w:styleId="WideTable">
    <w:name w:val="Wide Table"/>
    <w:basedOn w:val="Normal"/>
    <w:rsid w:val="000B1D1F"/>
    <w:pPr>
      <w:ind w:left="-1418"/>
    </w:pPr>
    <w:rPr>
      <w:sz w:val="2"/>
      <w:szCs w:val="2"/>
    </w:rPr>
  </w:style>
  <w:style w:type="character" w:styleId="PageNumber">
    <w:name w:val="page number"/>
    <w:basedOn w:val="DefaultParagraphFont"/>
    <w:rsid w:val="000B1D1F"/>
  </w:style>
  <w:style w:type="paragraph" w:styleId="Quote">
    <w:name w:val="Quote"/>
    <w:basedOn w:val="Heading1"/>
    <w:link w:val="QuoteChar"/>
    <w:qFormat/>
    <w:rsid w:val="000B1D1F"/>
    <w:rPr>
      <w:b w:val="0"/>
      <w:sz w:val="72"/>
      <w:szCs w:val="72"/>
      <w:lang w:val="en-NZ"/>
    </w:rPr>
  </w:style>
  <w:style w:type="character" w:customStyle="1" w:styleId="QuoteChar">
    <w:name w:val="Quote Char"/>
    <w:basedOn w:val="DefaultParagraphFont"/>
    <w:link w:val="Quote"/>
    <w:rsid w:val="000B1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D1F"/>
    <w:pPr>
      <w:pageBreakBefore/>
    </w:pPr>
  </w:style>
  <w:style w:type="paragraph" w:customStyle="1" w:styleId="Border">
    <w:name w:val="Border"/>
    <w:basedOn w:val="Normal"/>
    <w:qFormat/>
    <w:rsid w:val="000B1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D1F"/>
    <w:rPr>
      <w:b/>
      <w:bCs/>
      <w:i/>
      <w:iCs/>
      <w:color w:val="auto"/>
    </w:rPr>
  </w:style>
  <w:style w:type="paragraph" w:styleId="IntenseQuote">
    <w:name w:val="Intense Quote"/>
    <w:basedOn w:val="Normal"/>
    <w:next w:val="Normal"/>
    <w:link w:val="IntenseQuoteChar"/>
    <w:uiPriority w:val="30"/>
    <w:qFormat/>
    <w:rsid w:val="000B1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D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D1F"/>
    <w:rPr>
      <w:smallCaps/>
      <w:color w:val="auto"/>
      <w:u w:val="single"/>
    </w:rPr>
  </w:style>
  <w:style w:type="character" w:styleId="IntenseReference">
    <w:name w:val="Intense Reference"/>
    <w:basedOn w:val="DefaultParagraphFont"/>
    <w:uiPriority w:val="32"/>
    <w:qFormat/>
    <w:rsid w:val="000B1D1F"/>
    <w:rPr>
      <w:b/>
      <w:bCs/>
      <w:smallCaps/>
      <w:color w:val="auto"/>
      <w:spacing w:val="5"/>
      <w:u w:val="single"/>
    </w:rPr>
  </w:style>
  <w:style w:type="paragraph" w:customStyle="1" w:styleId="2ColumnHeading">
    <w:name w:val="2Column Heading"/>
    <w:basedOn w:val="BodyText"/>
    <w:qFormat/>
    <w:rsid w:val="000B1D1F"/>
    <w:pPr>
      <w:spacing w:after="60"/>
      <w:ind w:left="-2268"/>
    </w:pPr>
    <w:rPr>
      <w:b/>
    </w:rPr>
  </w:style>
  <w:style w:type="paragraph" w:customStyle="1" w:styleId="Heading1TOC">
    <w:name w:val="Heading1 TOC"/>
    <w:basedOn w:val="Normal"/>
    <w:qFormat/>
    <w:rsid w:val="000B1D1F"/>
    <w:pPr>
      <w:spacing w:before="240" w:after="120"/>
    </w:pPr>
    <w:rPr>
      <w:rFonts w:ascii="Times New Roman" w:hAnsi="Times New Roman"/>
      <w:b/>
      <w:sz w:val="32"/>
    </w:rPr>
  </w:style>
  <w:style w:type="paragraph" w:customStyle="1" w:styleId="Heading2TOC">
    <w:name w:val="Heading2 TOC"/>
    <w:basedOn w:val="Normal"/>
    <w:qFormat/>
    <w:rsid w:val="000B1D1F"/>
    <w:pPr>
      <w:spacing w:before="240" w:after="60"/>
    </w:pPr>
    <w:rPr>
      <w:rFonts w:ascii="Times New Roman" w:hAnsi="Times New Roman"/>
      <w:b/>
      <w:sz w:val="28"/>
    </w:rPr>
  </w:style>
  <w:style w:type="character" w:customStyle="1" w:styleId="Underline">
    <w:name w:val="Underline"/>
    <w:basedOn w:val="DefaultParagraphFont"/>
    <w:qFormat/>
    <w:rsid w:val="000B1D1F"/>
    <w:rPr>
      <w:u w:val="single"/>
    </w:rPr>
  </w:style>
  <w:style w:type="paragraph" w:styleId="BalloonText">
    <w:name w:val="Balloon Text"/>
    <w:basedOn w:val="Normal"/>
    <w:link w:val="BalloonTextChar"/>
    <w:rsid w:val="000B1D1F"/>
    <w:rPr>
      <w:rFonts w:ascii="Tahoma" w:hAnsi="Tahoma" w:cs="Tahoma"/>
      <w:sz w:val="16"/>
      <w:szCs w:val="16"/>
    </w:rPr>
  </w:style>
  <w:style w:type="character" w:customStyle="1" w:styleId="BalloonTextChar">
    <w:name w:val="Balloon Text Char"/>
    <w:basedOn w:val="DefaultParagraphFont"/>
    <w:link w:val="BalloonText"/>
    <w:rsid w:val="000B1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D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7523</Characters>
  <Application>Microsoft Office Word</Application>
  <DocSecurity>0</DocSecurity>
  <Lines>310</Lines>
  <Paragraphs>185</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FNSINC602A Interpret and use financial statistics and tools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