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390E" w:rsidP="0092390E">
      <w:pPr>
        <w:pStyle w:val="Title"/>
      </w:pPr>
      <w:r>
        <w:fldChar w:fldCharType="begin"/>
      </w:r>
      <w:r>
        <w:instrText xml:space="preserve"> TITLE   \* MERGEFORMAT </w:instrText>
      </w:r>
      <w:r>
        <w:fldChar w:fldCharType="separate"/>
      </w:r>
      <w:r>
        <w:t>FNSILF506A Manage group life insurance claims</w:t>
      </w:r>
      <w:r>
        <w:fldChar w:fldCharType="end"/>
      </w:r>
    </w:p>
    <w:p w:rsidR="0092390E" w:rsidP="0092390E">
      <w:pPr>
        <w:pStyle w:val="Version"/>
        <w:sectPr w:rsidSect="004B1D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1DA7" w:rsidP="004B1DA7">
      <w:pPr>
        <w:pStyle w:val="SuperHeading"/>
      </w:pPr>
      <w:r w:rsidRPr="004B1DA7">
        <w:t>FNSILF506A Manage group life insurance claims</w:t>
      </w:r>
    </w:p>
    <w:p w:rsidR="00000000" w:rsidRPr="004B1DA7" w:rsidP="004B1DA7">
      <w:pPr>
        <w:pStyle w:val="Heading1"/>
      </w:pPr>
      <w:bookmarkStart w:id="1" w:name="O_418267"/>
      <w:bookmarkEnd w:id="1"/>
      <w:r w:rsidRPr="004B1DA7">
        <w:t>Modification History</w:t>
      </w:r>
    </w:p>
    <w:tbl>
      <w:tblPr>
        <w:tblW w:w="0" w:type="auto"/>
        <w:tblLayout w:type="fixed"/>
        <w:tblCellMar>
          <w:left w:w="62" w:type="dxa"/>
          <w:right w:w="62" w:type="dxa"/>
        </w:tblCellMar>
        <w:tblLook w:val="0000"/>
      </w:tblPr>
      <w:tblGrid>
        <w:gridCol w:w="3105"/>
        <w:gridCol w:w="5775"/>
      </w:tblGrid>
      <w:tr w:rsidTr="004B1DA7">
        <w:tblPrEx>
          <w:tblW w:w="0" w:type="auto"/>
          <w:tblLayout w:type="fixed"/>
          <w:tblCellMar>
            <w:left w:w="62" w:type="dxa"/>
            <w:right w:w="62" w:type="dxa"/>
          </w:tblCellMar>
          <w:tblLook w:val="0000"/>
        </w:tblPrEx>
        <w:tc>
          <w:tcPr>
            <w:tcW w:w="3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DA7" w:rsidP="004B1DA7">
            <w:pPr>
              <w:pStyle w:val="BodyText"/>
            </w:pPr>
            <w:r w:rsidRPr="004B1DA7">
              <w:rPr>
                <w:rStyle w:val="SpecialBold"/>
              </w:rPr>
              <w:t>Release</w:t>
            </w:r>
          </w:p>
        </w:tc>
        <w:tc>
          <w:tcPr>
            <w:tcW w:w="5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DA7">
            <w:pPr>
              <w:pStyle w:val="BodyText"/>
              <w:rPr>
                <w:lang w:val="en-NZ"/>
              </w:rPr>
            </w:pPr>
            <w:r w:rsidRPr="004B1DA7">
              <w:rPr>
                <w:rStyle w:val="SpecialBold"/>
              </w:rPr>
              <w:t>Comments</w:t>
            </w:r>
          </w:p>
        </w:tc>
      </w:tr>
      <w:tr w:rsidTr="004B1DA7">
        <w:tblPrEx>
          <w:tblW w:w="0" w:type="auto"/>
          <w:tblLayout w:type="fixed"/>
          <w:tblCellMar>
            <w:left w:w="62" w:type="dxa"/>
            <w:right w:w="62" w:type="dxa"/>
          </w:tblCellMar>
          <w:tblLook w:val="0000"/>
        </w:tblPrEx>
        <w:tc>
          <w:tcPr>
            <w:tcW w:w="3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DA7">
            <w:pPr>
              <w:pStyle w:val="BodyText"/>
              <w:rPr>
                <w:lang w:val="en-NZ"/>
              </w:rPr>
            </w:pPr>
            <w:r w:rsidRPr="004B1DA7">
              <w:t>Release 1</w:t>
            </w:r>
          </w:p>
        </w:tc>
        <w:tc>
          <w:tcPr>
            <w:tcW w:w="5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DA7" w:rsidP="004B1DA7">
            <w:pPr>
              <w:pStyle w:val="BodyText"/>
            </w:pPr>
            <w:r w:rsidRPr="004B1DA7">
              <w:t xml:space="preserve">This Unit of Competency first released with </w:t>
            </w:r>
            <w:r w:rsidRPr="004B1DA7">
              <w:rPr>
                <w:rStyle w:val="Emphasis"/>
              </w:rPr>
              <w:t>FNS10 Financial Services Training Package version 3.0</w:t>
            </w:r>
            <w:r w:rsidRPr="004B1DA7">
              <w:t>.</w:t>
            </w:r>
          </w:p>
        </w:tc>
      </w:tr>
    </w:tbl>
    <w:p w:rsidR="00000000" w:rsidRPr="004B1DA7" w:rsidP="004B1DA7">
      <w:pPr>
        <w:pStyle w:val="BodyText"/>
      </w:pPr>
    </w:p>
    <w:p w:rsidR="00000000" w:rsidRPr="004B1DA7" w:rsidP="004B1DA7">
      <w:pPr>
        <w:pStyle w:val="AllowPageBreak"/>
      </w:pPr>
    </w:p>
    <w:p w:rsidR="00000000" w:rsidRPr="004B1DA7" w:rsidP="004B1DA7">
      <w:pPr>
        <w:pStyle w:val="Heading1"/>
      </w:pPr>
      <w:bookmarkStart w:id="2" w:name="O_418268"/>
      <w:bookmarkEnd w:id="2"/>
      <w:r w:rsidRPr="004B1DA7">
        <w:t>Unit Descriptor</w:t>
      </w:r>
    </w:p>
    <w:p w:rsidR="00000000" w:rsidRPr="004B1DA7" w:rsidP="004B1DA7">
      <w:pPr>
        <w:pStyle w:val="BodyText"/>
      </w:pPr>
      <w:r w:rsidRPr="004B1DA7">
        <w:t>This unit describes the procedural functions required to effectively handle claims made against group life insurance policies.</w:t>
      </w:r>
    </w:p>
    <w:p w:rsidR="00000000" w:rsidRPr="004B1DA7" w:rsidP="004B1DA7">
      <w:pPr>
        <w:pStyle w:val="AllowPageBreak"/>
      </w:pPr>
    </w:p>
    <w:p w:rsidR="00000000" w:rsidRPr="004B1DA7" w:rsidP="004B1DA7">
      <w:pPr>
        <w:pStyle w:val="Heading1"/>
      </w:pPr>
      <w:bookmarkStart w:id="3" w:name="O_418269"/>
      <w:bookmarkEnd w:id="3"/>
      <w:r w:rsidRPr="004B1DA7">
        <w:t>Application of the Unit</w:t>
      </w:r>
    </w:p>
    <w:p w:rsidR="00000000" w:rsidRPr="004B1DA7" w:rsidP="004B1DA7">
      <w:pPr>
        <w:pStyle w:val="BodyText"/>
      </w:pPr>
      <w:r w:rsidRPr="004B1DA7">
        <w:t>The unit applies to those engaged in case management and claims management functions associated with group life insurance policies.</w:t>
      </w:r>
    </w:p>
    <w:p w:rsidR="00000000" w:rsidRPr="004B1DA7" w:rsidP="004B1DA7">
      <w:pPr>
        <w:pStyle w:val="AllowPageBreak"/>
      </w:pPr>
    </w:p>
    <w:p w:rsidR="00000000" w:rsidRPr="004B1DA7" w:rsidP="004B1DA7">
      <w:pPr>
        <w:pStyle w:val="Heading1"/>
      </w:pPr>
      <w:bookmarkStart w:id="4" w:name="O_418270"/>
      <w:bookmarkEnd w:id="4"/>
      <w:r w:rsidRPr="004B1DA7">
        <w:t>Licensing/Regulatory Information</w:t>
      </w:r>
    </w:p>
    <w:p w:rsidR="00000000" w:rsidRPr="004B1DA7" w:rsidP="004B1DA7">
      <w:pPr>
        <w:pStyle w:val="BodyText"/>
      </w:pPr>
      <w:r w:rsidRPr="004B1DA7">
        <w:t xml:space="preserve">No licensing, legislative, regulatory or certification requirements apply </w:t>
      </w:r>
      <w:r w:rsidRPr="004B1DA7">
        <w:t>to this unit at the time of publication.</w:t>
      </w:r>
    </w:p>
    <w:p w:rsidR="00000000" w:rsidRPr="004B1DA7" w:rsidP="004B1DA7">
      <w:pPr>
        <w:pStyle w:val="AllowPageBreak"/>
      </w:pPr>
    </w:p>
    <w:p w:rsidR="00000000" w:rsidRPr="004B1DA7" w:rsidP="004B1DA7">
      <w:pPr>
        <w:pStyle w:val="Heading1"/>
      </w:pPr>
      <w:bookmarkStart w:id="5" w:name="O_418271"/>
      <w:bookmarkEnd w:id="5"/>
      <w:r w:rsidRPr="004B1DA7">
        <w:t>Pre-Requisites</w:t>
      </w:r>
    </w:p>
    <w:p w:rsidR="00000000" w:rsidRPr="004B1DA7" w:rsidP="004B1DA7">
      <w:pPr>
        <w:pStyle w:val="BodyText"/>
      </w:pPr>
      <w:r w:rsidRPr="004B1DA7">
        <w:t>Not applicable.</w:t>
      </w:r>
    </w:p>
    <w:p w:rsidR="00000000" w:rsidRPr="004B1DA7" w:rsidP="004B1DA7">
      <w:pPr>
        <w:pStyle w:val="AllowPageBreak"/>
      </w:pPr>
    </w:p>
    <w:p w:rsidR="00000000" w:rsidRPr="004B1DA7" w:rsidP="004B1DA7">
      <w:pPr>
        <w:pStyle w:val="Heading1"/>
      </w:pPr>
      <w:bookmarkStart w:id="6" w:name="O_418272"/>
      <w:bookmarkEnd w:id="6"/>
      <w:r w:rsidRPr="004B1DA7">
        <w:t>Employability Skills Information</w:t>
      </w:r>
    </w:p>
    <w:p w:rsidR="00000000" w:rsidRPr="004B1DA7" w:rsidP="004B1DA7">
      <w:pPr>
        <w:pStyle w:val="BodyText"/>
      </w:pPr>
      <w:r w:rsidRPr="004B1DA7">
        <w:t>This unit contains employability skills.</w:t>
      </w:r>
    </w:p>
    <w:p w:rsidR="00000000" w:rsidRPr="004B1DA7" w:rsidP="004B1DA7">
      <w:pPr>
        <w:pStyle w:val="AllowPageBreak"/>
      </w:pPr>
    </w:p>
    <w:p w:rsidR="00000000" w:rsidRPr="004B1DA7" w:rsidP="004B1DA7">
      <w:pPr>
        <w:pStyle w:val="Heading1"/>
      </w:pPr>
      <w:bookmarkStart w:id="7" w:name="O_418273"/>
      <w:bookmarkEnd w:id="7"/>
      <w:r w:rsidRPr="004B1DA7">
        <w:t>Elements and Performance Criteria Pre-Content</w:t>
      </w:r>
    </w:p>
    <w:tbl>
      <w:tblPr>
        <w:tblW w:w="9354" w:type="dxa"/>
        <w:tblLayout w:type="fixed"/>
        <w:tblCellMar>
          <w:left w:w="62" w:type="dxa"/>
          <w:right w:w="62" w:type="dxa"/>
        </w:tblCellMar>
        <w:tblLook w:val="0000"/>
      </w:tblPr>
      <w:tblGrid>
        <w:gridCol w:w="2592"/>
        <w:gridCol w:w="6762"/>
      </w:tblGrid>
      <w:tr w:rsidTr="004B1DA7">
        <w:tblPrEx>
          <w:tblW w:w="9354" w:type="dxa"/>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4B1DA7" w:rsidP="004B1DA7">
            <w:pPr>
              <w:pStyle w:val="BodyText"/>
            </w:pPr>
            <w:r w:rsidRPr="004B1DA7">
              <w:rPr>
                <w:rStyle w:val="SpecialBold"/>
              </w:rPr>
              <w:t>Element</w:t>
            </w:r>
          </w:p>
        </w:tc>
        <w:tc>
          <w:tcPr>
            <w:tcW w:w="676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4B1DA7">
            <w:pPr>
              <w:pStyle w:val="BodyText"/>
              <w:rPr>
                <w:lang w:val="en-NZ"/>
              </w:rPr>
            </w:pPr>
            <w:r w:rsidRPr="004B1DA7">
              <w:rPr>
                <w:rStyle w:val="SpecialBold"/>
              </w:rPr>
              <w:t>Performance Criteria</w:t>
            </w:r>
          </w:p>
        </w:tc>
      </w:tr>
      <w:tr w:rsidTr="004B1DA7">
        <w:tblPrEx>
          <w:tblW w:w="9354" w:type="dxa"/>
          <w:tblLayout w:type="fixed"/>
          <w:tblCellMar>
            <w:left w:w="62" w:type="dxa"/>
            <w:right w:w="62" w:type="dxa"/>
          </w:tblCellMar>
          <w:tblLook w:val="0000"/>
        </w:tblPrEx>
        <w:tc>
          <w:tcPr>
            <w:tcW w:w="259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B1DA7" w:rsidP="004B1DA7">
            <w:pPr>
              <w:pStyle w:val="BodyText"/>
            </w:pPr>
            <w:r w:rsidRPr="004B1DA7">
              <w:rPr>
                <w:rStyle w:val="Emphasis"/>
              </w:rPr>
              <w:t>Elements describe the essential outcomes of a unit of competency.</w:t>
            </w:r>
          </w:p>
        </w:tc>
        <w:tc>
          <w:tcPr>
            <w:tcW w:w="676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B1DA7" w:rsidP="004B1DA7">
            <w:pPr>
              <w:pStyle w:val="BodyText"/>
            </w:pPr>
            <w:r w:rsidRPr="004B1DA7">
              <w:rPr>
                <w:rStyle w:val="Emphasis"/>
              </w:rPr>
              <w:t>Performance criteria describe the performance needed to demonstrate achievement of the element. Where bold italicised text is used, further information is detailed in t</w:t>
            </w:r>
            <w:r w:rsidRPr="004B1DA7">
              <w:rPr>
                <w:rStyle w:val="Emphasis"/>
              </w:rPr>
              <w:t>he required skills and knowledge section and the range statement. Assessment of performance is to be consistent with the evidence guide.</w:t>
            </w:r>
          </w:p>
        </w:tc>
      </w:tr>
    </w:tbl>
    <w:p w:rsidR="00000000" w:rsidRPr="004B1DA7" w:rsidP="004B1DA7">
      <w:pPr>
        <w:pStyle w:val="BodyText"/>
      </w:pPr>
    </w:p>
    <w:p w:rsidR="00000000" w:rsidRPr="004B1DA7" w:rsidP="004B1DA7">
      <w:pPr>
        <w:pStyle w:val="AllowPageBreak"/>
      </w:pPr>
    </w:p>
    <w:p w:rsidR="00000000" w:rsidRPr="004B1DA7" w:rsidP="004B1DA7">
      <w:pPr>
        <w:pStyle w:val="Heading1"/>
      </w:pPr>
      <w:bookmarkStart w:id="8" w:name="O_418274"/>
      <w:bookmarkEnd w:id="8"/>
      <w:r w:rsidRPr="004B1DA7">
        <w:t>Elements and Performance Criteria</w:t>
      </w:r>
    </w:p>
    <w:tbl>
      <w:tblPr>
        <w:tblW w:w="0" w:type="auto"/>
        <w:tblLayout w:type="fixed"/>
        <w:tblCellMar>
          <w:left w:w="62" w:type="dxa"/>
          <w:right w:w="62" w:type="dxa"/>
        </w:tblCellMar>
        <w:tblLook w:val="0000"/>
      </w:tblPr>
      <w:tblGrid>
        <w:gridCol w:w="2505"/>
        <w:gridCol w:w="6375"/>
      </w:tblGrid>
      <w:tr w:rsidTr="004B1DA7">
        <w:tblPrEx>
          <w:tblW w:w="0" w:type="auto"/>
          <w:tblLayout w:type="fixed"/>
          <w:tblCellMar>
            <w:left w:w="62" w:type="dxa"/>
            <w:right w:w="62" w:type="dxa"/>
          </w:tblCellMar>
          <w:tblLook w:val="0000"/>
        </w:tblPrEx>
        <w:tc>
          <w:tcPr>
            <w:tcW w:w="2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DA7">
            <w:pPr>
              <w:pStyle w:val="BodyText"/>
              <w:rPr>
                <w:lang w:val="en-NZ"/>
              </w:rPr>
            </w:pPr>
            <w:r w:rsidRPr="004B1DA7">
              <w:t>1. Receive a claim against a group life policy</w:t>
            </w:r>
          </w:p>
        </w:tc>
        <w:tc>
          <w:tcPr>
            <w:tcW w:w="6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DA7" w:rsidP="004B1DA7">
            <w:pPr>
              <w:pStyle w:val="BodyText"/>
            </w:pPr>
            <w:r w:rsidRPr="004B1DA7">
              <w:t>1.1 Ensure that cor</w:t>
            </w:r>
            <w:r w:rsidRPr="004B1DA7">
              <w:t>rect channels of lodgement have been followed</w:t>
            </w:r>
          </w:p>
          <w:p w:rsidR="00000000" w:rsidRPr="004B1DA7" w:rsidP="004B1DA7">
            <w:pPr>
              <w:pStyle w:val="BodyText"/>
            </w:pPr>
            <w:r w:rsidRPr="004B1DA7">
              <w:t xml:space="preserve">1.2 Identify the relevant policy and the </w:t>
            </w:r>
            <w:r w:rsidRPr="004B1DA7">
              <w:rPr>
                <w:rStyle w:val="BoldandItalics"/>
              </w:rPr>
              <w:t>type of cover</w:t>
            </w:r>
          </w:p>
          <w:p w:rsidR="00000000" w:rsidP="004B1DA7">
            <w:pPr>
              <w:pStyle w:val="BodyText"/>
              <w:rPr>
                <w:lang w:val="en-NZ"/>
              </w:rPr>
            </w:pPr>
            <w:r w:rsidRPr="004B1DA7">
              <w:t>1.3 Evaluate evidence of the member’s identity</w:t>
            </w:r>
          </w:p>
        </w:tc>
      </w:tr>
      <w:tr w:rsidTr="004B1DA7">
        <w:tblPrEx>
          <w:tblW w:w="0" w:type="auto"/>
          <w:tblLayout w:type="fixed"/>
          <w:tblCellMar>
            <w:left w:w="62" w:type="dxa"/>
            <w:right w:w="62" w:type="dxa"/>
          </w:tblCellMar>
          <w:tblLook w:val="0000"/>
        </w:tblPrEx>
        <w:tc>
          <w:tcPr>
            <w:tcW w:w="2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DA7">
            <w:pPr>
              <w:pStyle w:val="BodyText"/>
              <w:rPr>
                <w:lang w:val="en-NZ"/>
              </w:rPr>
            </w:pPr>
            <w:r w:rsidRPr="004B1DA7">
              <w:t>2. Review the member’s group history and eligibility for cover</w:t>
            </w:r>
          </w:p>
        </w:tc>
        <w:tc>
          <w:tcPr>
            <w:tcW w:w="6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DA7" w:rsidP="004B1DA7">
            <w:pPr>
              <w:pStyle w:val="BodyText"/>
            </w:pPr>
            <w:r w:rsidRPr="004B1DA7">
              <w:t>2.1 Identify whether cover was granted within the policy’s automatic acceptance provisions or if it was individually underwritten</w:t>
            </w:r>
          </w:p>
          <w:p w:rsidR="00000000" w:rsidRPr="004B1DA7" w:rsidP="004B1DA7">
            <w:pPr>
              <w:pStyle w:val="BodyText"/>
            </w:pPr>
            <w:r w:rsidRPr="004B1DA7">
              <w:t xml:space="preserve">2.2 Establish whether the member was </w:t>
            </w:r>
            <w:r w:rsidRPr="004B1DA7">
              <w:rPr>
                <w:rStyle w:val="BoldandItalics"/>
              </w:rPr>
              <w:t>at work</w:t>
            </w:r>
            <w:r w:rsidRPr="004B1DA7">
              <w:t xml:space="preserve"> on the </w:t>
            </w:r>
            <w:r w:rsidRPr="004B1DA7">
              <w:rPr>
                <w:rStyle w:val="BoldandItalics"/>
              </w:rPr>
              <w:t>commencement date of the present insurance</w:t>
            </w:r>
          </w:p>
          <w:p w:rsidR="00000000" w:rsidP="004B1DA7">
            <w:pPr>
              <w:pStyle w:val="BodyText"/>
              <w:rPr>
                <w:lang w:val="en-NZ"/>
              </w:rPr>
            </w:pPr>
            <w:r w:rsidRPr="004B1DA7">
              <w:t>2.3 Verify that premium contrib</w:t>
            </w:r>
            <w:r w:rsidRPr="004B1DA7">
              <w:t>utions are current and correct</w:t>
            </w:r>
          </w:p>
        </w:tc>
      </w:tr>
      <w:tr w:rsidTr="004B1DA7">
        <w:tblPrEx>
          <w:tblW w:w="0" w:type="auto"/>
          <w:tblLayout w:type="fixed"/>
          <w:tblCellMar>
            <w:left w:w="62" w:type="dxa"/>
            <w:right w:w="62" w:type="dxa"/>
          </w:tblCellMar>
          <w:tblLook w:val="0000"/>
        </w:tblPrEx>
        <w:tc>
          <w:tcPr>
            <w:tcW w:w="2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DA7">
            <w:pPr>
              <w:pStyle w:val="BodyText"/>
              <w:rPr>
                <w:lang w:val="en-NZ"/>
              </w:rPr>
            </w:pPr>
            <w:r w:rsidRPr="004B1DA7">
              <w:t>3. Manage relationships and information collection</w:t>
            </w:r>
          </w:p>
        </w:tc>
        <w:tc>
          <w:tcPr>
            <w:tcW w:w="6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DA7" w:rsidP="004B1DA7">
            <w:pPr>
              <w:pStyle w:val="BodyText"/>
            </w:pPr>
            <w:r w:rsidRPr="004B1DA7">
              <w:t xml:space="preserve">3.1 Identify important </w:t>
            </w:r>
            <w:r w:rsidRPr="004B1DA7">
              <w:rPr>
                <w:rStyle w:val="BoldandItalics"/>
              </w:rPr>
              <w:t>contact points and intermediaries</w:t>
            </w:r>
            <w:r w:rsidRPr="004B1DA7">
              <w:t>, understanding each one’s role and responsibilities</w:t>
            </w:r>
          </w:p>
          <w:p w:rsidR="00000000" w:rsidRPr="004B1DA7" w:rsidP="004B1DA7">
            <w:pPr>
              <w:pStyle w:val="BodyText"/>
            </w:pPr>
            <w:r w:rsidRPr="004B1DA7">
              <w:t>3.2 Identify communication channels most appropriate to each rel</w:t>
            </w:r>
            <w:r w:rsidRPr="004B1DA7">
              <w:t>ationship</w:t>
            </w:r>
          </w:p>
          <w:p w:rsidR="00000000" w:rsidRPr="004B1DA7" w:rsidP="004B1DA7">
            <w:pPr>
              <w:pStyle w:val="BodyText"/>
            </w:pPr>
            <w:r w:rsidRPr="004B1DA7">
              <w:t>3.3 Manage an information collection and communication strategy</w:t>
            </w:r>
          </w:p>
          <w:p w:rsidR="00000000" w:rsidP="004B1DA7">
            <w:pPr>
              <w:pStyle w:val="BodyText"/>
              <w:rPr>
                <w:lang w:val="en-NZ"/>
              </w:rPr>
            </w:pPr>
            <w:r w:rsidRPr="004B1DA7">
              <w:t>3.4 Where communication problems arise, refer the case to a suitably authorised team member</w:t>
            </w:r>
          </w:p>
        </w:tc>
      </w:tr>
      <w:tr w:rsidTr="004B1DA7">
        <w:tblPrEx>
          <w:tblW w:w="0" w:type="auto"/>
          <w:tblLayout w:type="fixed"/>
          <w:tblCellMar>
            <w:left w:w="62" w:type="dxa"/>
            <w:right w:w="62" w:type="dxa"/>
          </w:tblCellMar>
          <w:tblLook w:val="0000"/>
        </w:tblPrEx>
        <w:tc>
          <w:tcPr>
            <w:tcW w:w="2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DA7">
            <w:pPr>
              <w:pStyle w:val="BodyText"/>
              <w:rPr>
                <w:lang w:val="en-NZ"/>
              </w:rPr>
            </w:pPr>
            <w:r w:rsidRPr="004B1DA7">
              <w:t>4. Assess the claim</w:t>
            </w:r>
          </w:p>
        </w:tc>
        <w:tc>
          <w:tcPr>
            <w:tcW w:w="6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DA7" w:rsidP="004B1DA7">
            <w:pPr>
              <w:pStyle w:val="BodyText"/>
            </w:pPr>
            <w:r w:rsidRPr="004B1DA7">
              <w:t>4.1 Review claim submission to establish the circumstances of the mem</w:t>
            </w:r>
            <w:r w:rsidRPr="004B1DA7">
              <w:t xml:space="preserve">ber’s </w:t>
            </w:r>
            <w:r w:rsidRPr="004B1DA7">
              <w:rPr>
                <w:rStyle w:val="BoldandItalics"/>
              </w:rPr>
              <w:t>claimed condition</w:t>
            </w:r>
          </w:p>
          <w:p w:rsidR="00000000" w:rsidRPr="004B1DA7" w:rsidP="004B1DA7">
            <w:pPr>
              <w:pStyle w:val="BodyText"/>
            </w:pPr>
            <w:r w:rsidRPr="004B1DA7">
              <w:t xml:space="preserve">4.2 Identify the appropriate policy wordings to establish </w:t>
            </w:r>
            <w:r w:rsidRPr="004B1DA7">
              <w:rPr>
                <w:rStyle w:val="BoldandItalics"/>
              </w:rPr>
              <w:t>assessment criteria</w:t>
            </w:r>
          </w:p>
          <w:p w:rsidR="00000000" w:rsidRPr="004B1DA7" w:rsidP="004B1DA7">
            <w:pPr>
              <w:pStyle w:val="BodyText"/>
            </w:pPr>
            <w:r w:rsidRPr="004B1DA7">
              <w:t>4.3 Evaluate evidence to determine whether the assessment criteria are met</w:t>
            </w:r>
          </w:p>
          <w:p w:rsidR="00000000" w:rsidRPr="004B1DA7" w:rsidP="004B1DA7">
            <w:pPr>
              <w:pStyle w:val="BodyText"/>
            </w:pPr>
            <w:r w:rsidRPr="004B1DA7">
              <w:t>4.4 Where cover was provided by means other than automatic acceptance, assess w</w:t>
            </w:r>
            <w:r w:rsidRPr="004B1DA7">
              <w:t>hether the client complied with all additional disclosure requirements</w:t>
            </w:r>
          </w:p>
          <w:p w:rsidR="00000000" w:rsidRPr="004B1DA7" w:rsidP="004B1DA7">
            <w:pPr>
              <w:pStyle w:val="BodyText"/>
            </w:pPr>
            <w:r w:rsidRPr="004B1DA7">
              <w:t>4.5 Decide whether a benefit is payable</w:t>
            </w:r>
          </w:p>
          <w:p w:rsidR="00000000" w:rsidP="004B1DA7">
            <w:pPr>
              <w:pStyle w:val="BodyText"/>
              <w:rPr>
                <w:lang w:val="en-NZ"/>
              </w:rPr>
            </w:pPr>
            <w:r w:rsidRPr="004B1DA7">
              <w:t>4.6 For disability claims, consider the opportunity for rehabilitation</w:t>
            </w:r>
          </w:p>
        </w:tc>
      </w:tr>
      <w:tr w:rsidTr="004B1DA7">
        <w:tblPrEx>
          <w:tblW w:w="0" w:type="auto"/>
          <w:tblLayout w:type="fixed"/>
          <w:tblCellMar>
            <w:left w:w="62" w:type="dxa"/>
            <w:right w:w="62" w:type="dxa"/>
          </w:tblCellMar>
          <w:tblLook w:val="0000"/>
        </w:tblPrEx>
        <w:tc>
          <w:tcPr>
            <w:tcW w:w="2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DA7">
            <w:pPr>
              <w:pStyle w:val="BodyText"/>
              <w:rPr>
                <w:lang w:val="en-NZ"/>
              </w:rPr>
            </w:pPr>
            <w:r w:rsidRPr="004B1DA7">
              <w:t>5. Pay group life insurance benefits</w:t>
            </w:r>
          </w:p>
        </w:tc>
        <w:tc>
          <w:tcPr>
            <w:tcW w:w="6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DA7" w:rsidP="004B1DA7">
            <w:pPr>
              <w:pStyle w:val="BodyText"/>
            </w:pPr>
            <w:r w:rsidRPr="004B1DA7">
              <w:t xml:space="preserve">5.1 Determine entitlements as per </w:t>
            </w:r>
            <w:r w:rsidRPr="004B1DA7">
              <w:rPr>
                <w:rStyle w:val="BoldandItalics"/>
              </w:rPr>
              <w:t>re</w:t>
            </w:r>
            <w:r w:rsidRPr="004B1DA7">
              <w:rPr>
                <w:rStyle w:val="BoldandItalics"/>
              </w:rPr>
              <w:t>levant policy</w:t>
            </w:r>
            <w:r w:rsidRPr="004B1DA7">
              <w:t xml:space="preserve"> conditions, within authority levels and obtain sign-off where required</w:t>
            </w:r>
          </w:p>
          <w:p w:rsidR="00000000" w:rsidRPr="004B1DA7" w:rsidP="004B1DA7">
            <w:pPr>
              <w:pStyle w:val="BodyText"/>
            </w:pPr>
            <w:r w:rsidRPr="004B1DA7">
              <w:t>5.2 Identify the parties authorised to receive the benefits paid by the insurer</w:t>
            </w:r>
          </w:p>
          <w:p w:rsidR="00000000" w:rsidRPr="004B1DA7" w:rsidP="004B1DA7">
            <w:pPr>
              <w:pStyle w:val="BodyText"/>
            </w:pPr>
            <w:r w:rsidRPr="004B1DA7">
              <w:t xml:space="preserve">5.3 Communicate decisions to relevant parties, in accordance with </w:t>
            </w:r>
            <w:r w:rsidRPr="004B1DA7">
              <w:rPr>
                <w:rStyle w:val="BoldandItalics"/>
              </w:rPr>
              <w:t>procedures</w:t>
            </w:r>
            <w:r w:rsidRPr="004B1DA7">
              <w:t xml:space="preserve"> and </w:t>
            </w:r>
            <w:r w:rsidRPr="004B1DA7">
              <w:rPr>
                <w:rStyle w:val="BoldandItalics"/>
              </w:rPr>
              <w:t>regulatory</w:t>
            </w:r>
            <w:r w:rsidRPr="004B1DA7">
              <w:rPr>
                <w:rStyle w:val="BoldandItalics"/>
              </w:rPr>
              <w:t xml:space="preserve"> requirements</w:t>
            </w:r>
          </w:p>
          <w:p w:rsidR="00000000" w:rsidRPr="004B1DA7" w:rsidP="004B1DA7">
            <w:pPr>
              <w:pStyle w:val="BodyText"/>
            </w:pPr>
            <w:r w:rsidRPr="004B1DA7">
              <w:t>5.4 In the case of death benefits, evaluate dependent relationships and beneficiary nominations if necessary</w:t>
            </w:r>
          </w:p>
          <w:p w:rsidR="00000000" w:rsidRPr="004B1DA7" w:rsidP="004B1DA7">
            <w:pPr>
              <w:pStyle w:val="BodyText"/>
            </w:pPr>
            <w:r w:rsidRPr="004B1DA7">
              <w:t>5.5 In the case of salary continuance claims, set in place ongoing assessment processes and ensure benefit is appropriately taxed prior to payment</w:t>
            </w:r>
          </w:p>
        </w:tc>
      </w:tr>
    </w:tbl>
    <w:p w:rsidR="00000000" w:rsidRPr="004B1DA7" w:rsidP="004B1DA7">
      <w:pPr>
        <w:pStyle w:val="BodyText"/>
      </w:pPr>
    </w:p>
    <w:p w:rsidR="00000000" w:rsidRPr="004B1DA7" w:rsidP="004B1DA7">
      <w:pPr>
        <w:pStyle w:val="AllowPageBreak"/>
      </w:pPr>
    </w:p>
    <w:p w:rsidR="00000000" w:rsidRPr="004B1DA7" w:rsidP="004B1DA7">
      <w:pPr>
        <w:pStyle w:val="Heading1"/>
      </w:pPr>
      <w:bookmarkStart w:id="9" w:name="O_418275"/>
      <w:bookmarkEnd w:id="9"/>
      <w:r w:rsidRPr="004B1DA7">
        <w:t>Required Skills and Knowledge</w:t>
      </w:r>
    </w:p>
    <w:p w:rsidR="00000000" w:rsidRPr="004B1DA7" w:rsidP="004B1DA7">
      <w:pPr>
        <w:pStyle w:val="BodyText"/>
      </w:pPr>
      <w:r w:rsidRPr="004B1DA7">
        <w:rPr>
          <w:rStyle w:val="Emphasis"/>
        </w:rPr>
        <w:t>This section describes the skills and knowledge required for this unit.</w:t>
      </w:r>
    </w:p>
    <w:p w:rsidR="00000000" w:rsidRPr="004B1DA7" w:rsidP="004B1DA7">
      <w:pPr>
        <w:pStyle w:val="BodyText"/>
      </w:pPr>
    </w:p>
    <w:p w:rsidR="00000000" w:rsidRPr="004B1DA7" w:rsidP="004B1DA7">
      <w:pPr>
        <w:pStyle w:val="BodyText"/>
      </w:pPr>
      <w:r w:rsidRPr="004B1DA7">
        <w:rPr>
          <w:rStyle w:val="SpecialBold"/>
        </w:rPr>
        <w:t>Required skills</w:t>
      </w:r>
    </w:p>
    <w:p w:rsidR="00000000" w:rsidRPr="004B1DA7" w:rsidP="004B1DA7">
      <w:pPr>
        <w:pStyle w:val="ListBullet"/>
      </w:pPr>
      <w:r w:rsidRPr="004B1DA7">
        <w:t>communication skills to:</w:t>
      </w:r>
    </w:p>
    <w:p w:rsidR="00000000" w:rsidRPr="004B1DA7" w:rsidP="004B1DA7">
      <w:pPr>
        <w:pStyle w:val="ListBullet2"/>
      </w:pPr>
      <w:r w:rsidRPr="004B1DA7">
        <w:t>liaise and share information with others</w:t>
      </w:r>
    </w:p>
    <w:p w:rsidR="00000000" w:rsidRPr="004B1DA7" w:rsidP="004B1DA7">
      <w:pPr>
        <w:pStyle w:val="ListBullet2"/>
      </w:pPr>
      <w:r w:rsidRPr="004B1DA7">
        <w:t>gather and check information</w:t>
      </w:r>
    </w:p>
    <w:p w:rsidR="00000000" w:rsidRPr="004B1DA7" w:rsidP="004B1DA7">
      <w:pPr>
        <w:pStyle w:val="ListBullet2"/>
      </w:pPr>
      <w:r w:rsidRPr="004B1DA7">
        <w:t>communicate appropriately with people from diverse backgrounds</w:t>
      </w:r>
    </w:p>
    <w:p w:rsidR="00000000" w:rsidRPr="004B1DA7" w:rsidP="004B1DA7">
      <w:pPr>
        <w:pStyle w:val="ListBullet"/>
      </w:pPr>
      <w:r w:rsidRPr="004B1DA7">
        <w:t>IT skills to:</w:t>
      </w:r>
    </w:p>
    <w:p w:rsidR="00000000" w:rsidRPr="004B1DA7" w:rsidP="004B1DA7">
      <w:pPr>
        <w:pStyle w:val="ListBullet2"/>
      </w:pPr>
      <w:r w:rsidRPr="004B1DA7">
        <w:t>use computer applications (word processing, spreadsheet, database, specific purpose computer systems)</w:t>
      </w:r>
    </w:p>
    <w:p w:rsidR="00000000" w:rsidRPr="004B1DA7" w:rsidP="004B1DA7">
      <w:pPr>
        <w:pStyle w:val="ListBullet2"/>
      </w:pPr>
      <w:r w:rsidRPr="004B1DA7">
        <w:t>access and update records electronically</w:t>
      </w:r>
    </w:p>
    <w:p w:rsidR="00000000" w:rsidRPr="004B1DA7" w:rsidP="004B1DA7">
      <w:pPr>
        <w:pStyle w:val="ListBullet2"/>
      </w:pPr>
      <w:r w:rsidRPr="004B1DA7">
        <w:t>access web-based information services</w:t>
      </w:r>
    </w:p>
    <w:p w:rsidR="00000000" w:rsidRPr="004B1DA7" w:rsidP="004B1DA7">
      <w:pPr>
        <w:pStyle w:val="ListBullet"/>
      </w:pPr>
      <w:r w:rsidRPr="004B1DA7">
        <w:t>numeracy skills to interpret numeric data and relevant stat</w:t>
      </w:r>
      <w:r w:rsidRPr="004B1DA7">
        <w:t>istics and calculate benefit payments</w:t>
      </w:r>
    </w:p>
    <w:p w:rsidR="00000000" w:rsidRPr="004B1DA7" w:rsidP="004B1DA7">
      <w:pPr>
        <w:pStyle w:val="ListBullet"/>
      </w:pPr>
      <w:r w:rsidRPr="004B1DA7">
        <w:t>organisational skills to efficiently plan and sequence work</w:t>
      </w:r>
    </w:p>
    <w:p w:rsidR="00000000" w:rsidRPr="004B1DA7" w:rsidP="004B1DA7">
      <w:pPr>
        <w:pStyle w:val="ListBullet"/>
      </w:pPr>
      <w:r w:rsidRPr="004B1DA7">
        <w:t>research and analysis skills to:</w:t>
      </w:r>
    </w:p>
    <w:p w:rsidR="00000000" w:rsidRPr="004B1DA7" w:rsidP="004B1DA7">
      <w:pPr>
        <w:pStyle w:val="ListBullet2"/>
      </w:pPr>
      <w:r w:rsidRPr="004B1DA7">
        <w:t>maintain currency of products and services knowledge</w:t>
      </w:r>
    </w:p>
    <w:p w:rsidR="00000000" w:rsidRPr="004B1DA7" w:rsidP="004B1DA7">
      <w:pPr>
        <w:pStyle w:val="ListBullet2"/>
      </w:pPr>
      <w:r w:rsidRPr="004B1DA7">
        <w:t>effectively analyse information and data</w:t>
      </w:r>
    </w:p>
    <w:p w:rsidR="00000000" w:rsidRPr="004B1DA7" w:rsidP="004B1DA7">
      <w:pPr>
        <w:pStyle w:val="ListBullet2"/>
      </w:pPr>
      <w:r w:rsidRPr="004B1DA7">
        <w:t>identify and interpret relevan</w:t>
      </w:r>
      <w:r w:rsidRPr="004B1DA7">
        <w:t>t information</w:t>
      </w:r>
    </w:p>
    <w:p w:rsidR="00000000" w:rsidRPr="004B1DA7" w:rsidP="004B1DA7">
      <w:pPr>
        <w:pStyle w:val="ListBullet2"/>
      </w:pPr>
      <w:r w:rsidRPr="004B1DA7">
        <w:t>critically evaluate evidence</w:t>
      </w:r>
    </w:p>
    <w:p w:rsidR="00000000" w:rsidRPr="004B1DA7" w:rsidP="004B1DA7">
      <w:pPr>
        <w:pStyle w:val="ListBullet"/>
      </w:pPr>
      <w:r w:rsidRPr="004B1DA7">
        <w:t>reading skills to:</w:t>
      </w:r>
    </w:p>
    <w:p w:rsidR="00000000" w:rsidRPr="004B1DA7" w:rsidP="004B1DA7">
      <w:pPr>
        <w:pStyle w:val="ListBullet2"/>
      </w:pPr>
      <w:r w:rsidRPr="004B1DA7">
        <w:t>read and understand relevant procedures</w:t>
      </w:r>
    </w:p>
    <w:p w:rsidR="00000000" w:rsidRPr="004B1DA7" w:rsidP="004B1DA7">
      <w:pPr>
        <w:pStyle w:val="ListBullet2"/>
      </w:pPr>
      <w:r w:rsidRPr="004B1DA7">
        <w:t>read and understand group life insurance policies</w:t>
      </w:r>
    </w:p>
    <w:p w:rsidR="00000000" w:rsidRPr="004B1DA7" w:rsidP="004B1DA7">
      <w:pPr>
        <w:pStyle w:val="ListBullet2"/>
      </w:pPr>
      <w:r w:rsidRPr="004B1DA7">
        <w:t>read and interpret group life insurance claims and supporting documentation</w:t>
      </w:r>
    </w:p>
    <w:p w:rsidR="00000000" w:rsidRPr="004B1DA7" w:rsidP="004B1DA7">
      <w:pPr>
        <w:pStyle w:val="ListBullet"/>
      </w:pPr>
      <w:r w:rsidRPr="004B1DA7">
        <w:t>writing skills to:</w:t>
      </w:r>
    </w:p>
    <w:p w:rsidR="00000000" w:rsidRPr="004B1DA7" w:rsidP="004B1DA7">
      <w:pPr>
        <w:pStyle w:val="ListBullet2"/>
      </w:pPr>
      <w:r w:rsidRPr="004B1DA7">
        <w:t>accurately record information</w:t>
      </w:r>
    </w:p>
    <w:p w:rsidR="00000000" w:rsidRPr="004B1DA7" w:rsidP="004B1DA7">
      <w:pPr>
        <w:pStyle w:val="ListBullet2"/>
      </w:pPr>
      <w:r w:rsidRPr="004B1DA7">
        <w:t>prepare professional letters and emails</w:t>
      </w:r>
    </w:p>
    <w:p w:rsidR="00000000" w:rsidRPr="004B1DA7" w:rsidP="004B1DA7">
      <w:pPr>
        <w:pStyle w:val="ListBullet2"/>
      </w:pPr>
      <w:r w:rsidRPr="004B1DA7">
        <w:t>appropriately reference source documents including policy definitions and submitted evidentiary documents.</w:t>
      </w:r>
    </w:p>
    <w:p w:rsidR="00000000" w:rsidRPr="004B1DA7" w:rsidP="004B1DA7">
      <w:pPr>
        <w:pStyle w:val="BodyText"/>
      </w:pPr>
    </w:p>
    <w:p w:rsidR="00000000" w:rsidRPr="004B1DA7" w:rsidP="004B1DA7">
      <w:pPr>
        <w:pStyle w:val="BodyText"/>
      </w:pPr>
      <w:r w:rsidRPr="004B1DA7">
        <w:rPr>
          <w:rStyle w:val="SpecialBold"/>
        </w:rPr>
        <w:t>Required knowledge</w:t>
      </w:r>
    </w:p>
    <w:p w:rsidR="00000000" w:rsidRPr="004B1DA7" w:rsidP="004B1DA7">
      <w:pPr>
        <w:pStyle w:val="ListBullet"/>
      </w:pPr>
      <w:r w:rsidRPr="004B1DA7">
        <w:t>with reference to claims against group life insurance poli</w:t>
      </w:r>
      <w:r w:rsidRPr="004B1DA7">
        <w:t>cies, it is necessary to be able to apply and explain:</w:t>
      </w:r>
    </w:p>
    <w:p w:rsidR="00000000" w:rsidRPr="004B1DA7" w:rsidP="004B1DA7">
      <w:pPr>
        <w:pStyle w:val="ListBullet2"/>
      </w:pPr>
      <w:r w:rsidRPr="004B1DA7">
        <w:t>dispute resolution procedures</w:t>
      </w:r>
    </w:p>
    <w:p w:rsidR="00000000" w:rsidRPr="004B1DA7" w:rsidP="004B1DA7">
      <w:pPr>
        <w:pStyle w:val="ListBullet2"/>
      </w:pPr>
      <w:r w:rsidRPr="004B1DA7">
        <w:t>life insurance administrative requirements</w:t>
      </w:r>
    </w:p>
    <w:p w:rsidR="00000000" w:rsidRPr="004B1DA7" w:rsidP="004B1DA7">
      <w:pPr>
        <w:pStyle w:val="ListBullet2"/>
      </w:pPr>
      <w:r w:rsidRPr="004B1DA7">
        <w:t>life insurance policy terms and conditions</w:t>
      </w:r>
    </w:p>
    <w:p w:rsidR="00000000" w:rsidRPr="004B1DA7" w:rsidP="004B1DA7">
      <w:pPr>
        <w:pStyle w:val="ListBullet2"/>
      </w:pPr>
      <w:r w:rsidRPr="004B1DA7">
        <w:t>management of group life schemes</w:t>
      </w:r>
    </w:p>
    <w:p w:rsidR="00000000" w:rsidRPr="004B1DA7" w:rsidP="004B1DA7">
      <w:pPr>
        <w:pStyle w:val="ListBullet2"/>
      </w:pPr>
      <w:r w:rsidRPr="004B1DA7">
        <w:t>organisational guidelines relating to automatic acceptance under group life insurance policies</w:t>
      </w:r>
    </w:p>
    <w:p w:rsidR="00000000" w:rsidRPr="004B1DA7" w:rsidP="004B1DA7">
      <w:pPr>
        <w:pStyle w:val="ListBullet2"/>
      </w:pPr>
      <w:r w:rsidRPr="004B1DA7">
        <w:t>organisational procedures</w:t>
      </w:r>
    </w:p>
    <w:p w:rsidR="00000000" w:rsidRPr="004B1DA7" w:rsidP="004B1DA7">
      <w:pPr>
        <w:pStyle w:val="ListBullet2"/>
      </w:pPr>
      <w:r w:rsidRPr="004B1DA7">
        <w:t>practice and ethics in group life insurance management</w:t>
      </w:r>
    </w:p>
    <w:p w:rsidR="00000000" w:rsidRPr="004B1DA7" w:rsidP="004B1DA7">
      <w:pPr>
        <w:pStyle w:val="ListBullet2"/>
      </w:pPr>
      <w:r w:rsidRPr="004B1DA7">
        <w:t>practice in prudential risk associated with disability claims in insurance</w:t>
      </w:r>
    </w:p>
    <w:p w:rsidR="00000000" w:rsidRPr="004B1DA7" w:rsidP="004B1DA7">
      <w:pPr>
        <w:pStyle w:val="ListBullet2"/>
      </w:pPr>
      <w:r w:rsidRPr="004B1DA7">
        <w:t>princ</w:t>
      </w:r>
      <w:r w:rsidRPr="004B1DA7">
        <w:t>iples of procedural fairness</w:t>
      </w:r>
    </w:p>
    <w:p w:rsidR="00000000" w:rsidRPr="004B1DA7" w:rsidP="004B1DA7">
      <w:pPr>
        <w:pStyle w:val="ListBullet2"/>
      </w:pPr>
      <w:r w:rsidRPr="004B1DA7">
        <w:t>procedure and practice in insurance claims investigation</w:t>
      </w:r>
    </w:p>
    <w:p w:rsidR="00000000" w:rsidRPr="004B1DA7" w:rsidP="004B1DA7">
      <w:pPr>
        <w:pStyle w:val="ListBullet2"/>
      </w:pPr>
      <w:r w:rsidRPr="004B1DA7">
        <w:t>product information</w:t>
      </w:r>
    </w:p>
    <w:p w:rsidR="00000000" w:rsidRPr="004B1DA7" w:rsidP="004B1DA7">
      <w:pPr>
        <w:pStyle w:val="ListBullet2"/>
      </w:pPr>
      <w:r w:rsidRPr="004B1DA7">
        <w:t>relevant regulatory requirements</w:t>
      </w:r>
    </w:p>
    <w:p w:rsidR="00000000" w:rsidRPr="004B1DA7" w:rsidP="004B1DA7">
      <w:pPr>
        <w:pStyle w:val="ListBullet2"/>
      </w:pPr>
      <w:r w:rsidRPr="004B1DA7">
        <w:t>role and function of stakeholders and information sources.</w:t>
      </w:r>
    </w:p>
    <w:p w:rsidR="00000000" w:rsidRPr="004B1DA7" w:rsidP="004B1DA7">
      <w:pPr>
        <w:pStyle w:val="AllowPageBreak"/>
      </w:pPr>
    </w:p>
    <w:p w:rsidR="00000000" w:rsidRPr="004B1DA7" w:rsidP="004B1DA7">
      <w:pPr>
        <w:pStyle w:val="Heading1"/>
      </w:pPr>
      <w:bookmarkStart w:id="10" w:name="O_418276"/>
      <w:bookmarkEnd w:id="10"/>
      <w:r w:rsidRPr="004B1DA7">
        <w:t>Evidence Guide</w:t>
      </w:r>
    </w:p>
    <w:p w:rsidR="00000000" w:rsidRPr="004B1DA7" w:rsidP="004B1DA7">
      <w:pPr>
        <w:pStyle w:val="BodyText"/>
      </w:pPr>
      <w:r w:rsidRPr="004B1DA7">
        <w:rPr>
          <w:rStyle w:val="Emphasis"/>
        </w:rPr>
        <w:t>The evidence guide provide</w:t>
      </w:r>
      <w:r w:rsidRPr="004B1DA7">
        <w:rPr>
          <w:rStyle w:val="Emphasis"/>
        </w:rPr>
        <w:t>s advice on assessment and must be read in conjunction with the performance criteria, required skills and knowledge, range statement and the Assessment Guidelines for the Training Package.</w:t>
      </w:r>
    </w:p>
    <w:p w:rsidR="00000000" w:rsidRPr="004B1DA7" w:rsidP="004B1DA7">
      <w:pPr>
        <w:pStyle w:val="BodyText"/>
      </w:pPr>
    </w:p>
    <w:tbl>
      <w:tblPr>
        <w:tblW w:w="0" w:type="auto"/>
        <w:tblLayout w:type="fixed"/>
        <w:tblCellMar>
          <w:left w:w="62" w:type="dxa"/>
          <w:right w:w="62" w:type="dxa"/>
        </w:tblCellMar>
        <w:tblLook w:val="0000"/>
      </w:tblPr>
      <w:tblGrid>
        <w:gridCol w:w="3508"/>
        <w:gridCol w:w="5372"/>
      </w:tblGrid>
      <w:tr w:rsidTr="004B1DA7">
        <w:tblPrEx>
          <w:tblW w:w="0" w:type="auto"/>
          <w:tblLayout w:type="fixed"/>
          <w:tblCellMar>
            <w:left w:w="62" w:type="dxa"/>
            <w:right w:w="62" w:type="dxa"/>
          </w:tblCellMar>
          <w:tblLook w:val="0000"/>
        </w:tblPrEx>
        <w:tc>
          <w:tcPr>
            <w:tcW w:w="3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DA7">
            <w:pPr>
              <w:pStyle w:val="BodyText"/>
              <w:rPr>
                <w:lang w:val="en-NZ"/>
              </w:rPr>
            </w:pPr>
            <w:r w:rsidRPr="004B1DA7">
              <w:rPr>
                <w:rStyle w:val="SpecialBold"/>
              </w:rPr>
              <w:t>Overview of assessment</w:t>
            </w:r>
          </w:p>
        </w:tc>
        <w:tc>
          <w:tcPr>
            <w:tcW w:w="5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DA7">
            <w:pPr>
              <w:pStyle w:val="BodyText"/>
              <w:rPr>
                <w:lang w:val="en-NZ"/>
              </w:rPr>
            </w:pPr>
          </w:p>
        </w:tc>
      </w:tr>
      <w:tr w:rsidTr="004B1DA7">
        <w:tblPrEx>
          <w:tblW w:w="0" w:type="auto"/>
          <w:tblLayout w:type="fixed"/>
          <w:tblCellMar>
            <w:left w:w="62" w:type="dxa"/>
            <w:right w:w="62" w:type="dxa"/>
          </w:tblCellMar>
          <w:tblLook w:val="0000"/>
        </w:tblPrEx>
        <w:tc>
          <w:tcPr>
            <w:tcW w:w="3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DA7">
            <w:pPr>
              <w:pStyle w:val="BodyText"/>
              <w:rPr>
                <w:lang w:val="en-NZ"/>
              </w:rPr>
            </w:pPr>
            <w:r w:rsidRPr="004B1DA7">
              <w:rPr>
                <w:rStyle w:val="SpecialBold"/>
              </w:rPr>
              <w:t>Critical aspects for assessment and evidence required to demonstrate competency in this unit</w:t>
            </w:r>
          </w:p>
        </w:tc>
        <w:tc>
          <w:tcPr>
            <w:tcW w:w="5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DA7" w:rsidP="004B1DA7">
            <w:pPr>
              <w:pStyle w:val="BodyText"/>
            </w:pPr>
            <w:r w:rsidRPr="004B1DA7">
              <w:t>Evidence of the ability to:</w:t>
            </w:r>
          </w:p>
          <w:p w:rsidR="00000000" w:rsidRPr="004B1DA7" w:rsidP="004B1DA7">
            <w:pPr>
              <w:pStyle w:val="ListBullet"/>
            </w:pPr>
            <w:r w:rsidRPr="004B1DA7">
              <w:t>apply highly developed analytical and administrative skills to group life insurance claims assessment</w:t>
            </w:r>
          </w:p>
          <w:p w:rsidR="00000000" w:rsidRPr="004B1DA7" w:rsidP="004B1DA7">
            <w:pPr>
              <w:pStyle w:val="ListBullet"/>
            </w:pPr>
            <w:r w:rsidRPr="004B1DA7">
              <w:t>maintain and apply a thorough un</w:t>
            </w:r>
            <w:r w:rsidRPr="004B1DA7">
              <w:t>derstanding of all aspects of claims procedures and administrative requirements</w:t>
            </w:r>
          </w:p>
          <w:p w:rsidR="00000000" w:rsidP="004B1DA7">
            <w:pPr>
              <w:pStyle w:val="ListBullet"/>
              <w:rPr>
                <w:lang w:val="en-NZ"/>
              </w:rPr>
            </w:pPr>
            <w:r w:rsidRPr="004B1DA7">
              <w:t>perform tasks in accordance with relevant procedures and regulatory requirements.</w:t>
            </w:r>
          </w:p>
        </w:tc>
      </w:tr>
      <w:tr w:rsidTr="004B1DA7">
        <w:tblPrEx>
          <w:tblW w:w="0" w:type="auto"/>
          <w:tblLayout w:type="fixed"/>
          <w:tblCellMar>
            <w:left w:w="62" w:type="dxa"/>
            <w:right w:w="62" w:type="dxa"/>
          </w:tblCellMar>
          <w:tblLook w:val="0000"/>
        </w:tblPrEx>
        <w:tc>
          <w:tcPr>
            <w:tcW w:w="3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DA7">
            <w:pPr>
              <w:pStyle w:val="BodyText"/>
              <w:rPr>
                <w:lang w:val="en-NZ"/>
              </w:rPr>
            </w:pPr>
            <w:r w:rsidRPr="004B1DA7">
              <w:rPr>
                <w:rStyle w:val="SpecialBold"/>
              </w:rPr>
              <w:t>Context of and specific resources for assessment</w:t>
            </w:r>
          </w:p>
        </w:tc>
        <w:tc>
          <w:tcPr>
            <w:tcW w:w="5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DA7" w:rsidP="004B1DA7">
            <w:pPr>
              <w:pStyle w:val="BodyText"/>
            </w:pPr>
            <w:r w:rsidRPr="004B1DA7">
              <w:t>Assessment must ensure:</w:t>
            </w:r>
          </w:p>
          <w:p w:rsidR="00000000" w:rsidRPr="004B1DA7" w:rsidP="004B1DA7">
            <w:pPr>
              <w:pStyle w:val="ListBullet"/>
            </w:pPr>
            <w:r w:rsidRPr="004B1DA7">
              <w:t>competency is demon</w:t>
            </w:r>
            <w:r w:rsidRPr="004B1DA7">
              <w:t>strated in the context of the work environment and conditions specified in the range statement either in a relevant workplace or a closely simulated work environment</w:t>
            </w:r>
          </w:p>
          <w:p w:rsidR="00000000" w:rsidRPr="004B1DA7" w:rsidP="004B1DA7">
            <w:pPr>
              <w:pStyle w:val="ListBullet"/>
            </w:pPr>
            <w:r w:rsidRPr="004B1DA7">
              <w:t>access to and the use of a range of common office equipment, technology, software and cons</w:t>
            </w:r>
            <w:r w:rsidRPr="004B1DA7">
              <w:t>umables</w:t>
            </w:r>
          </w:p>
          <w:p w:rsidR="00000000" w:rsidP="004B1DA7">
            <w:pPr>
              <w:pStyle w:val="ListBullet"/>
              <w:rPr>
                <w:lang w:val="en-NZ"/>
              </w:rPr>
            </w:pPr>
            <w:r w:rsidRPr="004B1DA7">
              <w:t>access to organisational policies and procedures.</w:t>
            </w:r>
          </w:p>
        </w:tc>
      </w:tr>
      <w:tr w:rsidTr="004B1DA7">
        <w:tblPrEx>
          <w:tblW w:w="0" w:type="auto"/>
          <w:tblLayout w:type="fixed"/>
          <w:tblCellMar>
            <w:left w:w="62" w:type="dxa"/>
            <w:right w:w="62" w:type="dxa"/>
          </w:tblCellMar>
          <w:tblLook w:val="0000"/>
        </w:tblPrEx>
        <w:tc>
          <w:tcPr>
            <w:tcW w:w="3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DA7">
            <w:pPr>
              <w:pStyle w:val="BodyText"/>
              <w:rPr>
                <w:lang w:val="en-NZ"/>
              </w:rPr>
            </w:pPr>
            <w:r w:rsidRPr="004B1DA7">
              <w:rPr>
                <w:rStyle w:val="SpecialBold"/>
              </w:rPr>
              <w:t>Method of assessment</w:t>
            </w:r>
          </w:p>
        </w:tc>
        <w:tc>
          <w:tcPr>
            <w:tcW w:w="5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DA7" w:rsidP="004B1DA7">
            <w:pPr>
              <w:pStyle w:val="BodyText"/>
            </w:pPr>
            <w:r w:rsidRPr="004B1DA7">
              <w:t xml:space="preserve">A range of assessment methods should be used to assess practical skills and knowledge. The following examples are appropriate for this unit: </w:t>
            </w:r>
          </w:p>
          <w:p w:rsidR="00000000" w:rsidRPr="004B1DA7" w:rsidP="004B1DA7">
            <w:pPr>
              <w:pStyle w:val="ListBullet"/>
            </w:pPr>
            <w:r w:rsidRPr="004B1DA7">
              <w:t>evaluating an integrated activity</w:t>
            </w:r>
            <w:r w:rsidRPr="004B1DA7">
              <w:t>, which combines the elements of competency for the unit, or a cluster of related units of competency</w:t>
            </w:r>
          </w:p>
          <w:p w:rsidR="00000000" w:rsidRPr="004B1DA7" w:rsidP="004B1DA7">
            <w:pPr>
              <w:pStyle w:val="ListBullet"/>
            </w:pPr>
            <w:r w:rsidRPr="004B1DA7">
              <w:t>observing processes and procedures in workplaces</w:t>
            </w:r>
          </w:p>
          <w:p w:rsidR="00000000" w:rsidRPr="004B1DA7" w:rsidP="004B1DA7">
            <w:pPr>
              <w:pStyle w:val="ListBullet"/>
            </w:pPr>
            <w:r w:rsidRPr="004B1DA7">
              <w:t>verbal or written questioning on underpinning knowledge and skills</w:t>
            </w:r>
          </w:p>
          <w:p w:rsidR="00000000" w:rsidRPr="004B1DA7" w:rsidP="004B1DA7">
            <w:pPr>
              <w:pStyle w:val="ListBullet"/>
            </w:pPr>
            <w:r w:rsidRPr="004B1DA7">
              <w:t>evaluating samples of work</w:t>
            </w:r>
          </w:p>
          <w:p w:rsidR="00000000" w:rsidRPr="004B1DA7" w:rsidP="004B1DA7">
            <w:pPr>
              <w:pStyle w:val="ListBullet"/>
            </w:pPr>
            <w:r w:rsidRPr="004B1DA7">
              <w:t>accessing and validating third party reports</w:t>
            </w:r>
          </w:p>
          <w:p w:rsidR="00000000" w:rsidP="004B1DA7">
            <w:pPr>
              <w:pStyle w:val="ListBullet"/>
              <w:rPr>
                <w:lang w:val="en-NZ"/>
              </w:rPr>
            </w:pPr>
            <w:r w:rsidRPr="004B1DA7">
              <w:t>setting and reviewing workplace projects and business simulations or scenarios.</w:t>
            </w:r>
          </w:p>
        </w:tc>
      </w:tr>
      <w:tr w:rsidTr="004B1DA7">
        <w:tblPrEx>
          <w:tblW w:w="0" w:type="auto"/>
          <w:tblLayout w:type="fixed"/>
          <w:tblCellMar>
            <w:left w:w="62" w:type="dxa"/>
            <w:right w:w="62" w:type="dxa"/>
          </w:tblCellMar>
          <w:tblLook w:val="0000"/>
        </w:tblPrEx>
        <w:tc>
          <w:tcPr>
            <w:tcW w:w="3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DA7">
            <w:pPr>
              <w:pStyle w:val="BodyText"/>
              <w:rPr>
                <w:lang w:val="en-NZ"/>
              </w:rPr>
            </w:pPr>
            <w:r w:rsidRPr="004B1DA7">
              <w:rPr>
                <w:rStyle w:val="SpecialBold"/>
              </w:rPr>
              <w:t>Guidance information for assessment</w:t>
            </w:r>
          </w:p>
        </w:tc>
        <w:tc>
          <w:tcPr>
            <w:tcW w:w="5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DA7" w:rsidP="004B1DA7">
            <w:pPr>
              <w:pStyle w:val="BodyText"/>
            </w:pPr>
          </w:p>
        </w:tc>
      </w:tr>
    </w:tbl>
    <w:p w:rsidR="00000000" w:rsidRPr="004B1DA7" w:rsidP="004B1DA7">
      <w:pPr>
        <w:pStyle w:val="BodyText"/>
      </w:pPr>
    </w:p>
    <w:p w:rsidR="00000000" w:rsidRPr="004B1DA7" w:rsidP="004B1DA7">
      <w:pPr>
        <w:pStyle w:val="AllowPageBreak"/>
      </w:pPr>
    </w:p>
    <w:p w:rsidR="00000000" w:rsidRPr="004B1DA7" w:rsidP="004B1DA7">
      <w:pPr>
        <w:pStyle w:val="Heading1"/>
      </w:pPr>
      <w:bookmarkStart w:id="11" w:name="O_418277"/>
      <w:bookmarkEnd w:id="11"/>
      <w:r w:rsidRPr="004B1DA7">
        <w:t>Range Statement</w:t>
      </w:r>
    </w:p>
    <w:p w:rsidR="00000000" w:rsidRPr="004B1DA7" w:rsidP="004B1DA7">
      <w:pPr>
        <w:pStyle w:val="BodyText"/>
      </w:pPr>
      <w:r w:rsidRPr="004B1DA7">
        <w:rPr>
          <w:rStyle w:val="Emphasis"/>
        </w:rPr>
        <w:t>The range statement relates to the unit of competency as a</w:t>
      </w:r>
      <w:r w:rsidRPr="004B1DA7">
        <w:rPr>
          <w:rStyle w:val="Emphasis"/>
        </w:rPr>
        <w:t xml:space="preserve"> whole. It allows for different work environments and situations that may affect performance. Bold italicised wording, if used in the performance criteria, is detailed below. Essential operating conditions that may be present with training and assessment (</w:t>
      </w:r>
      <w:r w:rsidRPr="004B1DA7">
        <w:rPr>
          <w:rStyle w:val="Emphasis"/>
        </w:rPr>
        <w:t>depending on the work situation, needs of the candidate, accessibility of the item, and local industry and regional contexts) may also be included.</w:t>
      </w:r>
    </w:p>
    <w:p w:rsidR="00000000" w:rsidRPr="004B1DA7" w:rsidP="004B1DA7">
      <w:pPr>
        <w:pStyle w:val="BodyText"/>
      </w:pPr>
    </w:p>
    <w:tbl>
      <w:tblPr>
        <w:tblW w:w="0" w:type="auto"/>
        <w:tblLayout w:type="fixed"/>
        <w:tblCellMar>
          <w:left w:w="62" w:type="dxa"/>
          <w:right w:w="62" w:type="dxa"/>
        </w:tblCellMar>
        <w:tblLook w:val="0000"/>
      </w:tblPr>
      <w:tblGrid>
        <w:gridCol w:w="3546"/>
        <w:gridCol w:w="5334"/>
      </w:tblGrid>
      <w:tr w:rsidTr="004B1DA7">
        <w:tblPrEx>
          <w:tblW w:w="0" w:type="auto"/>
          <w:tblLayout w:type="fixed"/>
          <w:tblCellMar>
            <w:left w:w="62" w:type="dxa"/>
            <w:right w:w="62" w:type="dxa"/>
          </w:tblCellMar>
          <w:tblLook w:val="0000"/>
        </w:tblPrEx>
        <w:tc>
          <w:tcPr>
            <w:tcW w:w="3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DA7">
            <w:pPr>
              <w:pStyle w:val="BodyText"/>
              <w:rPr>
                <w:lang w:val="en-NZ"/>
              </w:rPr>
            </w:pPr>
            <w:r w:rsidRPr="004B1DA7">
              <w:rPr>
                <w:rStyle w:val="BoldandItalics"/>
              </w:rPr>
              <w:t>Type of cover</w:t>
            </w:r>
            <w:r w:rsidRPr="004B1DA7">
              <w:t xml:space="preserve"> may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DA7" w:rsidP="004B1DA7">
            <w:pPr>
              <w:pStyle w:val="ListBullet"/>
            </w:pPr>
            <w:r w:rsidRPr="004B1DA7">
              <w:t>death</w:t>
            </w:r>
          </w:p>
          <w:p w:rsidR="00000000" w:rsidRPr="004B1DA7" w:rsidP="004B1DA7">
            <w:pPr>
              <w:pStyle w:val="ListBullet"/>
            </w:pPr>
            <w:r w:rsidRPr="004B1DA7">
              <w:t>total &amp; permanent disablement (TPD)</w:t>
            </w:r>
          </w:p>
          <w:p w:rsidR="00000000" w:rsidRPr="004B1DA7" w:rsidP="004B1DA7">
            <w:pPr>
              <w:pStyle w:val="ListBullet"/>
            </w:pPr>
            <w:r w:rsidRPr="004B1DA7">
              <w:t>salary continuance (income protection)</w:t>
            </w:r>
          </w:p>
          <w:p w:rsidR="00000000" w:rsidRPr="004B1DA7" w:rsidP="004B1DA7">
            <w:pPr>
              <w:pStyle w:val="ListBullet"/>
            </w:pPr>
            <w:r w:rsidRPr="004B1DA7">
              <w:t>trauma</w:t>
            </w:r>
          </w:p>
          <w:p w:rsidR="00000000" w:rsidP="004B1DA7">
            <w:pPr>
              <w:pStyle w:val="ListBullet"/>
              <w:rPr>
                <w:lang w:val="en-NZ"/>
              </w:rPr>
            </w:pPr>
            <w:r w:rsidRPr="004B1DA7">
              <w:t>consumer credit.</w:t>
            </w:r>
          </w:p>
        </w:tc>
      </w:tr>
      <w:tr w:rsidTr="004B1DA7">
        <w:tblPrEx>
          <w:tblW w:w="0" w:type="auto"/>
          <w:tblLayout w:type="fixed"/>
          <w:tblCellMar>
            <w:left w:w="62" w:type="dxa"/>
            <w:right w:w="62" w:type="dxa"/>
          </w:tblCellMar>
          <w:tblLook w:val="0000"/>
        </w:tblPrEx>
        <w:tc>
          <w:tcPr>
            <w:tcW w:w="3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DA7">
            <w:pPr>
              <w:pStyle w:val="BodyText"/>
              <w:rPr>
                <w:lang w:val="en-NZ"/>
              </w:rPr>
            </w:pPr>
            <w:r w:rsidRPr="004B1DA7">
              <w:rPr>
                <w:rStyle w:val="BoldandItalics"/>
              </w:rPr>
              <w:t>At work</w:t>
            </w:r>
            <w:r w:rsidRPr="004B1DA7">
              <w:t xml:space="preserve"> definitions need to consider: </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DA7" w:rsidP="004B1DA7">
            <w:pPr>
              <w:pStyle w:val="ListBullet"/>
            </w:pPr>
            <w:r w:rsidRPr="004B1DA7">
              <w:t>policy wording</w:t>
            </w:r>
          </w:p>
          <w:p w:rsidR="00000000" w:rsidP="004B1DA7">
            <w:pPr>
              <w:pStyle w:val="ListBullet"/>
              <w:rPr>
                <w:lang w:val="en-NZ"/>
              </w:rPr>
            </w:pPr>
            <w:r w:rsidRPr="004B1DA7">
              <w:t>relevant Financial Services Council guidance notes and standards.</w:t>
            </w:r>
          </w:p>
        </w:tc>
      </w:tr>
      <w:tr w:rsidTr="004B1DA7">
        <w:tblPrEx>
          <w:tblW w:w="0" w:type="auto"/>
          <w:tblLayout w:type="fixed"/>
          <w:tblCellMar>
            <w:left w:w="62" w:type="dxa"/>
            <w:right w:w="62" w:type="dxa"/>
          </w:tblCellMar>
          <w:tblLook w:val="0000"/>
        </w:tblPrEx>
        <w:tc>
          <w:tcPr>
            <w:tcW w:w="3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DA7">
            <w:pPr>
              <w:pStyle w:val="BodyText"/>
              <w:rPr>
                <w:lang w:val="en-NZ"/>
              </w:rPr>
            </w:pPr>
            <w:r w:rsidRPr="004B1DA7">
              <w:rPr>
                <w:rStyle w:val="BoldandItalics"/>
              </w:rPr>
              <w:t>Commencement date of the present insurance</w:t>
            </w:r>
            <w:r w:rsidRPr="004B1DA7">
              <w:t xml:space="preserve"> may be: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DA7" w:rsidP="004B1DA7">
            <w:pPr>
              <w:pStyle w:val="ListBullet"/>
            </w:pPr>
            <w:r w:rsidRPr="004B1DA7">
              <w:t>for individuals wh</w:t>
            </w:r>
            <w:r w:rsidRPr="004B1DA7">
              <w:t>ose group membership pre-existed the present insurance contract, the date that the policy commenced with the present insurer (i.e. the takeover date)</w:t>
            </w:r>
          </w:p>
          <w:p w:rsidR="00000000" w:rsidP="004B1DA7">
            <w:pPr>
              <w:pStyle w:val="ListBullet"/>
              <w:rPr>
                <w:lang w:val="en-NZ"/>
              </w:rPr>
            </w:pPr>
            <w:r w:rsidRPr="004B1DA7">
              <w:t>for individuals who joined the group since the policy has been held with the present insurer, the date tha</w:t>
            </w:r>
            <w:r w:rsidRPr="004B1DA7">
              <w:t>t the member took out cover or was granted automatic cover (i.e. the risk commencement date).</w:t>
            </w:r>
          </w:p>
        </w:tc>
      </w:tr>
      <w:tr w:rsidTr="004B1DA7">
        <w:tblPrEx>
          <w:tblW w:w="0" w:type="auto"/>
          <w:tblLayout w:type="fixed"/>
          <w:tblCellMar>
            <w:left w:w="62" w:type="dxa"/>
            <w:right w:w="62" w:type="dxa"/>
          </w:tblCellMar>
          <w:tblLook w:val="0000"/>
        </w:tblPrEx>
        <w:tc>
          <w:tcPr>
            <w:tcW w:w="3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DA7">
            <w:pPr>
              <w:pStyle w:val="BodyText"/>
              <w:rPr>
                <w:lang w:val="en-NZ"/>
              </w:rPr>
            </w:pPr>
            <w:r w:rsidRPr="004B1DA7">
              <w:rPr>
                <w:rStyle w:val="BoldandItalics"/>
              </w:rPr>
              <w:t>Contact points and intermediaries</w:t>
            </w:r>
            <w:r w:rsidRPr="004B1DA7">
              <w:t xml:space="preserve"> may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DA7" w:rsidP="004B1DA7">
            <w:pPr>
              <w:pStyle w:val="ListBullet"/>
            </w:pPr>
            <w:r w:rsidRPr="004B1DA7">
              <w:t>the member</w:t>
            </w:r>
          </w:p>
          <w:p w:rsidR="00000000" w:rsidRPr="004B1DA7" w:rsidP="004B1DA7">
            <w:pPr>
              <w:pStyle w:val="ListBullet"/>
            </w:pPr>
            <w:r w:rsidRPr="004B1DA7">
              <w:t>policy beneficiaries</w:t>
            </w:r>
          </w:p>
          <w:p w:rsidR="00000000" w:rsidRPr="004B1DA7" w:rsidP="004B1DA7">
            <w:pPr>
              <w:pStyle w:val="ListBullet"/>
            </w:pPr>
            <w:r w:rsidRPr="004B1DA7">
              <w:t>the member’s employer</w:t>
            </w:r>
          </w:p>
          <w:p w:rsidR="00000000" w:rsidRPr="004B1DA7" w:rsidP="004B1DA7">
            <w:pPr>
              <w:pStyle w:val="ListBullet"/>
            </w:pPr>
            <w:r w:rsidRPr="004B1DA7">
              <w:t>superannuation fund trustees</w:t>
            </w:r>
          </w:p>
          <w:p w:rsidR="00000000" w:rsidRPr="004B1DA7" w:rsidP="004B1DA7">
            <w:pPr>
              <w:pStyle w:val="ListBullet"/>
            </w:pPr>
            <w:r w:rsidRPr="004B1DA7">
              <w:t>superannuation fund administrators</w:t>
            </w:r>
          </w:p>
          <w:p w:rsidR="00000000" w:rsidRPr="004B1DA7" w:rsidP="004B1DA7">
            <w:pPr>
              <w:pStyle w:val="ListBullet"/>
            </w:pPr>
            <w:r w:rsidRPr="004B1DA7">
              <w:t>medical professionals</w:t>
            </w:r>
          </w:p>
          <w:p w:rsidR="00000000" w:rsidRPr="004B1DA7" w:rsidP="004B1DA7">
            <w:pPr>
              <w:pStyle w:val="ListBullet"/>
            </w:pPr>
            <w:r w:rsidRPr="004B1DA7">
              <w:t>solicitors</w:t>
            </w:r>
          </w:p>
          <w:p w:rsidR="00000000" w:rsidRPr="004B1DA7" w:rsidP="004B1DA7">
            <w:pPr>
              <w:pStyle w:val="ListBullet"/>
            </w:pPr>
            <w:r w:rsidRPr="004B1DA7">
              <w:t>donee of power of attorney</w:t>
            </w:r>
          </w:p>
          <w:p w:rsidR="00000000" w:rsidRPr="004B1DA7" w:rsidP="004B1DA7">
            <w:pPr>
              <w:pStyle w:val="ListBullet"/>
            </w:pPr>
            <w:r w:rsidRPr="004B1DA7">
              <w:t>financial adviser</w:t>
            </w:r>
          </w:p>
          <w:p w:rsidR="00000000" w:rsidRPr="004B1DA7" w:rsidP="004B1DA7">
            <w:pPr>
              <w:pStyle w:val="ListBullet"/>
            </w:pPr>
            <w:r w:rsidRPr="004B1DA7">
              <w:t>insurance broker</w:t>
            </w:r>
          </w:p>
          <w:p w:rsidR="00000000" w:rsidP="004B1DA7">
            <w:pPr>
              <w:pStyle w:val="ListBullet"/>
              <w:rPr>
                <w:lang w:val="en-NZ"/>
              </w:rPr>
            </w:pPr>
            <w:r w:rsidRPr="004B1DA7">
              <w:t>internal divisions of the insurer.</w:t>
            </w:r>
          </w:p>
        </w:tc>
      </w:tr>
      <w:tr w:rsidTr="004B1DA7">
        <w:tblPrEx>
          <w:tblW w:w="0" w:type="auto"/>
          <w:tblLayout w:type="fixed"/>
          <w:tblCellMar>
            <w:left w:w="62" w:type="dxa"/>
            <w:right w:w="62" w:type="dxa"/>
          </w:tblCellMar>
          <w:tblLook w:val="0000"/>
        </w:tblPrEx>
        <w:tc>
          <w:tcPr>
            <w:tcW w:w="3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DA7">
            <w:pPr>
              <w:pStyle w:val="BodyText"/>
              <w:rPr>
                <w:lang w:val="en-NZ"/>
              </w:rPr>
            </w:pPr>
            <w:r w:rsidRPr="004B1DA7">
              <w:rPr>
                <w:rStyle w:val="BoldandItalics"/>
              </w:rPr>
              <w:t>Claimed condition</w:t>
            </w:r>
            <w:r w:rsidRPr="004B1DA7">
              <w:t xml:space="preserve"> may be: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DA7" w:rsidP="004B1DA7">
            <w:pPr>
              <w:pStyle w:val="ListBullet"/>
            </w:pPr>
            <w:r w:rsidRPr="004B1DA7">
              <w:t>death</w:t>
            </w:r>
          </w:p>
          <w:p w:rsidR="00000000" w:rsidP="004B1DA7">
            <w:pPr>
              <w:pStyle w:val="ListBullet"/>
              <w:rPr>
                <w:lang w:val="en-NZ"/>
              </w:rPr>
            </w:pPr>
            <w:r w:rsidRPr="004B1DA7">
              <w:t>disability.</w:t>
            </w:r>
          </w:p>
        </w:tc>
      </w:tr>
      <w:tr w:rsidTr="004B1DA7">
        <w:tblPrEx>
          <w:tblW w:w="0" w:type="auto"/>
          <w:tblLayout w:type="fixed"/>
          <w:tblCellMar>
            <w:left w:w="62" w:type="dxa"/>
            <w:right w:w="62" w:type="dxa"/>
          </w:tblCellMar>
          <w:tblLook w:val="0000"/>
        </w:tblPrEx>
        <w:tc>
          <w:tcPr>
            <w:tcW w:w="3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DA7">
            <w:pPr>
              <w:pStyle w:val="BodyText"/>
              <w:rPr>
                <w:lang w:val="en-NZ"/>
              </w:rPr>
            </w:pPr>
            <w:r w:rsidRPr="004B1DA7">
              <w:rPr>
                <w:rStyle w:val="BoldandItalics"/>
              </w:rPr>
              <w:t>Assessment criteria</w:t>
            </w:r>
            <w:r w:rsidRPr="004B1DA7">
              <w:t xml:space="preserve"> may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DA7" w:rsidP="004B1DA7">
            <w:pPr>
              <w:pStyle w:val="ListBullet"/>
            </w:pPr>
            <w:r w:rsidRPr="004B1DA7">
              <w:t>death or survivorship</w:t>
            </w:r>
          </w:p>
          <w:p w:rsidR="00000000" w:rsidRPr="004B1DA7" w:rsidP="004B1DA7">
            <w:pPr>
              <w:pStyle w:val="ListBullet"/>
            </w:pPr>
            <w:r w:rsidRPr="004B1DA7">
              <w:t>existence of medical condition</w:t>
            </w:r>
          </w:p>
          <w:p w:rsidR="00000000" w:rsidRPr="004B1DA7" w:rsidP="004B1DA7">
            <w:pPr>
              <w:pStyle w:val="ListBullet"/>
            </w:pPr>
            <w:r w:rsidRPr="004B1DA7">
              <w:t>severity of medical condition</w:t>
            </w:r>
          </w:p>
          <w:p w:rsidR="00000000" w:rsidRPr="004B1DA7" w:rsidP="004B1DA7">
            <w:pPr>
              <w:pStyle w:val="ListBullet"/>
            </w:pPr>
            <w:r w:rsidRPr="004B1DA7">
              <w:t>financial assessments</w:t>
            </w:r>
          </w:p>
          <w:p w:rsidR="00000000" w:rsidP="004B1DA7">
            <w:pPr>
              <w:pStyle w:val="ListBullet"/>
              <w:rPr>
                <w:lang w:val="en-NZ"/>
              </w:rPr>
            </w:pPr>
            <w:r w:rsidRPr="004B1DA7">
              <w:t>medical disclosure assessments.</w:t>
            </w:r>
          </w:p>
        </w:tc>
      </w:tr>
      <w:tr w:rsidTr="004B1DA7">
        <w:tblPrEx>
          <w:tblW w:w="0" w:type="auto"/>
          <w:tblLayout w:type="fixed"/>
          <w:tblCellMar>
            <w:left w:w="62" w:type="dxa"/>
            <w:right w:w="62" w:type="dxa"/>
          </w:tblCellMar>
          <w:tblLook w:val="0000"/>
        </w:tblPrEx>
        <w:tc>
          <w:tcPr>
            <w:tcW w:w="3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DA7">
            <w:pPr>
              <w:pStyle w:val="BodyText"/>
              <w:rPr>
                <w:lang w:val="en-NZ"/>
              </w:rPr>
            </w:pPr>
            <w:r w:rsidRPr="004B1DA7">
              <w:rPr>
                <w:rStyle w:val="BoldandItalics"/>
              </w:rPr>
              <w:t>Evidence</w:t>
            </w:r>
            <w:r w:rsidRPr="004B1DA7">
              <w:t xml:space="preserve"> may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DA7" w:rsidP="004B1DA7">
            <w:pPr>
              <w:pStyle w:val="ListBullet"/>
            </w:pPr>
            <w:r w:rsidRPr="004B1DA7">
              <w:t>legal certification (e.g. birth certificates, death certificates)</w:t>
            </w:r>
          </w:p>
          <w:p w:rsidR="00000000" w:rsidRPr="004B1DA7" w:rsidP="004B1DA7">
            <w:pPr>
              <w:pStyle w:val="ListBullet"/>
            </w:pPr>
            <w:r w:rsidRPr="004B1DA7">
              <w:t>statements from:</w:t>
            </w:r>
          </w:p>
          <w:p w:rsidR="00000000" w:rsidRPr="004B1DA7" w:rsidP="004B1DA7">
            <w:pPr>
              <w:pStyle w:val="ListBullet"/>
            </w:pPr>
            <w:r w:rsidRPr="004B1DA7">
              <w:t>the member</w:t>
            </w:r>
          </w:p>
          <w:p w:rsidR="00000000" w:rsidRPr="004B1DA7" w:rsidP="004B1DA7">
            <w:pPr>
              <w:pStyle w:val="ListBullet"/>
            </w:pPr>
            <w:r w:rsidRPr="004B1DA7">
              <w:t>t</w:t>
            </w:r>
            <w:r w:rsidRPr="004B1DA7">
              <w:t>he member’s employer</w:t>
            </w:r>
          </w:p>
          <w:p w:rsidR="00000000" w:rsidRPr="004B1DA7" w:rsidP="004B1DA7">
            <w:pPr>
              <w:pStyle w:val="ListBullet"/>
            </w:pPr>
            <w:r w:rsidRPr="004B1DA7">
              <w:t>potential beneficiaries</w:t>
            </w:r>
          </w:p>
          <w:p w:rsidR="00000000" w:rsidRPr="004B1DA7" w:rsidP="004B1DA7">
            <w:pPr>
              <w:pStyle w:val="ListBullet"/>
            </w:pPr>
            <w:r w:rsidRPr="004B1DA7">
              <w:t>medical attendant</w:t>
            </w:r>
          </w:p>
          <w:p w:rsidR="00000000" w:rsidRPr="004B1DA7" w:rsidP="004B1DA7">
            <w:pPr>
              <w:pStyle w:val="ListBullet"/>
            </w:pPr>
            <w:r w:rsidRPr="004B1DA7">
              <w:t>medical records</w:t>
            </w:r>
          </w:p>
          <w:p w:rsidR="00000000" w:rsidRPr="004B1DA7" w:rsidP="004B1DA7">
            <w:pPr>
              <w:pStyle w:val="ListBullet"/>
            </w:pPr>
            <w:r w:rsidRPr="004B1DA7">
              <w:t>functional capacity tests</w:t>
            </w:r>
          </w:p>
          <w:p w:rsidR="00000000" w:rsidRPr="004B1DA7" w:rsidP="004B1DA7">
            <w:pPr>
              <w:pStyle w:val="ListBullet"/>
            </w:pPr>
            <w:r w:rsidRPr="004B1DA7">
              <w:t>employment records</w:t>
            </w:r>
          </w:p>
          <w:p w:rsidR="00000000" w:rsidP="004B1DA7">
            <w:pPr>
              <w:pStyle w:val="ListBullet"/>
              <w:rPr>
                <w:lang w:val="en-NZ"/>
              </w:rPr>
            </w:pPr>
            <w:r w:rsidRPr="004B1DA7">
              <w:t>accounting/taxation records.</w:t>
            </w:r>
          </w:p>
        </w:tc>
      </w:tr>
      <w:tr w:rsidTr="004B1DA7">
        <w:tblPrEx>
          <w:tblW w:w="0" w:type="auto"/>
          <w:tblLayout w:type="fixed"/>
          <w:tblCellMar>
            <w:left w:w="62" w:type="dxa"/>
            <w:right w:w="62" w:type="dxa"/>
          </w:tblCellMar>
          <w:tblLook w:val="0000"/>
        </w:tblPrEx>
        <w:tc>
          <w:tcPr>
            <w:tcW w:w="3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DA7">
            <w:pPr>
              <w:pStyle w:val="BodyText"/>
              <w:rPr>
                <w:lang w:val="en-NZ"/>
              </w:rPr>
            </w:pPr>
            <w:r w:rsidRPr="004B1DA7">
              <w:rPr>
                <w:rStyle w:val="BoldandItalics"/>
              </w:rPr>
              <w:t>Relevant policy conditions</w:t>
            </w:r>
            <w:r w:rsidRPr="004B1DA7">
              <w:t xml:space="preserve"> may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DA7" w:rsidP="004B1DA7">
            <w:pPr>
              <w:pStyle w:val="ListBullet"/>
            </w:pPr>
            <w:r w:rsidRPr="004B1DA7">
              <w:t>benefit offsets</w:t>
            </w:r>
          </w:p>
          <w:p w:rsidR="00000000" w:rsidRPr="004B1DA7" w:rsidP="004B1DA7">
            <w:pPr>
              <w:pStyle w:val="ListBullet"/>
            </w:pPr>
            <w:r w:rsidRPr="004B1DA7">
              <w:t>definitions of partial disability</w:t>
            </w:r>
          </w:p>
          <w:p w:rsidR="00000000" w:rsidRPr="004B1DA7" w:rsidP="004B1DA7">
            <w:pPr>
              <w:pStyle w:val="ListBullet"/>
            </w:pPr>
            <w:r w:rsidRPr="004B1DA7">
              <w:t>ancillary benefits, such as</w:t>
            </w:r>
          </w:p>
          <w:p w:rsidR="00000000" w:rsidRPr="004B1DA7" w:rsidP="004B1DA7">
            <w:pPr>
              <w:pStyle w:val="ListBullet"/>
            </w:pPr>
            <w:r w:rsidRPr="004B1DA7">
              <w:t>rehabilitation expenses</w:t>
            </w:r>
          </w:p>
          <w:p w:rsidR="00000000" w:rsidP="004B1DA7">
            <w:pPr>
              <w:pStyle w:val="ListBullet"/>
              <w:rPr>
                <w:lang w:val="en-NZ"/>
              </w:rPr>
            </w:pPr>
            <w:r w:rsidRPr="004B1DA7">
              <w:t>trauma benefits.</w:t>
            </w:r>
          </w:p>
        </w:tc>
      </w:tr>
      <w:tr w:rsidTr="004B1DA7">
        <w:tblPrEx>
          <w:tblW w:w="0" w:type="auto"/>
          <w:tblLayout w:type="fixed"/>
          <w:tblCellMar>
            <w:left w:w="62" w:type="dxa"/>
            <w:right w:w="62" w:type="dxa"/>
          </w:tblCellMar>
          <w:tblLook w:val="0000"/>
        </w:tblPrEx>
        <w:tc>
          <w:tcPr>
            <w:tcW w:w="3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DA7">
            <w:pPr>
              <w:pStyle w:val="BodyText"/>
              <w:rPr>
                <w:lang w:val="en-NZ"/>
              </w:rPr>
            </w:pPr>
            <w:r w:rsidRPr="004B1DA7">
              <w:rPr>
                <w:rStyle w:val="BoldandItalics"/>
              </w:rPr>
              <w:t>Procedures</w:t>
            </w:r>
            <w:r w:rsidRPr="004B1DA7">
              <w:t xml:space="preserve"> may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DA7" w:rsidP="004B1DA7">
            <w:pPr>
              <w:pStyle w:val="ListBullet"/>
            </w:pPr>
            <w:r w:rsidRPr="004B1DA7">
              <w:t>organisational complaints handling processes</w:t>
            </w:r>
          </w:p>
          <w:p w:rsidR="00000000" w:rsidRPr="004B1DA7" w:rsidP="004B1DA7">
            <w:pPr>
              <w:pStyle w:val="ListBullet"/>
            </w:pPr>
            <w:r w:rsidRPr="004B1DA7">
              <w:t>organisational customer service charter</w:t>
            </w:r>
          </w:p>
          <w:p w:rsidR="00000000" w:rsidRPr="004B1DA7" w:rsidP="004B1DA7">
            <w:pPr>
              <w:pStyle w:val="ListBullet"/>
            </w:pPr>
            <w:r w:rsidRPr="004B1DA7">
              <w:t>organisational guidelines</w:t>
            </w:r>
          </w:p>
          <w:p w:rsidR="00000000" w:rsidRPr="004B1DA7" w:rsidP="004B1DA7">
            <w:pPr>
              <w:pStyle w:val="ListBullet"/>
            </w:pPr>
            <w:r w:rsidRPr="004B1DA7">
              <w:t>organisational policy</w:t>
            </w:r>
          </w:p>
          <w:p w:rsidR="00000000" w:rsidRPr="004B1DA7" w:rsidP="004B1DA7">
            <w:pPr>
              <w:pStyle w:val="ListBullet"/>
            </w:pPr>
            <w:r w:rsidRPr="004B1DA7">
              <w:t>organisational privacy and confidentiality guidelines</w:t>
            </w:r>
          </w:p>
          <w:p w:rsidR="00000000" w:rsidP="004B1DA7">
            <w:pPr>
              <w:pStyle w:val="ListBullet"/>
              <w:rPr>
                <w:lang w:val="en-NZ"/>
              </w:rPr>
            </w:pPr>
            <w:r w:rsidRPr="004B1DA7">
              <w:t>organisational procedures.</w:t>
            </w:r>
          </w:p>
        </w:tc>
      </w:tr>
      <w:tr w:rsidTr="004B1DA7">
        <w:tblPrEx>
          <w:tblW w:w="0" w:type="auto"/>
          <w:tblLayout w:type="fixed"/>
          <w:tblCellMar>
            <w:left w:w="62" w:type="dxa"/>
            <w:right w:w="62" w:type="dxa"/>
          </w:tblCellMar>
          <w:tblLook w:val="0000"/>
        </w:tblPrEx>
        <w:tc>
          <w:tcPr>
            <w:tcW w:w="3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DA7">
            <w:pPr>
              <w:pStyle w:val="BodyText"/>
              <w:rPr>
                <w:lang w:val="en-NZ"/>
              </w:rPr>
            </w:pPr>
            <w:r w:rsidRPr="004B1DA7">
              <w:rPr>
                <w:rStyle w:val="BoldandItalics"/>
              </w:rPr>
              <w:t>Regulatory requirements</w:t>
            </w:r>
            <w:r w:rsidRPr="004B1DA7">
              <w:t xml:space="preserve"> may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DA7" w:rsidP="004B1DA7">
            <w:pPr>
              <w:pStyle w:val="ListBullet"/>
            </w:pPr>
            <w:r w:rsidRPr="004B1DA7">
              <w:t>corporations legislation</w:t>
            </w:r>
          </w:p>
          <w:p w:rsidR="00000000" w:rsidRPr="004B1DA7" w:rsidP="004B1DA7">
            <w:pPr>
              <w:pStyle w:val="ListBullet"/>
            </w:pPr>
            <w:r w:rsidRPr="004B1DA7">
              <w:t>life insurance legislation</w:t>
            </w:r>
          </w:p>
          <w:p w:rsidR="00000000" w:rsidRPr="004B1DA7" w:rsidP="004B1DA7">
            <w:pPr>
              <w:pStyle w:val="ListBullet"/>
            </w:pPr>
            <w:r w:rsidRPr="004B1DA7">
              <w:t>privacy legislation</w:t>
            </w:r>
          </w:p>
          <w:p w:rsidR="00000000" w:rsidRPr="004B1DA7" w:rsidP="004B1DA7">
            <w:pPr>
              <w:pStyle w:val="ListBullet"/>
            </w:pPr>
            <w:r w:rsidRPr="004B1DA7">
              <w:t>superannuation legislation</w:t>
            </w:r>
          </w:p>
          <w:p w:rsidR="00000000" w:rsidRPr="004B1DA7" w:rsidP="004B1DA7">
            <w:pPr>
              <w:pStyle w:val="ListBullet"/>
            </w:pPr>
            <w:r w:rsidRPr="004B1DA7">
              <w:t>Australian Securities and Investments</w:t>
            </w:r>
            <w:r w:rsidRPr="004B1DA7">
              <w:t xml:space="preserve"> Commission (ASIC) regulatory guides</w:t>
            </w:r>
          </w:p>
          <w:p w:rsidR="00000000" w:rsidRPr="004B1DA7" w:rsidP="004B1DA7">
            <w:pPr>
              <w:pStyle w:val="ListBullet"/>
            </w:pPr>
            <w:r w:rsidRPr="004B1DA7">
              <w:t>Financial Services Council guidance notes and standards.</w:t>
            </w:r>
          </w:p>
        </w:tc>
      </w:tr>
    </w:tbl>
    <w:p w:rsidR="00000000" w:rsidRPr="004B1DA7" w:rsidP="004B1DA7">
      <w:pPr>
        <w:pStyle w:val="BodyText"/>
      </w:pPr>
    </w:p>
    <w:p w:rsidR="00000000" w:rsidRPr="004B1DA7" w:rsidP="004B1DA7">
      <w:pPr>
        <w:pStyle w:val="AllowPageBreak"/>
      </w:pPr>
    </w:p>
    <w:p w:rsidR="00000000" w:rsidRPr="004B1DA7" w:rsidP="004B1DA7">
      <w:pPr>
        <w:pStyle w:val="Heading1"/>
      </w:pPr>
      <w:bookmarkStart w:id="12" w:name="O_418278"/>
      <w:bookmarkEnd w:id="12"/>
      <w:r w:rsidRPr="004B1DA7">
        <w:t>Unit Sector(s)</w:t>
      </w:r>
    </w:p>
    <w:p w:rsidR="00000000" w:rsidRPr="004B1DA7" w:rsidP="004B1DA7">
      <w:pPr>
        <w:pStyle w:val="BodyText"/>
      </w:pPr>
      <w:r w:rsidRPr="004B1DA7">
        <w:t>Life insurance</w:t>
      </w:r>
    </w:p>
    <w:p w:rsidR="00000000" w:rsidRPr="004B1DA7" w:rsidP="004B1DA7"/>
    <w:sectPr w:rsidSect="004B1D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D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390E" w:rsidP="009239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D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90E" w:rsidP="004B1D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2390E" w:rsidP="004B1D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2390E" w:rsidP="004B1D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D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390E" w:rsidP="0092390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D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90E" w:rsidP="004B1DA7">
    <w:pPr>
      <w:pStyle w:val="Header"/>
      <w:framePr w:wrap="around"/>
    </w:pPr>
    <w:r>
      <w:fldChar w:fldCharType="begin"/>
    </w:r>
    <w:r>
      <w:instrText xml:space="preserve"> TITLE   \* MERGEFORMAT </w:instrText>
    </w:r>
    <w:r>
      <w:fldChar w:fldCharType="separate"/>
    </w:r>
    <w:r>
      <w:t>FNSILF506A Manage group life insurance claims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2390E" w:rsidP="004B1D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D2D8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0C8A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0838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1DA7"/>
    <w:pPr>
      <w:spacing w:before="360" w:after="60"/>
      <w:outlineLvl w:val="0"/>
    </w:pPr>
    <w:rPr>
      <w:sz w:val="32"/>
    </w:rPr>
  </w:style>
  <w:style w:type="paragraph" w:styleId="Heading2">
    <w:name w:val="heading 2"/>
    <w:basedOn w:val="HeadingBase"/>
    <w:next w:val="BodyText"/>
    <w:link w:val="Heading2Char"/>
    <w:qFormat/>
    <w:rsid w:val="004B1DA7"/>
    <w:pPr>
      <w:keepLines/>
      <w:spacing w:before="240" w:after="120"/>
      <w:outlineLvl w:val="1"/>
    </w:pPr>
    <w:rPr>
      <w:sz w:val="28"/>
      <w:szCs w:val="40"/>
    </w:rPr>
  </w:style>
  <w:style w:type="paragraph" w:styleId="Heading3">
    <w:name w:val="heading 3"/>
    <w:basedOn w:val="HeadingBase"/>
    <w:next w:val="BodyText"/>
    <w:link w:val="Heading3Char"/>
    <w:qFormat/>
    <w:rsid w:val="004B1DA7"/>
    <w:pPr>
      <w:spacing w:before="180" w:after="120"/>
      <w:outlineLvl w:val="2"/>
    </w:pPr>
    <w:rPr>
      <w:spacing w:val="-10"/>
      <w:kern w:val="32"/>
    </w:rPr>
  </w:style>
  <w:style w:type="paragraph" w:styleId="Heading4">
    <w:name w:val="heading 4"/>
    <w:basedOn w:val="HeadingBase"/>
    <w:next w:val="BodyText"/>
    <w:link w:val="Heading4Char"/>
    <w:qFormat/>
    <w:rsid w:val="004B1DA7"/>
    <w:pPr>
      <w:spacing w:before="160" w:after="120"/>
      <w:outlineLvl w:val="3"/>
    </w:pPr>
    <w:rPr>
      <w:sz w:val="22"/>
    </w:rPr>
  </w:style>
  <w:style w:type="paragraph" w:styleId="Heading5">
    <w:name w:val="heading 5"/>
    <w:basedOn w:val="HeadingBase"/>
    <w:next w:val="Normal"/>
    <w:link w:val="Heading5Char"/>
    <w:qFormat/>
    <w:rsid w:val="004B1DA7"/>
    <w:pPr>
      <w:spacing w:before="80"/>
      <w:outlineLvl w:val="4"/>
    </w:pPr>
    <w:rPr>
      <w:color w:val="918585"/>
      <w:sz w:val="20"/>
    </w:rPr>
  </w:style>
  <w:style w:type="paragraph" w:styleId="Heading6">
    <w:name w:val="heading 6"/>
    <w:basedOn w:val="HeadingBase"/>
    <w:next w:val="Normal"/>
    <w:link w:val="Heading6Char"/>
    <w:qFormat/>
    <w:rsid w:val="004B1DA7"/>
    <w:pPr>
      <w:spacing w:before="60"/>
      <w:outlineLvl w:val="5"/>
    </w:pPr>
    <w:rPr>
      <w:color w:val="918585"/>
      <w:sz w:val="20"/>
    </w:rPr>
  </w:style>
  <w:style w:type="paragraph" w:styleId="Heading7">
    <w:name w:val="heading 7"/>
    <w:basedOn w:val="Normal"/>
    <w:next w:val="Normal"/>
    <w:link w:val="Heading7Char"/>
    <w:qFormat/>
    <w:rsid w:val="004B1DA7"/>
    <w:pPr>
      <w:ind w:left="720"/>
      <w:outlineLvl w:val="6"/>
    </w:pPr>
    <w:rPr>
      <w:i/>
    </w:rPr>
  </w:style>
  <w:style w:type="paragraph" w:styleId="Heading8">
    <w:name w:val="heading 8"/>
    <w:basedOn w:val="Normal"/>
    <w:next w:val="Normal"/>
    <w:link w:val="Heading8Char"/>
    <w:qFormat/>
    <w:rsid w:val="004B1DA7"/>
    <w:pPr>
      <w:ind w:left="720"/>
      <w:outlineLvl w:val="7"/>
    </w:pPr>
    <w:rPr>
      <w:i/>
    </w:rPr>
  </w:style>
  <w:style w:type="paragraph" w:styleId="Heading9">
    <w:name w:val="heading 9"/>
    <w:basedOn w:val="Normal"/>
    <w:next w:val="Normal"/>
    <w:link w:val="Heading9Char"/>
    <w:qFormat/>
    <w:rsid w:val="004B1DA7"/>
    <w:pPr>
      <w:ind w:left="720"/>
      <w:outlineLvl w:val="8"/>
    </w:pPr>
    <w:rPr>
      <w:i/>
    </w:rPr>
  </w:style>
  <w:style w:type="character" w:default="1" w:styleId="DefaultParagraphFont">
    <w:name w:val="Default Paragraph Font"/>
    <w:uiPriority w:val="1"/>
    <w:unhideWhenUsed/>
    <w:rsid w:val="004B1D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1DA7"/>
  </w:style>
  <w:style w:type="character" w:customStyle="1" w:styleId="Heading1Char">
    <w:name w:val="Heading 1 Char"/>
    <w:basedOn w:val="DefaultParagraphFont"/>
    <w:link w:val="Heading1"/>
    <w:rsid w:val="004B1DA7"/>
    <w:rPr>
      <w:rFonts w:ascii="Times New Roman" w:eastAsia="Times New Roman" w:hAnsi="Times New Roman" w:cs="Times New Roman"/>
      <w:b/>
      <w:sz w:val="32"/>
      <w:szCs w:val="20"/>
      <w:lang w:eastAsia="en-US"/>
    </w:rPr>
  </w:style>
  <w:style w:type="paragraph" w:styleId="BodyText">
    <w:name w:val="Body Text"/>
    <w:basedOn w:val="Normal"/>
    <w:link w:val="BodyTextChar"/>
    <w:rsid w:val="004B1D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1DA7"/>
    <w:rPr>
      <w:rFonts w:ascii="Times New Roman" w:eastAsia="Times New Roman" w:hAnsi="Times New Roman" w:cs="Times New Roman"/>
      <w:sz w:val="24"/>
      <w:lang w:val="en-US" w:eastAsia="en-US"/>
    </w:rPr>
  </w:style>
  <w:style w:type="paragraph" w:styleId="Footer">
    <w:name w:val="footer"/>
    <w:basedOn w:val="Normal"/>
    <w:link w:val="FooterChar"/>
    <w:rsid w:val="004B1D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1DA7"/>
    <w:rPr>
      <w:rFonts w:ascii="Times New Roman" w:eastAsia="Times New Roman" w:hAnsi="Times New Roman" w:cs="Times New Roman"/>
      <w:sz w:val="16"/>
      <w:lang w:val="en-US" w:eastAsia="en-US"/>
    </w:rPr>
  </w:style>
  <w:style w:type="paragraph" w:styleId="ListBullet">
    <w:name w:val="List Bullet"/>
    <w:basedOn w:val="List"/>
    <w:rsid w:val="004B1DA7"/>
    <w:pPr>
      <w:numPr>
        <w:numId w:val="13"/>
      </w:numPr>
      <w:tabs>
        <w:tab w:val="clear" w:pos="340"/>
      </w:tabs>
      <w:spacing w:before="40" w:after="40"/>
    </w:pPr>
  </w:style>
  <w:style w:type="character" w:customStyle="1" w:styleId="SpecialBold">
    <w:name w:val="Special Bold"/>
    <w:basedOn w:val="DefaultParagraphFont"/>
    <w:rsid w:val="004B1DA7"/>
    <w:rPr>
      <w:b/>
      <w:spacing w:val="0"/>
    </w:rPr>
  </w:style>
  <w:style w:type="paragraph" w:styleId="ListBullet2">
    <w:name w:val="List Bullet 2"/>
    <w:basedOn w:val="List2"/>
    <w:rsid w:val="004B1DA7"/>
    <w:pPr>
      <w:numPr>
        <w:numId w:val="14"/>
      </w:numPr>
      <w:tabs>
        <w:tab w:val="clear" w:pos="680"/>
      </w:tabs>
    </w:pPr>
  </w:style>
  <w:style w:type="paragraph" w:styleId="Header">
    <w:name w:val="header"/>
    <w:basedOn w:val="Normal"/>
    <w:link w:val="HeaderChar"/>
    <w:rsid w:val="004B1D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1DA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B1DA7"/>
    <w:rPr>
      <w:i/>
    </w:rPr>
  </w:style>
  <w:style w:type="paragraph" w:customStyle="1" w:styleId="SuperHeading">
    <w:name w:val="SuperHeading"/>
    <w:basedOn w:val="Normal"/>
    <w:rsid w:val="004B1DA7"/>
    <w:pPr>
      <w:spacing w:before="240" w:after="120"/>
      <w:outlineLvl w:val="0"/>
    </w:pPr>
    <w:rPr>
      <w:rFonts w:ascii="Times New Roman" w:hAnsi="Times New Roman"/>
      <w:b/>
      <w:sz w:val="28"/>
    </w:rPr>
  </w:style>
  <w:style w:type="paragraph" w:customStyle="1" w:styleId="AllowPageBreak">
    <w:name w:val="AllowPageBreak"/>
    <w:rsid w:val="004B1D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B1DA7"/>
    <w:rPr>
      <w:b/>
      <w:i/>
      <w:u w:val="none"/>
    </w:rPr>
  </w:style>
  <w:style w:type="character" w:customStyle="1" w:styleId="Heading2Char">
    <w:name w:val="Heading 2 Char"/>
    <w:basedOn w:val="DefaultParagraphFont"/>
    <w:link w:val="Heading2"/>
    <w:rsid w:val="004B1D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1D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1D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1D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1D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1D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1D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1DA7"/>
    <w:rPr>
      <w:rFonts w:ascii="Courier New" w:eastAsia="Times New Roman" w:hAnsi="Courier New" w:cs="Times New Roman"/>
      <w:i/>
      <w:szCs w:val="20"/>
      <w:lang w:val="en-US" w:eastAsia="en-US"/>
    </w:rPr>
  </w:style>
  <w:style w:type="paragraph" w:customStyle="1" w:styleId="HeadingBase">
    <w:name w:val="Heading Base"/>
    <w:rsid w:val="004B1D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1DA7"/>
    <w:pPr>
      <w:tabs>
        <w:tab w:val="right" w:leader="dot" w:pos="9072"/>
      </w:tabs>
      <w:ind w:left="567"/>
    </w:pPr>
    <w:rPr>
      <w:szCs w:val="22"/>
    </w:rPr>
  </w:style>
  <w:style w:type="paragraph" w:customStyle="1" w:styleId="TOCBase">
    <w:name w:val="TOC Base"/>
    <w:rsid w:val="004B1D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1DA7"/>
    <w:pPr>
      <w:tabs>
        <w:tab w:val="right" w:leader="dot" w:pos="9072"/>
      </w:tabs>
      <w:spacing w:before="40" w:after="40"/>
      <w:ind w:left="284"/>
    </w:pPr>
    <w:rPr>
      <w:rFonts w:ascii="Times New Roman" w:hAnsi="Times New Roman"/>
    </w:rPr>
  </w:style>
  <w:style w:type="paragraph" w:styleId="TOC1">
    <w:name w:val="toc 1"/>
    <w:basedOn w:val="TOCBase"/>
    <w:next w:val="Normal"/>
    <w:rsid w:val="004B1D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1DA7"/>
    <w:pPr>
      <w:spacing w:before="5040"/>
      <w:jc w:val="center"/>
    </w:pPr>
    <w:rPr>
      <w:sz w:val="48"/>
      <w:szCs w:val="72"/>
      <w:lang w:val="en-US"/>
    </w:rPr>
  </w:style>
  <w:style w:type="character" w:customStyle="1" w:styleId="TitleChar">
    <w:name w:val="Title Char"/>
    <w:basedOn w:val="DefaultParagraphFont"/>
    <w:link w:val="Title"/>
    <w:rsid w:val="004B1D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1DA7"/>
    <w:pPr>
      <w:tabs>
        <w:tab w:val="left" w:pos="3600"/>
        <w:tab w:val="left" w:pos="3958"/>
      </w:tabs>
    </w:pPr>
  </w:style>
  <w:style w:type="paragraph" w:styleId="List">
    <w:name w:val="List"/>
    <w:basedOn w:val="BodyText"/>
    <w:next w:val="BodyText"/>
    <w:rsid w:val="004B1DA7"/>
    <w:pPr>
      <w:tabs>
        <w:tab w:val="left" w:pos="340"/>
      </w:tabs>
      <w:spacing w:before="60" w:after="60"/>
      <w:ind w:left="340" w:hanging="340"/>
    </w:pPr>
  </w:style>
  <w:style w:type="paragraph" w:customStyle="1" w:styleId="Note">
    <w:name w:val="Note"/>
    <w:basedOn w:val="BodyText"/>
    <w:rsid w:val="004B1D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1DA7"/>
    <w:pPr>
      <w:framePr w:wrap="auto" w:hAnchor="text" w:y="6049"/>
    </w:pPr>
    <w:rPr>
      <w:color w:val="000000"/>
      <w:sz w:val="40"/>
    </w:rPr>
  </w:style>
  <w:style w:type="paragraph" w:customStyle="1" w:styleId="TOCTitle">
    <w:name w:val="TOCTitle"/>
    <w:basedOn w:val="Heading1"/>
    <w:rsid w:val="004B1DA7"/>
    <w:pPr>
      <w:spacing w:after="240"/>
      <w:jc w:val="center"/>
      <w:outlineLvl w:val="9"/>
    </w:pPr>
    <w:rPr>
      <w:caps/>
    </w:rPr>
  </w:style>
  <w:style w:type="paragraph" w:customStyle="1" w:styleId="Version">
    <w:name w:val="Version"/>
    <w:rsid w:val="004B1D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1DA7"/>
    <w:pPr>
      <w:keepNext w:val="0"/>
      <w:tabs>
        <w:tab w:val="right" w:pos="4176"/>
      </w:tabs>
      <w:ind w:left="198" w:hanging="198"/>
    </w:pPr>
    <w:rPr>
      <w:rFonts w:ascii="Garamond" w:hAnsi="Garamond"/>
    </w:rPr>
  </w:style>
  <w:style w:type="paragraph" w:styleId="IndexHeading">
    <w:name w:val="index heading"/>
    <w:basedOn w:val="Normal"/>
    <w:next w:val="Index1"/>
    <w:semiHidden/>
    <w:rsid w:val="004B1DA7"/>
    <w:pPr>
      <w:spacing w:before="120" w:after="120"/>
    </w:pPr>
    <w:rPr>
      <w:rFonts w:ascii="Arial" w:hAnsi="Arial"/>
      <w:b/>
      <w:color w:val="918585"/>
      <w:sz w:val="24"/>
    </w:rPr>
  </w:style>
  <w:style w:type="paragraph" w:customStyle="1" w:styleId="Chapter">
    <w:name w:val="Chapter"/>
    <w:basedOn w:val="Normal"/>
    <w:rsid w:val="004B1DA7"/>
    <w:pPr>
      <w:spacing w:before="240"/>
    </w:pPr>
    <w:rPr>
      <w:rFonts w:ascii="Times New Roman" w:hAnsi="Times New Roman"/>
      <w:smallCaps/>
      <w:spacing w:val="80"/>
      <w:sz w:val="28"/>
    </w:rPr>
  </w:style>
  <w:style w:type="paragraph" w:customStyle="1" w:styleId="InChapter">
    <w:name w:val="InChapter"/>
    <w:basedOn w:val="Heading3"/>
    <w:rsid w:val="004B1DA7"/>
    <w:pPr>
      <w:spacing w:after="240"/>
      <w:outlineLvl w:val="9"/>
    </w:pPr>
    <w:rPr>
      <w:noProof/>
    </w:rPr>
  </w:style>
  <w:style w:type="paragraph" w:styleId="Index2">
    <w:name w:val="index 2"/>
    <w:basedOn w:val="Normal"/>
    <w:next w:val="Normal"/>
    <w:semiHidden/>
    <w:rsid w:val="004B1DA7"/>
    <w:pPr>
      <w:tabs>
        <w:tab w:val="right" w:pos="4176"/>
      </w:tabs>
      <w:ind w:left="568" w:hanging="284"/>
    </w:pPr>
    <w:rPr>
      <w:rFonts w:ascii="Garamond" w:hAnsi="Garamond"/>
    </w:rPr>
  </w:style>
  <w:style w:type="paragraph" w:customStyle="1" w:styleId="Byline">
    <w:name w:val="Byline"/>
    <w:rsid w:val="004B1D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1DA7"/>
    <w:pPr>
      <w:tabs>
        <w:tab w:val="clear" w:pos="3600"/>
        <w:tab w:val="clear" w:pos="3958"/>
      </w:tabs>
      <w:jc w:val="right"/>
    </w:pPr>
  </w:style>
  <w:style w:type="paragraph" w:styleId="Caption">
    <w:name w:val="caption"/>
    <w:basedOn w:val="BodyText"/>
    <w:next w:val="Normal"/>
    <w:qFormat/>
    <w:rsid w:val="004B1DA7"/>
    <w:pPr>
      <w:framePr w:w="2268" w:hSpace="181" w:vSpace="181" w:wrap="around" w:vAnchor="text" w:hAnchor="page" w:x="1135" w:y="285" w:anchorLock="1"/>
    </w:pPr>
    <w:rPr>
      <w:i/>
    </w:rPr>
  </w:style>
  <w:style w:type="paragraph" w:customStyle="1" w:styleId="MiniTOCTitle">
    <w:name w:val="MiniTOCTitle"/>
    <w:basedOn w:val="Heading4"/>
    <w:rsid w:val="004B1DA7"/>
    <w:pPr>
      <w:spacing w:before="240"/>
      <w:outlineLvl w:val="9"/>
    </w:pPr>
    <w:rPr>
      <w:noProof/>
      <w:sz w:val="24"/>
    </w:rPr>
  </w:style>
  <w:style w:type="paragraph" w:customStyle="1" w:styleId="MiniTOCItem">
    <w:name w:val="MiniTOCItem"/>
    <w:basedOn w:val="ListBullet"/>
    <w:rsid w:val="004B1DA7"/>
    <w:pPr>
      <w:numPr>
        <w:numId w:val="0"/>
      </w:numPr>
      <w:tabs>
        <w:tab w:val="right" w:leader="dot" w:pos="6521"/>
      </w:tabs>
      <w:spacing w:before="0" w:after="0"/>
    </w:pPr>
  </w:style>
  <w:style w:type="paragraph" w:customStyle="1" w:styleId="TOFTitle">
    <w:name w:val="TOFTitle"/>
    <w:basedOn w:val="TOCTitle"/>
    <w:rsid w:val="004B1DA7"/>
  </w:style>
  <w:style w:type="paragraph" w:styleId="TableofFigures">
    <w:name w:val="table of figures"/>
    <w:basedOn w:val="Normal"/>
    <w:next w:val="Normal"/>
    <w:semiHidden/>
    <w:rsid w:val="004B1DA7"/>
    <w:pPr>
      <w:tabs>
        <w:tab w:val="right" w:leader="dot" w:pos="9072"/>
      </w:tabs>
      <w:ind w:left="970" w:hanging="403"/>
    </w:pPr>
    <w:rPr>
      <w:rFonts w:ascii="Times New Roman" w:hAnsi="Times New Roman"/>
      <w:b/>
    </w:rPr>
  </w:style>
  <w:style w:type="paragraph" w:styleId="ListNumber">
    <w:name w:val="List Number"/>
    <w:basedOn w:val="List"/>
    <w:rsid w:val="004B1DA7"/>
    <w:pPr>
      <w:numPr>
        <w:numId w:val="11"/>
      </w:numPr>
    </w:pPr>
  </w:style>
  <w:style w:type="character" w:customStyle="1" w:styleId="WingdingSymbols">
    <w:name w:val="Wingding Symbols"/>
    <w:rsid w:val="004B1DA7"/>
    <w:rPr>
      <w:rFonts w:ascii="Wingdings" w:hAnsi="Wingdings"/>
    </w:rPr>
  </w:style>
  <w:style w:type="paragraph" w:customStyle="1" w:styleId="TableHeading">
    <w:name w:val="Table Heading"/>
    <w:basedOn w:val="HeadingBase"/>
    <w:rsid w:val="004B1DA7"/>
    <w:pPr>
      <w:keepLines/>
      <w:pBdr>
        <w:bottom w:val="single" w:sz="6" w:space="1" w:color="918585"/>
      </w:pBdr>
      <w:spacing w:before="240"/>
    </w:pPr>
  </w:style>
  <w:style w:type="character" w:customStyle="1" w:styleId="HotSpot">
    <w:name w:val="HotSpot"/>
    <w:rsid w:val="004B1DA7"/>
    <w:rPr>
      <w:color w:val="0033CC"/>
      <w:u w:val="none"/>
    </w:rPr>
  </w:style>
  <w:style w:type="paragraph" w:customStyle="1" w:styleId="BodyTextRight">
    <w:name w:val="Body Text Right"/>
    <w:basedOn w:val="BodyText"/>
    <w:rsid w:val="004B1DA7"/>
    <w:pPr>
      <w:spacing w:before="0" w:after="0"/>
      <w:jc w:val="right"/>
    </w:pPr>
  </w:style>
  <w:style w:type="paragraph" w:styleId="Index3">
    <w:name w:val="index 3"/>
    <w:basedOn w:val="ListNumber2"/>
    <w:next w:val="Normal"/>
    <w:semiHidden/>
    <w:rsid w:val="004B1DA7"/>
    <w:pPr>
      <w:numPr>
        <w:numId w:val="0"/>
      </w:numPr>
      <w:tabs>
        <w:tab w:val="right" w:leader="dot" w:pos="4176"/>
      </w:tabs>
    </w:pPr>
  </w:style>
  <w:style w:type="paragraph" w:styleId="ListNumber2">
    <w:name w:val="List Number 2"/>
    <w:basedOn w:val="List2"/>
    <w:rsid w:val="004B1DA7"/>
    <w:pPr>
      <w:numPr>
        <w:numId w:val="10"/>
      </w:numPr>
      <w:tabs>
        <w:tab w:val="clear" w:pos="1060"/>
      </w:tabs>
    </w:pPr>
  </w:style>
  <w:style w:type="paragraph" w:customStyle="1" w:styleId="MarginNote">
    <w:name w:val="Margin Note"/>
    <w:basedOn w:val="BodyText"/>
    <w:rsid w:val="004B1D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1D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1D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1DA7"/>
    <w:rPr>
      <w:sz w:val="32"/>
    </w:rPr>
  </w:style>
  <w:style w:type="paragraph" w:customStyle="1" w:styleId="HeadingProcedure">
    <w:name w:val="Heading Procedure"/>
    <w:basedOn w:val="HeadingBase"/>
    <w:next w:val="Normal"/>
    <w:rsid w:val="004B1DA7"/>
    <w:pPr>
      <w:tabs>
        <w:tab w:val="left" w:pos="0"/>
      </w:tabs>
      <w:spacing w:before="120" w:after="60"/>
    </w:pPr>
    <w:rPr>
      <w:i/>
      <w:color w:val="918585"/>
      <w:sz w:val="22"/>
    </w:rPr>
  </w:style>
  <w:style w:type="paragraph" w:customStyle="1" w:styleId="TableBodyText">
    <w:name w:val="Table Body Text"/>
    <w:basedOn w:val="BodyText"/>
    <w:rsid w:val="004B1DA7"/>
    <w:pPr>
      <w:spacing w:before="60" w:after="60"/>
    </w:pPr>
  </w:style>
  <w:style w:type="paragraph" w:styleId="ListContinue">
    <w:name w:val="List Continue"/>
    <w:basedOn w:val="List"/>
    <w:rsid w:val="004B1DA7"/>
    <w:pPr>
      <w:ind w:firstLine="0"/>
    </w:pPr>
  </w:style>
  <w:style w:type="paragraph" w:customStyle="1" w:styleId="ListNote">
    <w:name w:val="List Note"/>
    <w:basedOn w:val="List"/>
    <w:rsid w:val="004B1DA7"/>
    <w:pPr>
      <w:pBdr>
        <w:top w:val="single" w:sz="6" w:space="2" w:color="918585"/>
        <w:bottom w:val="single" w:sz="6" w:space="2" w:color="918585"/>
      </w:pBdr>
      <w:tabs>
        <w:tab w:val="left" w:pos="1021"/>
      </w:tabs>
      <w:ind w:firstLine="0"/>
    </w:pPr>
  </w:style>
  <w:style w:type="paragraph" w:customStyle="1" w:styleId="Warning">
    <w:name w:val="Warning"/>
    <w:basedOn w:val="BodyText"/>
    <w:rsid w:val="004B1DA7"/>
    <w:pPr>
      <w:shd w:val="clear" w:color="auto" w:fill="D9D9D9"/>
      <w:tabs>
        <w:tab w:val="left" w:pos="992"/>
      </w:tabs>
      <w:ind w:left="119" w:right="119"/>
    </w:pPr>
    <w:rPr>
      <w:sz w:val="20"/>
    </w:rPr>
  </w:style>
  <w:style w:type="paragraph" w:customStyle="1" w:styleId="MarginIcons">
    <w:name w:val="Margin Icons"/>
    <w:basedOn w:val="BodyText"/>
    <w:rsid w:val="004B1D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1DA7"/>
    <w:rPr>
      <w:rFonts w:ascii="Courier New" w:hAnsi="Courier New"/>
    </w:rPr>
  </w:style>
  <w:style w:type="paragraph" w:customStyle="1" w:styleId="NoteBullet">
    <w:name w:val="Note Bullet"/>
    <w:basedOn w:val="Note"/>
    <w:rsid w:val="004B1DA7"/>
    <w:pPr>
      <w:tabs>
        <w:tab w:val="clear" w:pos="680"/>
      </w:tabs>
      <w:spacing w:before="60" w:after="60"/>
    </w:pPr>
  </w:style>
  <w:style w:type="paragraph" w:customStyle="1" w:styleId="SubHeading2">
    <w:name w:val="SubHeading2"/>
    <w:basedOn w:val="HeadingBase"/>
    <w:rsid w:val="004B1DA7"/>
    <w:pPr>
      <w:spacing w:before="240" w:after="60"/>
    </w:pPr>
    <w:rPr>
      <w:sz w:val="20"/>
    </w:rPr>
  </w:style>
  <w:style w:type="paragraph" w:customStyle="1" w:styleId="SubHeading1">
    <w:name w:val="SubHeading1"/>
    <w:basedOn w:val="HeadingBase"/>
    <w:rsid w:val="004B1DA7"/>
    <w:pPr>
      <w:spacing w:before="240" w:after="60"/>
    </w:pPr>
    <w:rPr>
      <w:color w:val="918585"/>
      <w:sz w:val="22"/>
    </w:rPr>
  </w:style>
  <w:style w:type="paragraph" w:customStyle="1" w:styleId="SideHeading">
    <w:name w:val="Side Heading"/>
    <w:basedOn w:val="HeadingBase"/>
    <w:rsid w:val="004B1D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1DA7"/>
    <w:pPr>
      <w:numPr>
        <w:numId w:val="12"/>
      </w:numPr>
    </w:pPr>
  </w:style>
  <w:style w:type="paragraph" w:styleId="PlainText">
    <w:name w:val="Plain Text"/>
    <w:basedOn w:val="Normal"/>
    <w:link w:val="PlainTextChar"/>
    <w:rsid w:val="004B1DA7"/>
    <w:rPr>
      <w:sz w:val="20"/>
    </w:rPr>
  </w:style>
  <w:style w:type="character" w:customStyle="1" w:styleId="PlainTextChar">
    <w:name w:val="Plain Text Char"/>
    <w:basedOn w:val="DefaultParagraphFont"/>
    <w:link w:val="PlainText"/>
    <w:rsid w:val="004B1D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1DA7"/>
    <w:rPr>
      <w:b/>
      <w:smallCaps/>
    </w:rPr>
  </w:style>
  <w:style w:type="paragraph" w:customStyle="1" w:styleId="TableListNumber">
    <w:name w:val="Table List Number"/>
    <w:basedOn w:val="ListNumber"/>
    <w:rsid w:val="004B1DA7"/>
    <w:pPr>
      <w:numPr>
        <w:numId w:val="0"/>
      </w:numPr>
    </w:pPr>
  </w:style>
  <w:style w:type="paragraph" w:styleId="TOC4">
    <w:name w:val="toc 4"/>
    <w:basedOn w:val="TOCBase"/>
    <w:next w:val="Normal"/>
    <w:semiHidden/>
    <w:rsid w:val="004B1DA7"/>
    <w:pPr>
      <w:tabs>
        <w:tab w:val="right" w:leader="dot" w:pos="9071"/>
      </w:tabs>
      <w:ind w:left="1701"/>
    </w:pPr>
  </w:style>
  <w:style w:type="paragraph" w:customStyle="1" w:styleId="ListAlpha">
    <w:name w:val="List Alpha"/>
    <w:basedOn w:val="List"/>
    <w:rsid w:val="004B1DA7"/>
    <w:pPr>
      <w:numPr>
        <w:numId w:val="9"/>
      </w:numPr>
    </w:pPr>
  </w:style>
  <w:style w:type="paragraph" w:customStyle="1" w:styleId="ListAlpha2">
    <w:name w:val="List Alpha 2"/>
    <w:basedOn w:val="List2"/>
    <w:rsid w:val="004B1DA7"/>
    <w:pPr>
      <w:numPr>
        <w:numId w:val="8"/>
      </w:numPr>
    </w:pPr>
  </w:style>
  <w:style w:type="paragraph" w:styleId="List2">
    <w:name w:val="List 2"/>
    <w:basedOn w:val="BodyText"/>
    <w:rsid w:val="004B1DA7"/>
    <w:pPr>
      <w:tabs>
        <w:tab w:val="left" w:pos="680"/>
      </w:tabs>
      <w:spacing w:before="60" w:after="60"/>
      <w:ind w:left="680" w:hanging="340"/>
    </w:pPr>
  </w:style>
  <w:style w:type="paragraph" w:styleId="List3">
    <w:name w:val="List 3"/>
    <w:basedOn w:val="BodyText"/>
    <w:rsid w:val="004B1DA7"/>
    <w:pPr>
      <w:tabs>
        <w:tab w:val="left" w:pos="1021"/>
      </w:tabs>
      <w:spacing w:before="60" w:after="60"/>
      <w:ind w:left="1020" w:hanging="340"/>
    </w:pPr>
  </w:style>
  <w:style w:type="paragraph" w:styleId="List4">
    <w:name w:val="List 4"/>
    <w:basedOn w:val="BodyText"/>
    <w:rsid w:val="004B1DA7"/>
    <w:pPr>
      <w:tabs>
        <w:tab w:val="left" w:pos="1361"/>
      </w:tabs>
      <w:spacing w:before="60" w:after="60"/>
      <w:ind w:left="1361" w:hanging="340"/>
    </w:pPr>
  </w:style>
  <w:style w:type="paragraph" w:styleId="List5">
    <w:name w:val="List 5"/>
    <w:basedOn w:val="BodyText"/>
    <w:rsid w:val="004B1DA7"/>
    <w:pPr>
      <w:tabs>
        <w:tab w:val="left" w:pos="1701"/>
      </w:tabs>
      <w:spacing w:before="60" w:after="60"/>
      <w:ind w:left="1701" w:hanging="340"/>
    </w:pPr>
  </w:style>
  <w:style w:type="paragraph" w:styleId="ListBullet3">
    <w:name w:val="List Bullet 3"/>
    <w:basedOn w:val="List3"/>
    <w:rsid w:val="004B1DA7"/>
    <w:pPr>
      <w:numPr>
        <w:numId w:val="15"/>
      </w:numPr>
      <w:tabs>
        <w:tab w:val="clear" w:pos="1021"/>
      </w:tabs>
      <w:ind w:left="1037" w:hanging="357"/>
    </w:pPr>
  </w:style>
  <w:style w:type="paragraph" w:styleId="ListBullet4">
    <w:name w:val="List Bullet 4"/>
    <w:basedOn w:val="List4"/>
    <w:rsid w:val="004B1DA7"/>
    <w:pPr>
      <w:numPr>
        <w:numId w:val="3"/>
      </w:numPr>
    </w:pPr>
  </w:style>
  <w:style w:type="paragraph" w:styleId="ListBullet5">
    <w:name w:val="List Bullet 5"/>
    <w:basedOn w:val="List5"/>
    <w:rsid w:val="004B1DA7"/>
    <w:pPr>
      <w:numPr>
        <w:numId w:val="4"/>
      </w:numPr>
    </w:pPr>
  </w:style>
  <w:style w:type="paragraph" w:styleId="ListContinue2">
    <w:name w:val="List Continue 2"/>
    <w:basedOn w:val="List2"/>
    <w:rsid w:val="004B1DA7"/>
    <w:pPr>
      <w:ind w:firstLine="0"/>
    </w:pPr>
  </w:style>
  <w:style w:type="paragraph" w:styleId="ListContinue3">
    <w:name w:val="List Continue 3"/>
    <w:basedOn w:val="List3"/>
    <w:rsid w:val="004B1DA7"/>
    <w:pPr>
      <w:ind w:left="1021" w:firstLine="0"/>
    </w:pPr>
  </w:style>
  <w:style w:type="paragraph" w:styleId="ListContinue4">
    <w:name w:val="List Continue 4"/>
    <w:basedOn w:val="List4"/>
    <w:rsid w:val="004B1DA7"/>
    <w:pPr>
      <w:ind w:firstLine="0"/>
    </w:pPr>
  </w:style>
  <w:style w:type="paragraph" w:styleId="ListContinue5">
    <w:name w:val="List Continue 5"/>
    <w:basedOn w:val="List5"/>
    <w:rsid w:val="004B1DA7"/>
    <w:pPr>
      <w:ind w:firstLine="0"/>
    </w:pPr>
  </w:style>
  <w:style w:type="paragraph" w:styleId="ListNumber3">
    <w:name w:val="List Number 3"/>
    <w:basedOn w:val="List3"/>
    <w:rsid w:val="004B1DA7"/>
    <w:pPr>
      <w:numPr>
        <w:numId w:val="5"/>
      </w:numPr>
    </w:pPr>
  </w:style>
  <w:style w:type="paragraph" w:styleId="ListNumber4">
    <w:name w:val="List Number 4"/>
    <w:basedOn w:val="List4"/>
    <w:rsid w:val="004B1DA7"/>
    <w:pPr>
      <w:numPr>
        <w:numId w:val="6"/>
      </w:numPr>
    </w:pPr>
  </w:style>
  <w:style w:type="paragraph" w:styleId="ListNumber5">
    <w:name w:val="List Number 5"/>
    <w:basedOn w:val="List5"/>
    <w:rsid w:val="004B1DA7"/>
    <w:pPr>
      <w:numPr>
        <w:numId w:val="7"/>
      </w:numPr>
    </w:pPr>
  </w:style>
  <w:style w:type="paragraph" w:styleId="BlockText">
    <w:name w:val="Block Text"/>
    <w:basedOn w:val="Normal"/>
    <w:rsid w:val="004B1DA7"/>
    <w:pPr>
      <w:spacing w:after="120"/>
      <w:ind w:left="1440" w:right="1440"/>
    </w:pPr>
  </w:style>
  <w:style w:type="character" w:customStyle="1" w:styleId="Subscript">
    <w:name w:val="Subscript"/>
    <w:basedOn w:val="DefaultParagraphFont"/>
    <w:rsid w:val="004B1DA7"/>
    <w:rPr>
      <w:sz w:val="16"/>
      <w:vertAlign w:val="subscript"/>
    </w:rPr>
  </w:style>
  <w:style w:type="character" w:customStyle="1" w:styleId="Superscript">
    <w:name w:val="Superscript"/>
    <w:basedOn w:val="DefaultParagraphFont"/>
    <w:rsid w:val="004B1DA7"/>
    <w:rPr>
      <w:sz w:val="16"/>
      <w:vertAlign w:val="superscript"/>
    </w:rPr>
  </w:style>
  <w:style w:type="character" w:customStyle="1" w:styleId="Symbols">
    <w:name w:val="Symbols"/>
    <w:basedOn w:val="DefaultParagraphFont"/>
    <w:rsid w:val="004B1DA7"/>
    <w:rPr>
      <w:rFonts w:ascii="Symbol" w:hAnsi="Symbol"/>
    </w:rPr>
  </w:style>
  <w:style w:type="character" w:customStyle="1" w:styleId="MenuOptions">
    <w:name w:val="Menu Options"/>
    <w:basedOn w:val="DefaultParagraphFont"/>
    <w:rsid w:val="004B1DA7"/>
    <w:rPr>
      <w:rFonts w:ascii="Arial Narrow" w:hAnsi="Arial Narrow"/>
      <w:smallCaps/>
    </w:rPr>
  </w:style>
  <w:style w:type="character" w:customStyle="1" w:styleId="Buttons">
    <w:name w:val="Buttons"/>
    <w:basedOn w:val="DefaultParagraphFont"/>
    <w:rsid w:val="004B1DA7"/>
    <w:rPr>
      <w:b/>
    </w:rPr>
  </w:style>
  <w:style w:type="character" w:customStyle="1" w:styleId="Underlined">
    <w:name w:val="Underlined"/>
    <w:basedOn w:val="DefaultParagraphFont"/>
    <w:rsid w:val="004B1DA7"/>
    <w:rPr>
      <w:u w:val="single"/>
    </w:rPr>
  </w:style>
  <w:style w:type="paragraph" w:customStyle="1" w:styleId="TableBodyTextRight">
    <w:name w:val="Table Body Text Right"/>
    <w:basedOn w:val="TableBodyText"/>
    <w:rsid w:val="004B1DA7"/>
    <w:pPr>
      <w:widowControl w:val="0"/>
      <w:autoSpaceDE w:val="0"/>
      <w:autoSpaceDN w:val="0"/>
      <w:adjustRightInd w:val="0"/>
      <w:jc w:val="right"/>
    </w:pPr>
    <w:rPr>
      <w:rFonts w:cs="Arial"/>
      <w:szCs w:val="18"/>
    </w:rPr>
  </w:style>
  <w:style w:type="paragraph" w:customStyle="1" w:styleId="CopyrightText">
    <w:name w:val="Copyright Text"/>
    <w:basedOn w:val="BodyText"/>
    <w:rsid w:val="004B1DA7"/>
    <w:rPr>
      <w:sz w:val="18"/>
    </w:rPr>
  </w:style>
  <w:style w:type="paragraph" w:customStyle="1" w:styleId="BodySmallRight">
    <w:name w:val="Body Small Right"/>
    <w:basedOn w:val="BodyTextRight"/>
    <w:rsid w:val="004B1DA7"/>
    <w:rPr>
      <w:sz w:val="18"/>
      <w:szCs w:val="18"/>
    </w:rPr>
  </w:style>
  <w:style w:type="paragraph" w:customStyle="1" w:styleId="MarginEdition">
    <w:name w:val="Margin Edition"/>
    <w:basedOn w:val="MarginNote"/>
    <w:rsid w:val="004B1DA7"/>
    <w:pPr>
      <w:spacing w:before="0" w:after="0"/>
    </w:pPr>
    <w:rPr>
      <w:rFonts w:ascii="Times New Roman" w:hAnsi="Times New Roman"/>
      <w:color w:val="999999"/>
    </w:rPr>
  </w:style>
  <w:style w:type="paragraph" w:customStyle="1" w:styleId="Spacer">
    <w:name w:val="Spacer"/>
    <w:basedOn w:val="Normal"/>
    <w:rsid w:val="004B1DA7"/>
    <w:rPr>
      <w:sz w:val="2"/>
      <w:szCs w:val="2"/>
    </w:rPr>
  </w:style>
  <w:style w:type="character" w:customStyle="1" w:styleId="Small">
    <w:name w:val="Small"/>
    <w:basedOn w:val="DefaultParagraphFont"/>
    <w:rsid w:val="004B1DA7"/>
    <w:rPr>
      <w:sz w:val="16"/>
    </w:rPr>
  </w:style>
  <w:style w:type="paragraph" w:customStyle="1" w:styleId="WideTable">
    <w:name w:val="Wide Table"/>
    <w:basedOn w:val="Normal"/>
    <w:rsid w:val="004B1DA7"/>
    <w:pPr>
      <w:ind w:left="-1418"/>
    </w:pPr>
    <w:rPr>
      <w:sz w:val="2"/>
      <w:szCs w:val="2"/>
    </w:rPr>
  </w:style>
  <w:style w:type="character" w:styleId="PageNumber">
    <w:name w:val="page number"/>
    <w:basedOn w:val="DefaultParagraphFont"/>
    <w:rsid w:val="004B1DA7"/>
  </w:style>
  <w:style w:type="paragraph" w:styleId="Quote">
    <w:name w:val="Quote"/>
    <w:basedOn w:val="Heading1"/>
    <w:link w:val="QuoteChar"/>
    <w:qFormat/>
    <w:rsid w:val="004B1DA7"/>
    <w:rPr>
      <w:b w:val="0"/>
      <w:sz w:val="72"/>
      <w:szCs w:val="72"/>
      <w:lang w:val="en-NZ"/>
    </w:rPr>
  </w:style>
  <w:style w:type="character" w:customStyle="1" w:styleId="QuoteChar">
    <w:name w:val="Quote Char"/>
    <w:basedOn w:val="DefaultParagraphFont"/>
    <w:link w:val="Quote"/>
    <w:rsid w:val="004B1D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1DA7"/>
    <w:pPr>
      <w:pageBreakBefore/>
    </w:pPr>
  </w:style>
  <w:style w:type="paragraph" w:customStyle="1" w:styleId="Border">
    <w:name w:val="Border"/>
    <w:basedOn w:val="Normal"/>
    <w:qFormat/>
    <w:rsid w:val="004B1D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1DA7"/>
    <w:rPr>
      <w:b/>
      <w:bCs/>
      <w:i/>
      <w:iCs/>
      <w:color w:val="auto"/>
    </w:rPr>
  </w:style>
  <w:style w:type="paragraph" w:styleId="IntenseQuote">
    <w:name w:val="Intense Quote"/>
    <w:basedOn w:val="Normal"/>
    <w:next w:val="Normal"/>
    <w:link w:val="IntenseQuoteChar"/>
    <w:uiPriority w:val="30"/>
    <w:qFormat/>
    <w:rsid w:val="004B1D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1D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1DA7"/>
    <w:rPr>
      <w:smallCaps/>
      <w:color w:val="auto"/>
      <w:u w:val="single"/>
    </w:rPr>
  </w:style>
  <w:style w:type="character" w:styleId="IntenseReference">
    <w:name w:val="Intense Reference"/>
    <w:basedOn w:val="DefaultParagraphFont"/>
    <w:uiPriority w:val="32"/>
    <w:qFormat/>
    <w:rsid w:val="004B1DA7"/>
    <w:rPr>
      <w:b/>
      <w:bCs/>
      <w:smallCaps/>
      <w:color w:val="auto"/>
      <w:spacing w:val="5"/>
      <w:u w:val="single"/>
    </w:rPr>
  </w:style>
  <w:style w:type="paragraph" w:customStyle="1" w:styleId="2ColumnHeading">
    <w:name w:val="2Column Heading"/>
    <w:basedOn w:val="BodyText"/>
    <w:qFormat/>
    <w:rsid w:val="004B1DA7"/>
    <w:pPr>
      <w:spacing w:after="60"/>
      <w:ind w:left="-2268"/>
    </w:pPr>
    <w:rPr>
      <w:b/>
    </w:rPr>
  </w:style>
  <w:style w:type="paragraph" w:customStyle="1" w:styleId="Heading1TOC">
    <w:name w:val="Heading1 TOC"/>
    <w:basedOn w:val="Normal"/>
    <w:qFormat/>
    <w:rsid w:val="004B1DA7"/>
    <w:pPr>
      <w:spacing w:before="240" w:after="120"/>
    </w:pPr>
    <w:rPr>
      <w:rFonts w:ascii="Times New Roman" w:hAnsi="Times New Roman"/>
      <w:b/>
      <w:sz w:val="32"/>
    </w:rPr>
  </w:style>
  <w:style w:type="paragraph" w:customStyle="1" w:styleId="Heading2TOC">
    <w:name w:val="Heading2 TOC"/>
    <w:basedOn w:val="Normal"/>
    <w:qFormat/>
    <w:rsid w:val="004B1DA7"/>
    <w:pPr>
      <w:spacing w:before="240" w:after="60"/>
    </w:pPr>
    <w:rPr>
      <w:rFonts w:ascii="Times New Roman" w:hAnsi="Times New Roman"/>
      <w:b/>
      <w:sz w:val="28"/>
    </w:rPr>
  </w:style>
  <w:style w:type="character" w:customStyle="1" w:styleId="Underline">
    <w:name w:val="Underline"/>
    <w:basedOn w:val="DefaultParagraphFont"/>
    <w:qFormat/>
    <w:rsid w:val="004B1DA7"/>
    <w:rPr>
      <w:u w:val="single"/>
    </w:rPr>
  </w:style>
  <w:style w:type="paragraph" w:styleId="BalloonText">
    <w:name w:val="Balloon Text"/>
    <w:basedOn w:val="Normal"/>
    <w:link w:val="BalloonTextChar"/>
    <w:rsid w:val="004B1DA7"/>
    <w:rPr>
      <w:rFonts w:ascii="Tahoma" w:hAnsi="Tahoma" w:cs="Tahoma"/>
      <w:sz w:val="16"/>
      <w:szCs w:val="16"/>
    </w:rPr>
  </w:style>
  <w:style w:type="character" w:customStyle="1" w:styleId="BalloonTextChar">
    <w:name w:val="Balloon Text Char"/>
    <w:basedOn w:val="DefaultParagraphFont"/>
    <w:link w:val="BalloonText"/>
    <w:rsid w:val="004B1D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1D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1D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1292</Words>
  <Characters>8415</Characters>
  <Application>Microsoft Office Word</Application>
  <DocSecurity>0</DocSecurity>
  <Lines>291</Lines>
  <Paragraphs>181</Paragraphs>
  <ScaleCrop>false</ScaleCrop>
  <Company>Author-it Software Corporation Ltd.</Company>
  <LinksUpToDate>false</LinksUpToDate>
  <CharactersWithSpaces>9630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FNSILF506A Manage group life insurance claims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2012-05-26T16:24:00Z</dcterms:created>
  <dcterms:modified xsi:type="dcterms:W3CDTF">2012-05-26T16:24:00Z</dcterms:modified>
</cp:coreProperties>
</file>