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AA4" w:rsidP="00B55AA4">
      <w:pPr>
        <w:pStyle w:val="Title"/>
      </w:pPr>
      <w:r>
        <w:fldChar w:fldCharType="begin"/>
      </w:r>
      <w:r>
        <w:instrText xml:space="preserve"> TITLE   \* MERGEFORMAT </w:instrText>
      </w:r>
      <w:r>
        <w:fldChar w:fldCharType="separate"/>
      </w:r>
      <w:r>
        <w:t>FNSILF402A Settle policy payments and terminations</w:t>
      </w:r>
      <w:r>
        <w:fldChar w:fldCharType="end"/>
      </w:r>
    </w:p>
    <w:p w:rsidR="00B55AA4" w:rsidP="00B55AA4">
      <w:pPr>
        <w:pStyle w:val="Version"/>
        <w:sectPr w:rsidSect="000041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41C2" w:rsidP="000041C2">
      <w:pPr>
        <w:pStyle w:val="SuperHeading"/>
      </w:pPr>
      <w:r w:rsidRPr="000041C2">
        <w:t>FNSILF402A Settle policy payments and terminations</w:t>
      </w:r>
    </w:p>
    <w:p w:rsidR="00000000" w:rsidRPr="000041C2" w:rsidP="000041C2">
      <w:pPr>
        <w:pStyle w:val="SuperHeading"/>
      </w:pPr>
    </w:p>
    <w:p w:rsidR="00000000" w:rsidRPr="000041C2" w:rsidP="000041C2">
      <w:pPr>
        <w:pStyle w:val="Heading1"/>
      </w:pPr>
      <w:bookmarkStart w:id="1" w:name="O_79263"/>
      <w:bookmarkEnd w:id="1"/>
      <w:r w:rsidRPr="000041C2">
        <w:t>Modification History</w:t>
      </w:r>
    </w:p>
    <w:p w:rsidR="00000000" w:rsidRPr="000041C2" w:rsidP="000041C2">
      <w:pPr>
        <w:pStyle w:val="BodyText"/>
      </w:pPr>
      <w:r w:rsidRPr="000041C2">
        <w:t>Not applicable.</w:t>
      </w:r>
    </w:p>
    <w:p w:rsidR="00000000" w:rsidRPr="000041C2" w:rsidP="000041C2">
      <w:pPr>
        <w:pStyle w:val="AllowPageBreak"/>
      </w:pPr>
    </w:p>
    <w:p w:rsidR="00000000" w:rsidRPr="000041C2" w:rsidP="000041C2">
      <w:pPr>
        <w:pStyle w:val="Heading1"/>
      </w:pPr>
      <w:bookmarkStart w:id="2" w:name="O_79264"/>
      <w:bookmarkEnd w:id="2"/>
      <w:r w:rsidRPr="000041C2">
        <w:t>Unit Descriptor</w:t>
      </w:r>
    </w:p>
    <w:tbl>
      <w:tblPr>
        <w:tblW w:w="0" w:type="auto"/>
        <w:tblLayout w:type="fixed"/>
        <w:tblCellMar>
          <w:left w:w="62" w:type="dxa"/>
          <w:right w:w="62" w:type="dxa"/>
        </w:tblCellMar>
        <w:tblLook w:val="0000"/>
      </w:tblPr>
      <w:tblGrid>
        <w:gridCol w:w="2647"/>
        <w:gridCol w:w="5875"/>
      </w:tblGrid>
      <w:tr w:rsidTr="00B55AA4">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r w:rsidRPr="000041C2">
              <w:t>This unit descri</w:t>
            </w:r>
            <w:r w:rsidRPr="000041C2">
              <w:t>bes the performance outcomes, skills and knowledge required to settle payments and terminations on life insurance policies.</w:t>
            </w:r>
          </w:p>
          <w:p w:rsidR="00000000" w:rsidRPr="000041C2" w:rsidP="000041C2">
            <w:pPr>
              <w:pStyle w:val="BodyText"/>
            </w:pPr>
          </w:p>
          <w:p w:rsidR="00000000" w:rsidRPr="000041C2" w:rsidP="000041C2">
            <w:pPr>
              <w:pStyle w:val="BodyText"/>
            </w:pPr>
            <w:r w:rsidRPr="000041C2">
              <w:t>This unit is applicable to individuals working within enterprises and job roles subject to licensing, legislative, regulatory or ce</w:t>
            </w:r>
            <w:r w:rsidRPr="000041C2">
              <w:t>rtification requirements including legislation administered by the Australian Securities and Investments Commission (ASIC).</w:t>
            </w:r>
          </w:p>
        </w:tc>
      </w:tr>
    </w:tbl>
    <w:p w:rsidR="00000000" w:rsidRPr="000041C2" w:rsidP="000041C2">
      <w:pPr>
        <w:pStyle w:val="BodyText"/>
      </w:pPr>
    </w:p>
    <w:p w:rsidR="00000000" w:rsidRPr="000041C2" w:rsidP="000041C2">
      <w:pPr>
        <w:pStyle w:val="AllowPageBreak"/>
      </w:pPr>
    </w:p>
    <w:p w:rsidR="00000000" w:rsidRPr="000041C2" w:rsidP="000041C2">
      <w:pPr>
        <w:pStyle w:val="Heading1"/>
      </w:pPr>
      <w:bookmarkStart w:id="3" w:name="O_79265"/>
      <w:bookmarkEnd w:id="3"/>
      <w:r w:rsidRPr="000041C2">
        <w:t>Application of the Unit</w:t>
      </w:r>
    </w:p>
    <w:tbl>
      <w:tblPr>
        <w:tblW w:w="0" w:type="auto"/>
        <w:tblLayout w:type="fixed"/>
        <w:tblCellMar>
          <w:left w:w="62" w:type="dxa"/>
          <w:right w:w="62" w:type="dxa"/>
        </w:tblCellMar>
        <w:tblLook w:val="0000"/>
      </w:tblPr>
      <w:tblGrid>
        <w:gridCol w:w="2721"/>
        <w:gridCol w:w="5801"/>
      </w:tblGrid>
      <w:tr w:rsidTr="00B55AA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r w:rsidRPr="000041C2">
              <w:t>This unit applies to job roles within the specialist area of life insurance and may be applied within organisations of various sizes and across a range of customer bases.</w:t>
            </w:r>
          </w:p>
        </w:tc>
      </w:tr>
    </w:tbl>
    <w:p w:rsidR="00000000" w:rsidRPr="000041C2" w:rsidP="000041C2">
      <w:pPr>
        <w:pStyle w:val="BodyText"/>
      </w:pPr>
    </w:p>
    <w:p w:rsidR="00000000" w:rsidRPr="000041C2" w:rsidP="000041C2">
      <w:pPr>
        <w:pStyle w:val="AllowPageBreak"/>
      </w:pPr>
    </w:p>
    <w:p w:rsidR="00000000" w:rsidRPr="000041C2" w:rsidP="000041C2">
      <w:pPr>
        <w:pStyle w:val="Heading1"/>
      </w:pPr>
      <w:bookmarkStart w:id="4" w:name="O_79266"/>
      <w:bookmarkEnd w:id="4"/>
      <w:r w:rsidRPr="000041C2">
        <w:t>Licensing/Regulatory Information</w:t>
      </w:r>
    </w:p>
    <w:p w:rsidR="00000000" w:rsidRPr="000041C2" w:rsidP="000041C2">
      <w:pPr>
        <w:pStyle w:val="BodyText"/>
      </w:pPr>
      <w:r w:rsidRPr="000041C2">
        <w:t>Not applicable.</w:t>
      </w:r>
    </w:p>
    <w:p w:rsidR="00000000" w:rsidRPr="000041C2" w:rsidP="000041C2">
      <w:pPr>
        <w:pStyle w:val="AllowPageBreak"/>
      </w:pPr>
    </w:p>
    <w:p w:rsidR="00000000" w:rsidRPr="000041C2" w:rsidP="000041C2">
      <w:pPr>
        <w:pStyle w:val="Heading1"/>
      </w:pPr>
      <w:bookmarkStart w:id="5" w:name="O_79268"/>
      <w:bookmarkEnd w:id="5"/>
      <w:r w:rsidRPr="000041C2">
        <w:t>Pre-</w:t>
      </w:r>
      <w:r w:rsidRPr="000041C2">
        <w:t>Requisites</w:t>
      </w:r>
    </w:p>
    <w:tbl>
      <w:tblPr>
        <w:tblW w:w="0" w:type="auto"/>
        <w:tblLayout w:type="fixed"/>
        <w:tblCellMar>
          <w:left w:w="62" w:type="dxa"/>
          <w:right w:w="62" w:type="dxa"/>
        </w:tblCellMar>
        <w:tblLook w:val="0000"/>
      </w:tblPr>
      <w:tblGrid>
        <w:gridCol w:w="2745"/>
        <w:gridCol w:w="1301"/>
        <w:gridCol w:w="4476"/>
      </w:tblGrid>
      <w:tr w:rsidTr="00B55AA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p>
        </w:tc>
      </w:tr>
      <w:tr w:rsidTr="00B55AA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p>
        </w:tc>
      </w:tr>
      <w:tr w:rsidTr="00B55AA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p>
        </w:tc>
      </w:tr>
    </w:tbl>
    <w:p w:rsidR="00000000" w:rsidRPr="000041C2" w:rsidP="000041C2">
      <w:pPr>
        <w:pStyle w:val="BodyText"/>
      </w:pPr>
    </w:p>
    <w:p w:rsidR="00000000" w:rsidRPr="000041C2" w:rsidP="000041C2">
      <w:pPr>
        <w:pStyle w:val="AllowPageBreak"/>
      </w:pPr>
    </w:p>
    <w:p w:rsidR="00000000" w:rsidRPr="000041C2" w:rsidP="000041C2">
      <w:pPr>
        <w:pStyle w:val="Heading1"/>
      </w:pPr>
      <w:bookmarkStart w:id="6" w:name="O_79267"/>
      <w:bookmarkEnd w:id="6"/>
      <w:r w:rsidRPr="000041C2">
        <w:t>Employability Skills Information</w:t>
      </w:r>
    </w:p>
    <w:tbl>
      <w:tblPr>
        <w:tblW w:w="0" w:type="auto"/>
        <w:tblLayout w:type="fixed"/>
        <w:tblCellMar>
          <w:left w:w="62" w:type="dxa"/>
          <w:right w:w="62" w:type="dxa"/>
        </w:tblCellMar>
        <w:tblLook w:val="0000"/>
      </w:tblPr>
      <w:tblGrid>
        <w:gridCol w:w="2762"/>
        <w:gridCol w:w="5760"/>
      </w:tblGrid>
      <w:tr w:rsidTr="00B55AA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r w:rsidRPr="000041C2">
              <w:t>This unit contains employability skills.</w:t>
            </w:r>
          </w:p>
        </w:tc>
      </w:tr>
    </w:tbl>
    <w:p w:rsidR="00000000" w:rsidRPr="000041C2" w:rsidP="000041C2">
      <w:pPr>
        <w:pStyle w:val="BodyText"/>
      </w:pPr>
    </w:p>
    <w:p w:rsidR="00000000" w:rsidRPr="000041C2" w:rsidP="000041C2">
      <w:pPr>
        <w:pStyle w:val="AllowPageBreak"/>
      </w:pPr>
    </w:p>
    <w:p w:rsidR="00000000" w:rsidRPr="000041C2" w:rsidP="000041C2">
      <w:pPr>
        <w:pStyle w:val="Heading1"/>
      </w:pPr>
      <w:bookmarkStart w:id="7" w:name="O_79269"/>
      <w:bookmarkEnd w:id="7"/>
      <w:r w:rsidRPr="000041C2">
        <w:t>Elements and Performance Criteria Pre-Content</w:t>
      </w:r>
    </w:p>
    <w:tbl>
      <w:tblPr>
        <w:tblW w:w="0" w:type="auto"/>
        <w:tblLayout w:type="fixed"/>
        <w:tblCellMar>
          <w:left w:w="62" w:type="dxa"/>
          <w:right w:w="62" w:type="dxa"/>
        </w:tblCellMar>
        <w:tblLook w:val="0000"/>
      </w:tblPr>
      <w:tblGrid>
        <w:gridCol w:w="2572"/>
        <w:gridCol w:w="5950"/>
      </w:tblGrid>
      <w:tr w:rsidTr="00B55A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r w:rsidRPr="000041C2">
              <w:t>Performance criteria describe the performance needed to demonstrate achievement of the element. Where bold italicised text is used, further information is detailed in the required skills and</w:t>
            </w:r>
            <w:r w:rsidRPr="000041C2">
              <w:t xml:space="preserve"> knowledge section and the range statement. Assessment of performance is to be consistent with the evidence guide.</w:t>
            </w:r>
          </w:p>
        </w:tc>
      </w:tr>
    </w:tbl>
    <w:p w:rsidR="00000000" w:rsidRPr="000041C2" w:rsidP="000041C2">
      <w:pPr>
        <w:pStyle w:val="BodyText"/>
      </w:pPr>
    </w:p>
    <w:p w:rsidR="00000000" w:rsidRPr="000041C2" w:rsidP="000041C2">
      <w:pPr>
        <w:pStyle w:val="AllowPageBreak"/>
      </w:pPr>
    </w:p>
    <w:p w:rsidR="00000000" w:rsidRPr="000041C2" w:rsidP="000041C2">
      <w:pPr>
        <w:pStyle w:val="Heading1"/>
      </w:pPr>
      <w:bookmarkStart w:id="8" w:name="O_79270"/>
      <w:bookmarkEnd w:id="8"/>
      <w:r w:rsidRPr="000041C2">
        <w:t>Elements and Performance Criteria</w:t>
      </w:r>
    </w:p>
    <w:tbl>
      <w:tblPr>
        <w:tblW w:w="0" w:type="auto"/>
        <w:tblLayout w:type="fixed"/>
        <w:tblCellMar>
          <w:left w:w="62" w:type="dxa"/>
          <w:right w:w="62" w:type="dxa"/>
        </w:tblCellMar>
        <w:tblLook w:val="0000"/>
      </w:tblPr>
      <w:tblGrid>
        <w:gridCol w:w="2572"/>
        <w:gridCol w:w="5950"/>
      </w:tblGrid>
      <w:tr w:rsidTr="00B55AA4">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r w:rsidRPr="000041C2">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PERFORMANCE CRITERIA</w:t>
            </w:r>
          </w:p>
        </w:tc>
      </w:tr>
      <w:tr w:rsidTr="00B55A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List"/>
              <w:rPr>
                <w:lang w:val="en-NZ"/>
              </w:rPr>
            </w:pPr>
            <w:r w:rsidRPr="000041C2">
              <w:t>1.</w:t>
            </w:r>
            <w:r w:rsidRPr="000041C2">
              <w:tab/>
              <w:t>Determine validation criteria</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2"/>
            </w:pPr>
            <w:r w:rsidRPr="000041C2">
              <w:t>1.1.</w:t>
            </w:r>
            <w:r w:rsidRPr="000041C2">
              <w:tab/>
            </w:r>
            <w:r w:rsidRPr="000041C2">
              <w:rPr>
                <w:rStyle w:val="BoldandItalics"/>
              </w:rPr>
              <w:t>Product type</w:t>
            </w:r>
            <w:r w:rsidRPr="000041C2">
              <w:t xml:space="preserve"> is identified so that payment criteria can be determined and the payment or termination processed accordingly</w:t>
            </w:r>
          </w:p>
          <w:p w:rsidR="00000000" w:rsidP="000041C2">
            <w:pPr>
              <w:pStyle w:val="List2"/>
              <w:rPr>
                <w:lang w:val="en-NZ"/>
              </w:rPr>
            </w:pPr>
            <w:r w:rsidRPr="000041C2">
              <w:t>1.2.</w:t>
            </w:r>
            <w:r w:rsidRPr="000041C2">
              <w:tab/>
            </w:r>
            <w:r w:rsidRPr="000041C2">
              <w:rPr>
                <w:rStyle w:val="BoldandItalics"/>
              </w:rPr>
              <w:t>Payment criteria</w:t>
            </w:r>
            <w:r w:rsidRPr="000041C2">
              <w:t xml:space="preserve"> are established to ensure compliance with the </w:t>
            </w:r>
            <w:r w:rsidRPr="000041C2">
              <w:rPr>
                <w:rStyle w:val="BoldandItalics"/>
              </w:rPr>
              <w:t>terms and conditions of the contract</w:t>
            </w:r>
          </w:p>
        </w:tc>
      </w:tr>
      <w:tr w:rsidTr="00B55A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List"/>
              <w:rPr>
                <w:lang w:val="en-NZ"/>
              </w:rPr>
            </w:pPr>
            <w:r w:rsidRPr="000041C2">
              <w:t>2.</w:t>
            </w:r>
            <w:r w:rsidRPr="000041C2">
              <w:tab/>
              <w:t>Compile necessary documentation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2"/>
            </w:pPr>
            <w:r w:rsidRPr="000041C2">
              <w:t>2.1.</w:t>
            </w:r>
            <w:r w:rsidRPr="000041C2">
              <w:tab/>
              <w:t xml:space="preserve">Requests are classified according to established payment criteria and required evidence is obtained from </w:t>
            </w:r>
            <w:r w:rsidRPr="000041C2">
              <w:rPr>
                <w:rStyle w:val="BoldandItalics"/>
              </w:rPr>
              <w:t>appropriate parties</w:t>
            </w:r>
            <w:r w:rsidRPr="000041C2">
              <w:t xml:space="preserve"> to confirm that the request complies with the terms and conditions of the policy</w:t>
            </w:r>
          </w:p>
          <w:p w:rsidR="00000000" w:rsidP="000041C2">
            <w:pPr>
              <w:pStyle w:val="List2"/>
              <w:rPr>
                <w:lang w:val="en-NZ"/>
              </w:rPr>
            </w:pPr>
            <w:r w:rsidRPr="000041C2">
              <w:t>2.2.</w:t>
            </w:r>
            <w:r w:rsidRPr="000041C2">
              <w:tab/>
              <w:t xml:space="preserve">Required forms and </w:t>
            </w:r>
            <w:r w:rsidRPr="000041C2">
              <w:rPr>
                <w:rStyle w:val="BoldandItalics"/>
              </w:rPr>
              <w:t>documents</w:t>
            </w:r>
            <w:r w:rsidRPr="000041C2">
              <w:t xml:space="preserve"> are completed a</w:t>
            </w:r>
            <w:r w:rsidRPr="000041C2">
              <w:t>nd distributed in accordance with legislation, organisation policies and procedures</w:t>
            </w:r>
          </w:p>
        </w:tc>
      </w:tr>
      <w:tr w:rsidTr="00B55A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List"/>
              <w:rPr>
                <w:lang w:val="en-NZ"/>
              </w:rPr>
            </w:pPr>
            <w:r w:rsidRPr="000041C2">
              <w:t>3.</w:t>
            </w:r>
            <w:r w:rsidRPr="000041C2">
              <w:tab/>
              <w:t>Advise customer/client of the consequences of processing the settlement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2"/>
            </w:pPr>
            <w:r w:rsidRPr="000041C2">
              <w:t>3.1.</w:t>
            </w:r>
            <w:r w:rsidRPr="000041C2">
              <w:tab/>
            </w:r>
            <w:r w:rsidRPr="000041C2">
              <w:rPr>
                <w:rStyle w:val="BoldandItalics"/>
              </w:rPr>
              <w:t>Consequences</w:t>
            </w:r>
            <w:r w:rsidRPr="000041C2">
              <w:t xml:space="preserve"> relevant to policy type are identified</w:t>
            </w:r>
          </w:p>
          <w:p w:rsidR="00000000" w:rsidRPr="000041C2" w:rsidP="000041C2">
            <w:pPr>
              <w:pStyle w:val="List2"/>
            </w:pPr>
            <w:r w:rsidRPr="000041C2">
              <w:t>3.2.</w:t>
            </w:r>
            <w:r w:rsidRPr="000041C2">
              <w:tab/>
              <w:t>Information is communicated clearl</w:t>
            </w:r>
            <w:r w:rsidRPr="000041C2">
              <w:t>y and concisely to ensure customer/client understands the consequences</w:t>
            </w:r>
          </w:p>
          <w:p w:rsidR="00000000" w:rsidP="000041C2">
            <w:pPr>
              <w:pStyle w:val="List2"/>
              <w:rPr>
                <w:lang w:val="en-NZ"/>
              </w:rPr>
            </w:pPr>
            <w:r w:rsidRPr="000041C2">
              <w:t>3.3.</w:t>
            </w:r>
            <w:r w:rsidRPr="000041C2">
              <w:tab/>
              <w:t>Result of communication is recorded and filed according to organisation procedures to ensure record is complete</w:t>
            </w:r>
          </w:p>
        </w:tc>
      </w:tr>
      <w:tr w:rsidTr="00B55A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List"/>
              <w:rPr>
                <w:lang w:val="en-NZ"/>
              </w:rPr>
            </w:pPr>
            <w:r w:rsidRPr="000041C2">
              <w:t>4.</w:t>
            </w:r>
            <w:r w:rsidRPr="000041C2">
              <w:tab/>
              <w:t>Assign validity of request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2"/>
            </w:pPr>
            <w:r w:rsidRPr="000041C2">
              <w:t>4.1.</w:t>
            </w:r>
            <w:r w:rsidRPr="000041C2">
              <w:tab/>
              <w:t xml:space="preserve">Request is </w:t>
            </w:r>
            <w:r w:rsidRPr="000041C2">
              <w:rPr>
                <w:rStyle w:val="BoldandItalics"/>
              </w:rPr>
              <w:t>validated</w:t>
            </w:r>
            <w:r w:rsidRPr="000041C2">
              <w:t xml:space="preserve"> within limits of delegated authority</w:t>
            </w:r>
          </w:p>
          <w:p w:rsidR="00000000" w:rsidP="000041C2">
            <w:pPr>
              <w:pStyle w:val="List2"/>
              <w:rPr>
                <w:lang w:val="en-NZ"/>
              </w:rPr>
            </w:pPr>
            <w:r w:rsidRPr="000041C2">
              <w:t>4.2.</w:t>
            </w:r>
            <w:r w:rsidRPr="000041C2">
              <w:tab/>
              <w:t>Decision to proceed with payment/</w:t>
            </w:r>
            <w:r w:rsidRPr="000041C2">
              <w:rPr>
                <w:rStyle w:val="BoldandItalics"/>
              </w:rPr>
              <w:t>termination</w:t>
            </w:r>
            <w:r w:rsidRPr="000041C2">
              <w:t xml:space="preserve"> of the contract is communicated to relevant parties</w:t>
            </w:r>
          </w:p>
        </w:tc>
      </w:tr>
      <w:tr w:rsidTr="00B55A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List"/>
              <w:rPr>
                <w:lang w:val="en-NZ"/>
              </w:rPr>
            </w:pPr>
            <w:r w:rsidRPr="000041C2">
              <w:t>5.</w:t>
            </w:r>
            <w:r w:rsidRPr="000041C2">
              <w:tab/>
              <w:t>Review evidence available in support of payment request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2"/>
            </w:pPr>
            <w:r w:rsidRPr="000041C2">
              <w:t>5.1.</w:t>
            </w:r>
            <w:r w:rsidRPr="000041C2">
              <w:tab/>
              <w:t>Payment criteria is established to enable complianc</w:t>
            </w:r>
            <w:r w:rsidRPr="000041C2">
              <w:t>e to be determined within the terms and conditions of the policy, legislation and regulations</w:t>
            </w:r>
          </w:p>
          <w:p w:rsidR="00000000" w:rsidRPr="000041C2" w:rsidP="000041C2">
            <w:pPr>
              <w:pStyle w:val="List2"/>
            </w:pPr>
            <w:r w:rsidRPr="000041C2">
              <w:t>5.2.</w:t>
            </w:r>
            <w:r w:rsidRPr="000041C2">
              <w:tab/>
              <w:t>Available information on the payment request is reviewed against criteria to ensure compliance</w:t>
            </w:r>
          </w:p>
          <w:p w:rsidR="00000000" w:rsidRPr="000041C2" w:rsidP="000041C2">
            <w:pPr>
              <w:pStyle w:val="List2"/>
            </w:pPr>
            <w:r w:rsidRPr="000041C2">
              <w:t>5.3.</w:t>
            </w:r>
            <w:r w:rsidRPr="000041C2">
              <w:tab/>
              <w:t>Request is assessed to determine whether terms and condit</w:t>
            </w:r>
            <w:r w:rsidRPr="000041C2">
              <w:t>ions of the policy have been met</w:t>
            </w:r>
          </w:p>
          <w:p w:rsidR="00000000" w:rsidP="000041C2">
            <w:pPr>
              <w:pStyle w:val="List2"/>
              <w:rPr>
                <w:lang w:val="en-NZ"/>
              </w:rPr>
            </w:pPr>
            <w:r w:rsidRPr="000041C2">
              <w:t>5.4.</w:t>
            </w:r>
            <w:r w:rsidRPr="000041C2">
              <w:tab/>
              <w:t>Additional opinion on the validity of the request is sought from relevant parties</w:t>
            </w:r>
          </w:p>
        </w:tc>
      </w:tr>
      <w:tr w:rsidTr="00B55A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List"/>
              <w:rPr>
                <w:lang w:val="en-NZ"/>
              </w:rPr>
            </w:pPr>
            <w:r w:rsidRPr="000041C2">
              <w:t>6.</w:t>
            </w:r>
            <w:r w:rsidRPr="000041C2">
              <w:tab/>
              <w:t>Establish liability for payment under the policy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2"/>
            </w:pPr>
            <w:r w:rsidRPr="000041C2">
              <w:t>6.1.</w:t>
            </w:r>
            <w:r w:rsidRPr="000041C2">
              <w:tab/>
              <w:t>Liability is identified in accordance with the terms and conditions of the pol</w:t>
            </w:r>
            <w:r w:rsidRPr="000041C2">
              <w:t>icy</w:t>
            </w:r>
          </w:p>
          <w:p w:rsidR="00000000" w:rsidRPr="000041C2" w:rsidP="000041C2">
            <w:pPr>
              <w:pStyle w:val="List2"/>
            </w:pPr>
            <w:r w:rsidRPr="000041C2">
              <w:t>6.2.</w:t>
            </w:r>
            <w:r w:rsidRPr="000041C2">
              <w:tab/>
              <w:t xml:space="preserve">Evidence is reviewed against the policy to determine the </w:t>
            </w:r>
            <w:r w:rsidRPr="000041C2">
              <w:rPr>
                <w:rStyle w:val="BoldandItalics"/>
              </w:rPr>
              <w:t>benefits payable</w:t>
            </w:r>
          </w:p>
          <w:p w:rsidR="00000000" w:rsidRPr="000041C2" w:rsidP="000041C2">
            <w:pPr>
              <w:pStyle w:val="List2"/>
            </w:pPr>
            <w:r w:rsidRPr="000041C2">
              <w:t>6.3.</w:t>
            </w:r>
            <w:r w:rsidRPr="000041C2">
              <w:tab/>
              <w:t>Benefits payable are accurately calculated and cross-checked according to organisation procedures</w:t>
            </w:r>
          </w:p>
          <w:p w:rsidR="00000000" w:rsidP="000041C2">
            <w:pPr>
              <w:pStyle w:val="List2"/>
              <w:rPr>
                <w:lang w:val="en-NZ"/>
              </w:rPr>
            </w:pPr>
            <w:r w:rsidRPr="000041C2">
              <w:t>6.4.</w:t>
            </w:r>
            <w:r w:rsidRPr="000041C2">
              <w:tab/>
              <w:t xml:space="preserve">Register is updated to record payment liability and if </w:t>
            </w:r>
            <w:r w:rsidRPr="000041C2">
              <w:t>appropriat</w:t>
            </w:r>
            <w:r w:rsidRPr="000041C2">
              <w:t>e, reinsurance recovery is made</w:t>
            </w:r>
          </w:p>
        </w:tc>
      </w:tr>
      <w:tr w:rsidTr="00B55AA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List"/>
              <w:rPr>
                <w:lang w:val="en-NZ"/>
              </w:rPr>
            </w:pPr>
            <w:r w:rsidRPr="000041C2">
              <w:t>7.</w:t>
            </w:r>
            <w:r w:rsidRPr="000041C2">
              <w:tab/>
              <w:t>Authorise payment where required and communicate decision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2"/>
            </w:pPr>
            <w:r w:rsidRPr="000041C2">
              <w:t>7.1.</w:t>
            </w:r>
            <w:r w:rsidRPr="000041C2">
              <w:tab/>
              <w:t>Decision on liability is promptly advised to all relevant parties</w:t>
            </w:r>
          </w:p>
          <w:p w:rsidR="00000000" w:rsidRPr="000041C2" w:rsidP="000041C2">
            <w:pPr>
              <w:pStyle w:val="List2"/>
            </w:pPr>
            <w:r w:rsidRPr="000041C2">
              <w:t>7.2.</w:t>
            </w:r>
            <w:r w:rsidRPr="000041C2">
              <w:tab/>
              <w:t>Level of payment authority is identified from organisation standards and procedures</w:t>
            </w:r>
          </w:p>
          <w:p w:rsidR="00000000" w:rsidRPr="000041C2" w:rsidP="000041C2">
            <w:pPr>
              <w:pStyle w:val="List2"/>
            </w:pPr>
            <w:r w:rsidRPr="000041C2">
              <w:t>7.</w:t>
            </w:r>
            <w:r w:rsidRPr="000041C2">
              <w:t>3.</w:t>
            </w:r>
            <w:r w:rsidRPr="000041C2">
              <w:tab/>
            </w:r>
            <w:r w:rsidRPr="000041C2">
              <w:rPr>
                <w:rStyle w:val="BoldandItalics"/>
              </w:rPr>
              <w:t>Payment</w:t>
            </w:r>
            <w:r w:rsidRPr="000041C2">
              <w:t xml:space="preserve"> details are checked for compliance with legislative and organisation requirements within delegated authority</w:t>
            </w:r>
          </w:p>
          <w:p w:rsidR="00000000" w:rsidRPr="000041C2" w:rsidP="000041C2">
            <w:pPr>
              <w:pStyle w:val="List2"/>
            </w:pPr>
            <w:r w:rsidRPr="000041C2">
              <w:t>7.4.</w:t>
            </w:r>
            <w:r w:rsidRPr="000041C2">
              <w:tab/>
              <w:t>Authorisation is confirmed and discharge obtained as appropriate</w:t>
            </w:r>
          </w:p>
        </w:tc>
      </w:tr>
    </w:tbl>
    <w:p w:rsidR="00000000" w:rsidRPr="000041C2" w:rsidP="000041C2">
      <w:pPr>
        <w:pStyle w:val="BodyText"/>
      </w:pPr>
    </w:p>
    <w:p w:rsidR="00000000" w:rsidRPr="000041C2" w:rsidP="000041C2">
      <w:pPr>
        <w:pStyle w:val="AllowPageBreak"/>
      </w:pPr>
    </w:p>
    <w:p w:rsidR="00000000" w:rsidRPr="000041C2" w:rsidP="000041C2">
      <w:pPr>
        <w:pStyle w:val="Heading1"/>
      </w:pPr>
      <w:bookmarkStart w:id="9" w:name="O_79271"/>
      <w:bookmarkEnd w:id="9"/>
      <w:r w:rsidRPr="000041C2">
        <w:t>Required Skills and Knowledge</w:t>
      </w:r>
    </w:p>
    <w:tbl>
      <w:tblPr>
        <w:tblW w:w="0" w:type="auto"/>
        <w:tblLayout w:type="fixed"/>
        <w:tblCellMar>
          <w:left w:w="62" w:type="dxa"/>
          <w:right w:w="62" w:type="dxa"/>
        </w:tblCellMar>
        <w:tblLook w:val="0000"/>
      </w:tblPr>
      <w:tblGrid>
        <w:gridCol w:w="8522"/>
      </w:tblGrid>
      <w:tr w:rsidTr="00B55A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REQUIRED SKILLS AND KNOWLEDGE</w:t>
            </w:r>
          </w:p>
        </w:tc>
      </w:tr>
      <w:tr w:rsidTr="00B55A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t>This section describes the skills and knowledge required for this unit.</w:t>
            </w:r>
          </w:p>
        </w:tc>
      </w:tr>
      <w:tr w:rsidTr="00B5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Required skills</w:t>
            </w:r>
          </w:p>
        </w:tc>
      </w:tr>
      <w:tr w:rsidTr="00B5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Bullet"/>
            </w:pPr>
            <w:r w:rsidRPr="000041C2">
              <w:t>well-developed communication skills to:</w:t>
            </w:r>
          </w:p>
          <w:p w:rsidR="00000000" w:rsidRPr="000041C2" w:rsidP="000041C2">
            <w:pPr>
              <w:pStyle w:val="ListBullet2"/>
            </w:pPr>
            <w:r w:rsidRPr="000041C2">
              <w:t>determine and confirm information, using questioning and active listening as required</w:t>
            </w:r>
          </w:p>
          <w:p w:rsidR="00000000" w:rsidRPr="000041C2" w:rsidP="000041C2">
            <w:pPr>
              <w:pStyle w:val="ListBullet2"/>
            </w:pPr>
            <w:r w:rsidRPr="000041C2">
              <w:t>liaise with others, share information, listen and understand</w:t>
            </w:r>
          </w:p>
          <w:p w:rsidR="00000000" w:rsidRPr="000041C2" w:rsidP="000041C2">
            <w:pPr>
              <w:pStyle w:val="ListBullet2"/>
            </w:pPr>
            <w:r w:rsidRPr="000041C2">
              <w:t>use language and concepts appropriate to cultural differences</w:t>
            </w:r>
          </w:p>
          <w:p w:rsidR="00000000" w:rsidRPr="000041C2" w:rsidP="000041C2">
            <w:pPr>
              <w:pStyle w:val="ListBullet"/>
            </w:pPr>
            <w:r w:rsidRPr="000041C2">
              <w:t>numeracy and IT skills to:</w:t>
            </w:r>
          </w:p>
          <w:p w:rsidR="00000000" w:rsidRPr="000041C2" w:rsidP="000041C2">
            <w:pPr>
              <w:pStyle w:val="ListBullet2"/>
            </w:pPr>
            <w:r w:rsidRPr="000041C2">
              <w:t>perform calculations related to achieving required outcomes</w:t>
            </w:r>
          </w:p>
          <w:p w:rsidR="00000000" w:rsidRPr="000041C2" w:rsidP="000041C2">
            <w:pPr>
              <w:pStyle w:val="ListBullet2"/>
            </w:pPr>
            <w:r w:rsidRPr="000041C2">
              <w:t xml:space="preserve">use computer applications (word processing, </w:t>
            </w:r>
            <w:r w:rsidRPr="000041C2">
              <w:t>spreadsheet, database, specific purpose computer systems) to assist in achieving required outcomes</w:t>
            </w:r>
          </w:p>
          <w:p w:rsidR="00000000" w:rsidRPr="000041C2" w:rsidP="000041C2">
            <w:pPr>
              <w:pStyle w:val="ListBullet2"/>
            </w:pPr>
            <w:r w:rsidRPr="000041C2">
              <w:t>access and update records electronically</w:t>
            </w:r>
          </w:p>
          <w:p w:rsidR="00000000" w:rsidRPr="000041C2" w:rsidP="000041C2">
            <w:pPr>
              <w:pStyle w:val="ListBullet2"/>
            </w:pPr>
            <w:r w:rsidRPr="000041C2">
              <w:t>access web-based information services</w:t>
            </w:r>
          </w:p>
          <w:p w:rsidR="00000000" w:rsidRPr="000041C2" w:rsidP="000041C2">
            <w:pPr>
              <w:pStyle w:val="ListBullet"/>
            </w:pPr>
            <w:r w:rsidRPr="000041C2">
              <w:t>literacy skills for policy interpretation and application and to read and int</w:t>
            </w:r>
            <w:r w:rsidRPr="000041C2">
              <w:t>erpret documentation from a variety of sources and record and consolidate relevant related information</w:t>
            </w:r>
          </w:p>
          <w:p w:rsidR="00000000" w:rsidRPr="000041C2" w:rsidP="000041C2">
            <w:pPr>
              <w:pStyle w:val="ListBullet"/>
            </w:pPr>
            <w:r w:rsidRPr="000041C2">
              <w:t>research and analysis skills for accessing and interpreting relevant information</w:t>
            </w:r>
          </w:p>
          <w:p w:rsidR="00000000" w:rsidP="000041C2">
            <w:pPr>
              <w:pStyle w:val="ListBullet"/>
              <w:rPr>
                <w:lang w:val="en-NZ"/>
              </w:rPr>
            </w:pPr>
            <w:r w:rsidRPr="000041C2">
              <w:t>organisational skills, including the ability to plan and sequence work</w:t>
            </w:r>
          </w:p>
        </w:tc>
      </w:tr>
      <w:tr w:rsidTr="00B5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Required knowledge</w:t>
            </w:r>
          </w:p>
        </w:tc>
      </w:tr>
      <w:tr w:rsidTr="00B5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Bullet"/>
            </w:pPr>
            <w:r w:rsidRPr="000041C2">
              <w:t>relevant common law, legal systems and procedures</w:t>
            </w:r>
          </w:p>
          <w:p w:rsidR="00000000" w:rsidRPr="000041C2" w:rsidP="000041C2">
            <w:pPr>
              <w:pStyle w:val="ListBullet"/>
            </w:pPr>
            <w:r w:rsidRPr="000041C2">
              <w:t>organisation policy, procedures, guidelines and authorities</w:t>
            </w:r>
          </w:p>
          <w:p w:rsidR="00000000" w:rsidRPr="000041C2" w:rsidP="000041C2">
            <w:pPr>
              <w:pStyle w:val="ListBullet"/>
            </w:pPr>
            <w:r w:rsidRPr="000041C2">
              <w:t>industry sector compliance requirements including the Australian Securities and Investments Commission (ASIC) and the Austral</w:t>
            </w:r>
            <w:r w:rsidRPr="000041C2">
              <w:t>ian Prudential Regulation Authority (APRA)</w:t>
            </w:r>
          </w:p>
          <w:p w:rsidR="00000000" w:rsidRPr="000041C2" w:rsidP="000041C2">
            <w:pPr>
              <w:pStyle w:val="ListBullet"/>
            </w:pPr>
            <w:r w:rsidRPr="000041C2">
              <w:t>industry sector product terms and conditions</w:t>
            </w:r>
          </w:p>
          <w:p w:rsidR="00000000" w:rsidRPr="000041C2" w:rsidP="000041C2">
            <w:pPr>
              <w:pStyle w:val="ListBullet"/>
            </w:pPr>
            <w:r w:rsidRPr="000041C2">
              <w:t>regulatory body requirements</w:t>
            </w:r>
          </w:p>
          <w:p w:rsidR="00000000" w:rsidRPr="000041C2" w:rsidP="000041C2">
            <w:pPr>
              <w:pStyle w:val="ListBullet"/>
            </w:pPr>
            <w:r w:rsidRPr="000041C2">
              <w:t>relevant medical terminology</w:t>
            </w:r>
          </w:p>
          <w:p w:rsidR="00000000" w:rsidRPr="000041C2" w:rsidP="000041C2">
            <w:pPr>
              <w:pStyle w:val="ListBullet"/>
            </w:pPr>
            <w:r w:rsidRPr="000041C2">
              <w:t>underwriting guidelines</w:t>
            </w:r>
          </w:p>
        </w:tc>
      </w:tr>
    </w:tbl>
    <w:p w:rsidR="00000000" w:rsidRPr="000041C2" w:rsidP="000041C2">
      <w:pPr>
        <w:pStyle w:val="BodyText"/>
      </w:pPr>
    </w:p>
    <w:p w:rsidR="00000000" w:rsidRPr="000041C2" w:rsidP="000041C2">
      <w:pPr>
        <w:pStyle w:val="AllowPageBreak"/>
      </w:pPr>
    </w:p>
    <w:p w:rsidR="00000000" w:rsidRPr="000041C2" w:rsidP="000041C2">
      <w:pPr>
        <w:pStyle w:val="Heading1"/>
      </w:pPr>
      <w:bookmarkStart w:id="10" w:name="O_79272"/>
      <w:bookmarkEnd w:id="10"/>
      <w:r w:rsidRPr="000041C2">
        <w:t>Evidence Guide</w:t>
      </w:r>
    </w:p>
    <w:tbl>
      <w:tblPr>
        <w:tblW w:w="9570" w:type="dxa"/>
        <w:tblLayout w:type="fixed"/>
        <w:tblCellMar>
          <w:left w:w="62" w:type="dxa"/>
          <w:right w:w="62" w:type="dxa"/>
        </w:tblCellMar>
        <w:tblLook w:val="0000"/>
      </w:tblPr>
      <w:tblGrid>
        <w:gridCol w:w="2808"/>
        <w:gridCol w:w="6762"/>
      </w:tblGrid>
      <w:tr w:rsidTr="00B55A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EVIDENCE GUIDE</w:t>
            </w:r>
          </w:p>
        </w:tc>
      </w:tr>
      <w:tr w:rsidTr="00B55A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t>The Evidence Guide provides advice on assessment and must be read in conjunction with the performance criteria, required skills and knowledge, range statement and the Assessment Guidelines for the Training Package.</w:t>
            </w:r>
          </w:p>
        </w:tc>
      </w:tr>
      <w:tr w:rsidTr="00B55AA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p>
        </w:tc>
      </w:tr>
      <w:tr w:rsidTr="00B55AA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Critical aspec</w:t>
            </w:r>
            <w:r w:rsidRPr="000041C2">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r w:rsidRPr="000041C2">
              <w:t>Evidence of the ability to:</w:t>
            </w:r>
          </w:p>
          <w:p w:rsidR="00000000" w:rsidRPr="000041C2" w:rsidP="000041C2">
            <w:pPr>
              <w:pStyle w:val="ListBullet"/>
            </w:pPr>
            <w:r w:rsidRPr="000041C2">
              <w:t>maintain awareness of situations requiring more extensive underwriting or assessment</w:t>
            </w:r>
          </w:p>
          <w:p w:rsidR="00000000" w:rsidP="000041C2">
            <w:pPr>
              <w:pStyle w:val="ListBullet"/>
              <w:rPr>
                <w:lang w:val="en-NZ"/>
              </w:rPr>
            </w:pPr>
            <w:r w:rsidRPr="000041C2">
              <w:t>a</w:t>
            </w:r>
            <w:r w:rsidRPr="000041C2">
              <w:t>pply clear understanding of superannuation beneficiary entitlements and conditions to be met and complied with.</w:t>
            </w:r>
          </w:p>
        </w:tc>
      </w:tr>
      <w:tr w:rsidTr="00B55AA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r w:rsidRPr="000041C2">
              <w:t>Assessment must ensure:</w:t>
            </w:r>
          </w:p>
          <w:p w:rsidR="00000000" w:rsidRPr="000041C2" w:rsidP="000041C2">
            <w:pPr>
              <w:pStyle w:val="ListBullet"/>
            </w:pPr>
            <w:r w:rsidRPr="000041C2">
              <w:t>competency is demonstrated in the context of the work environment and</w:t>
            </w:r>
            <w:r w:rsidRPr="000041C2">
              <w:t xml:space="preserve"> conditions specified in the range statement either in a relevant workplace or a closely simulated work environment</w:t>
            </w:r>
          </w:p>
          <w:p w:rsidR="00000000" w:rsidRPr="000041C2" w:rsidP="000041C2">
            <w:pPr>
              <w:pStyle w:val="ListBullet"/>
            </w:pPr>
            <w:r w:rsidRPr="000041C2">
              <w:t>access to and the use of a range of common office equipment, technology, software and consumables</w:t>
            </w:r>
          </w:p>
          <w:p w:rsidR="00000000" w:rsidRPr="000041C2" w:rsidP="000041C2">
            <w:pPr>
              <w:pStyle w:val="ListBullet"/>
            </w:pPr>
            <w:r w:rsidRPr="000041C2">
              <w:t>access to organisation records</w:t>
            </w:r>
          </w:p>
          <w:p w:rsidR="00000000" w:rsidP="000041C2">
            <w:pPr>
              <w:pStyle w:val="ListBullet"/>
              <w:rPr>
                <w:lang w:val="en-NZ"/>
              </w:rPr>
            </w:pPr>
            <w:r w:rsidRPr="000041C2">
              <w:t>access to o</w:t>
            </w:r>
            <w:r w:rsidRPr="000041C2">
              <w:t>rganisational policies and procedures.</w:t>
            </w:r>
          </w:p>
        </w:tc>
      </w:tr>
      <w:tr w:rsidTr="00B55AA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r w:rsidRPr="000041C2">
              <w:t>A range of assessment methods should be used to assess practical skills and knowledge. The following examples, in combination, are appropriate for this unit:</w:t>
            </w:r>
          </w:p>
          <w:p w:rsidR="00000000" w:rsidRPr="000041C2" w:rsidP="000041C2">
            <w:pPr>
              <w:pStyle w:val="ListBullet"/>
            </w:pPr>
            <w:r w:rsidRPr="000041C2">
              <w:t>evaluating an integrated activity, w</w:t>
            </w:r>
            <w:r w:rsidRPr="000041C2">
              <w:t>hich combines the elements of competency for the unit, or a cluster of related units of competency</w:t>
            </w:r>
          </w:p>
          <w:p w:rsidR="00000000" w:rsidRPr="000041C2" w:rsidP="000041C2">
            <w:pPr>
              <w:pStyle w:val="ListBullet"/>
            </w:pPr>
            <w:r w:rsidRPr="000041C2">
              <w:t>observing processes and procedures in workplaces</w:t>
            </w:r>
          </w:p>
          <w:p w:rsidR="00000000" w:rsidRPr="000041C2" w:rsidP="000041C2">
            <w:pPr>
              <w:pStyle w:val="ListBullet"/>
            </w:pPr>
            <w:r w:rsidRPr="000041C2">
              <w:t>verbal or written questioning on underpinning knowledge and skills</w:t>
            </w:r>
          </w:p>
          <w:p w:rsidR="00000000" w:rsidRPr="000041C2" w:rsidP="000041C2">
            <w:pPr>
              <w:pStyle w:val="ListBullet"/>
            </w:pPr>
            <w:r w:rsidRPr="000041C2">
              <w:t>evaluating samples of work</w:t>
            </w:r>
          </w:p>
          <w:p w:rsidR="00000000" w:rsidRPr="000041C2" w:rsidP="000041C2">
            <w:pPr>
              <w:pStyle w:val="ListBullet"/>
            </w:pPr>
            <w:r w:rsidRPr="000041C2">
              <w:t>accessing and validating third party reports</w:t>
            </w:r>
          </w:p>
          <w:p w:rsidR="00000000" w:rsidP="000041C2">
            <w:pPr>
              <w:pStyle w:val="ListBullet"/>
              <w:rPr>
                <w:lang w:val="en-NZ"/>
              </w:rPr>
            </w:pPr>
            <w:r w:rsidRPr="000041C2">
              <w:t>setting and reviewing workplace projects and business simulations or scenarios.</w:t>
            </w:r>
          </w:p>
        </w:tc>
      </w:tr>
      <w:tr w:rsidTr="00B55AA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p>
        </w:tc>
      </w:tr>
    </w:tbl>
    <w:p w:rsidR="00000000" w:rsidRPr="000041C2" w:rsidP="000041C2">
      <w:pPr>
        <w:pStyle w:val="BodyText"/>
      </w:pPr>
    </w:p>
    <w:p w:rsidR="00000000" w:rsidRPr="000041C2" w:rsidP="000041C2">
      <w:pPr>
        <w:pStyle w:val="AllowPageBreak"/>
      </w:pPr>
    </w:p>
    <w:p w:rsidR="00000000" w:rsidRPr="000041C2" w:rsidP="000041C2">
      <w:pPr>
        <w:pStyle w:val="Heading1"/>
      </w:pPr>
      <w:bookmarkStart w:id="11" w:name="O_79273"/>
      <w:bookmarkEnd w:id="11"/>
      <w:r w:rsidRPr="000041C2">
        <w:t>Range Statement</w:t>
      </w:r>
    </w:p>
    <w:tbl>
      <w:tblPr>
        <w:tblW w:w="0" w:type="auto"/>
        <w:tblLayout w:type="fixed"/>
        <w:tblCellMar>
          <w:left w:w="62" w:type="dxa"/>
          <w:right w:w="62" w:type="dxa"/>
        </w:tblCellMar>
        <w:tblLook w:val="0000"/>
      </w:tblPr>
      <w:tblGrid>
        <w:gridCol w:w="2531"/>
        <w:gridCol w:w="5991"/>
      </w:tblGrid>
      <w:tr w:rsidTr="00B55A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RANGE STATEMENT</w:t>
            </w:r>
          </w:p>
        </w:tc>
      </w:tr>
      <w:tr w:rsidTr="00B55A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t>The range statement relates to the unit of competency as a whole. It allows for different work environments and situations that may affect performance. Bold italicised wording, if used in the performance criteria, is detailed below. Essential operating con</w:t>
            </w:r>
            <w:r w:rsidRPr="000041C2">
              <w:t>ditions that may be present with training and assessment (depending on the work situation, needs of the candidate, accessibility of the item, and local industry and regional contexts) may also be included.</w:t>
            </w:r>
          </w:p>
        </w:tc>
      </w:tr>
      <w:tr w:rsidTr="00B55AA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BoldandItalics"/>
              </w:rPr>
              <w:t>Product types</w:t>
            </w:r>
            <w:r w:rsidRPr="000041C2">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Bullet"/>
            </w:pPr>
            <w:r w:rsidRPr="000041C2">
              <w:t>allocated pensions</w:t>
            </w:r>
          </w:p>
          <w:p w:rsidR="00000000" w:rsidRPr="000041C2" w:rsidP="000041C2">
            <w:pPr>
              <w:pStyle w:val="ListBullet"/>
            </w:pPr>
            <w:r w:rsidRPr="000041C2">
              <w:t>d</w:t>
            </w:r>
            <w:r w:rsidRPr="000041C2">
              <w:t>isability income</w:t>
            </w:r>
          </w:p>
          <w:p w:rsidR="00000000" w:rsidRPr="000041C2" w:rsidP="000041C2">
            <w:pPr>
              <w:pStyle w:val="ListBullet"/>
            </w:pPr>
            <w:r w:rsidRPr="000041C2">
              <w:t>endowment</w:t>
            </w:r>
          </w:p>
          <w:p w:rsidR="00000000" w:rsidRPr="000041C2" w:rsidP="000041C2">
            <w:pPr>
              <w:pStyle w:val="ListBullet"/>
            </w:pPr>
            <w:r w:rsidRPr="000041C2">
              <w:t>immediate/deferred annuities</w:t>
            </w:r>
          </w:p>
          <w:p w:rsidR="00000000" w:rsidRPr="000041C2" w:rsidP="000041C2">
            <w:pPr>
              <w:pStyle w:val="ListBullet"/>
            </w:pPr>
            <w:r w:rsidRPr="000041C2">
              <w:t>personal superannuation</w:t>
            </w:r>
          </w:p>
          <w:p w:rsidR="00000000" w:rsidRPr="000041C2" w:rsidP="000041C2">
            <w:pPr>
              <w:pStyle w:val="ListBullet"/>
            </w:pPr>
            <w:r w:rsidRPr="000041C2">
              <w:t>singular or regular premium investments</w:t>
            </w:r>
          </w:p>
          <w:p w:rsidR="00000000" w:rsidRPr="000041C2" w:rsidP="000041C2">
            <w:pPr>
              <w:pStyle w:val="ListBullet"/>
            </w:pPr>
            <w:r w:rsidRPr="000041C2">
              <w:t>term life</w:t>
            </w:r>
          </w:p>
          <w:p w:rsidR="00000000" w:rsidRPr="000041C2" w:rsidP="000041C2">
            <w:pPr>
              <w:pStyle w:val="ListBullet"/>
            </w:pPr>
            <w:r w:rsidRPr="000041C2">
              <w:t>trauma</w:t>
            </w:r>
          </w:p>
          <w:p w:rsidR="00000000" w:rsidP="000041C2">
            <w:pPr>
              <w:pStyle w:val="ListBullet"/>
              <w:rPr>
                <w:lang w:val="en-NZ"/>
              </w:rPr>
            </w:pPr>
            <w:r w:rsidRPr="000041C2">
              <w:t>whole of life.</w:t>
            </w:r>
          </w:p>
        </w:tc>
      </w:tr>
      <w:tr w:rsidTr="00B55AA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BoldandItalics"/>
              </w:rPr>
              <w:t>Payment criteria</w:t>
            </w:r>
            <w:r w:rsidRPr="000041C2">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Bullet"/>
            </w:pPr>
            <w:r w:rsidRPr="000041C2">
              <w:t>cancellation</w:t>
            </w:r>
          </w:p>
          <w:p w:rsidR="00000000" w:rsidRPr="000041C2" w:rsidP="000041C2">
            <w:pPr>
              <w:pStyle w:val="ListBullet"/>
            </w:pPr>
            <w:r w:rsidRPr="000041C2">
              <w:t>death</w:t>
            </w:r>
          </w:p>
          <w:p w:rsidR="00000000" w:rsidRPr="000041C2" w:rsidP="000041C2">
            <w:pPr>
              <w:pStyle w:val="ListBullet"/>
            </w:pPr>
            <w:r w:rsidRPr="000041C2">
              <w:t>expiry</w:t>
            </w:r>
          </w:p>
          <w:p w:rsidR="00000000" w:rsidRPr="000041C2" w:rsidP="000041C2">
            <w:pPr>
              <w:pStyle w:val="ListBullet"/>
            </w:pPr>
            <w:r w:rsidRPr="000041C2">
              <w:t>invalidity</w:t>
            </w:r>
          </w:p>
          <w:p w:rsidR="00000000" w:rsidRPr="000041C2" w:rsidP="000041C2">
            <w:pPr>
              <w:pStyle w:val="ListBullet"/>
            </w:pPr>
            <w:r w:rsidRPr="000041C2">
              <w:t>lapse</w:t>
            </w:r>
          </w:p>
          <w:p w:rsidR="00000000" w:rsidRPr="000041C2" w:rsidP="000041C2">
            <w:pPr>
              <w:pStyle w:val="ListBullet"/>
            </w:pPr>
            <w:r w:rsidRPr="000041C2">
              <w:t>maturity</w:t>
            </w:r>
          </w:p>
          <w:p w:rsidR="00000000" w:rsidRPr="000041C2" w:rsidP="000041C2">
            <w:pPr>
              <w:pStyle w:val="ListBullet"/>
            </w:pPr>
            <w:r w:rsidRPr="000041C2">
              <w:t>past surrender</w:t>
            </w:r>
          </w:p>
          <w:p w:rsidR="00000000" w:rsidRPr="000041C2" w:rsidP="000041C2">
            <w:pPr>
              <w:pStyle w:val="ListBullet"/>
            </w:pPr>
            <w:r w:rsidRPr="000041C2">
              <w:t>pension</w:t>
            </w:r>
          </w:p>
          <w:p w:rsidR="00000000" w:rsidRPr="000041C2" w:rsidP="000041C2">
            <w:pPr>
              <w:pStyle w:val="ListBullet"/>
            </w:pPr>
            <w:r w:rsidRPr="000041C2">
              <w:t>roll over</w:t>
            </w:r>
          </w:p>
          <w:p w:rsidR="00000000" w:rsidRPr="000041C2" w:rsidP="000041C2">
            <w:pPr>
              <w:pStyle w:val="ListBullet"/>
            </w:pPr>
            <w:r w:rsidRPr="000041C2">
              <w:t>surrender</w:t>
            </w:r>
          </w:p>
          <w:p w:rsidR="00000000" w:rsidRPr="000041C2" w:rsidP="000041C2">
            <w:pPr>
              <w:pStyle w:val="ListBullet"/>
            </w:pPr>
            <w:r w:rsidRPr="000041C2">
              <w:t xml:space="preserve">Temporary and Permanent Disability (TPD) </w:t>
            </w:r>
          </w:p>
          <w:p w:rsidR="00000000" w:rsidRPr="000041C2" w:rsidP="000041C2">
            <w:pPr>
              <w:pStyle w:val="ListBullet"/>
            </w:pPr>
            <w:r w:rsidRPr="000041C2">
              <w:t>trauma</w:t>
            </w:r>
          </w:p>
          <w:p w:rsidR="00000000" w:rsidRPr="000041C2" w:rsidP="000041C2">
            <w:pPr>
              <w:pStyle w:val="ListBullet"/>
            </w:pPr>
            <w:r w:rsidRPr="000041C2">
              <w:t>withdrawal</w:t>
            </w:r>
          </w:p>
          <w:p w:rsidR="00000000" w:rsidP="000041C2">
            <w:pPr>
              <w:pStyle w:val="ListBullet"/>
              <w:rPr>
                <w:lang w:val="en-NZ"/>
              </w:rPr>
            </w:pPr>
            <w:r w:rsidRPr="000041C2">
              <w:t>withdrawal annuities.</w:t>
            </w:r>
          </w:p>
        </w:tc>
      </w:tr>
      <w:tr w:rsidTr="00B55AA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BoldandItalics"/>
              </w:rPr>
              <w:t>Terms and conditions of the contract</w:t>
            </w:r>
            <w:r w:rsidRPr="000041C2">
              <w:t xml:space="preserve"> may be determined by: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ListBullet"/>
              <w:rPr>
                <w:lang w:val="en-NZ"/>
              </w:rPr>
            </w:pPr>
            <w:r w:rsidRPr="000041C2">
              <w:t>legislation and/or policy provisions.</w:t>
            </w:r>
          </w:p>
        </w:tc>
      </w:tr>
      <w:tr w:rsidTr="00B55AA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BoldandItalics"/>
              </w:rPr>
              <w:t>Appropriate parties</w:t>
            </w:r>
            <w:r w:rsidRPr="000041C2">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Bullet"/>
            </w:pPr>
            <w:r w:rsidRPr="000041C2">
              <w:t>accountants</w:t>
            </w:r>
          </w:p>
          <w:p w:rsidR="00000000" w:rsidRPr="000041C2" w:rsidP="000041C2">
            <w:pPr>
              <w:pStyle w:val="ListBullet"/>
            </w:pPr>
            <w:r w:rsidRPr="000041C2">
              <w:t>administrators</w:t>
            </w:r>
          </w:p>
          <w:p w:rsidR="00000000" w:rsidRPr="000041C2" w:rsidP="000041C2">
            <w:pPr>
              <w:pStyle w:val="ListBullet"/>
            </w:pPr>
            <w:r w:rsidRPr="000041C2">
              <w:t>assignees</w:t>
            </w:r>
          </w:p>
          <w:p w:rsidR="00000000" w:rsidRPr="000041C2" w:rsidP="000041C2">
            <w:pPr>
              <w:pStyle w:val="ListBullet"/>
            </w:pPr>
            <w:r w:rsidRPr="000041C2">
              <w:t>Australian Securities and Investments Commission (ASIC)</w:t>
            </w:r>
          </w:p>
          <w:p w:rsidR="00000000" w:rsidRPr="000041C2" w:rsidP="000041C2">
            <w:pPr>
              <w:pStyle w:val="ListBullet"/>
            </w:pPr>
            <w:r w:rsidRPr="000041C2">
              <w:t>Australian Taxation Office (ATO)</w:t>
            </w:r>
          </w:p>
          <w:p w:rsidR="00000000" w:rsidRPr="000041C2" w:rsidP="000041C2">
            <w:pPr>
              <w:pStyle w:val="ListBullet"/>
            </w:pPr>
            <w:r w:rsidRPr="000041C2">
              <w:t>chief medical officers</w:t>
            </w:r>
          </w:p>
          <w:p w:rsidR="00000000" w:rsidRPr="000041C2" w:rsidP="000041C2">
            <w:pPr>
              <w:pStyle w:val="ListBullet"/>
            </w:pPr>
            <w:r w:rsidRPr="000041C2">
              <w:t>claims tribunals</w:t>
            </w:r>
          </w:p>
          <w:p w:rsidR="00000000" w:rsidRPr="000041C2" w:rsidP="000041C2">
            <w:pPr>
              <w:pStyle w:val="ListBullet"/>
            </w:pPr>
            <w:r w:rsidRPr="000041C2">
              <w:t>courts</w:t>
            </w:r>
          </w:p>
          <w:p w:rsidR="00000000" w:rsidRPr="000041C2" w:rsidP="000041C2">
            <w:pPr>
              <w:pStyle w:val="ListBullet"/>
            </w:pPr>
            <w:r w:rsidRPr="000041C2">
              <w:t>doctors</w:t>
            </w:r>
          </w:p>
          <w:p w:rsidR="00000000" w:rsidRPr="000041C2" w:rsidP="000041C2">
            <w:pPr>
              <w:pStyle w:val="ListBullet"/>
            </w:pPr>
            <w:r w:rsidRPr="000041C2">
              <w:t>employers</w:t>
            </w:r>
          </w:p>
          <w:p w:rsidR="00000000" w:rsidRPr="000041C2" w:rsidP="000041C2">
            <w:pPr>
              <w:pStyle w:val="ListBullet"/>
            </w:pPr>
            <w:r w:rsidRPr="000041C2">
              <w:t>executors</w:t>
            </w:r>
          </w:p>
          <w:p w:rsidR="00000000" w:rsidRPr="000041C2" w:rsidP="000041C2">
            <w:pPr>
              <w:pStyle w:val="ListBullet"/>
            </w:pPr>
            <w:r w:rsidRPr="000041C2">
              <w:t>forensic scientists</w:t>
            </w:r>
          </w:p>
          <w:p w:rsidR="00000000" w:rsidRPr="000041C2" w:rsidP="000041C2">
            <w:pPr>
              <w:pStyle w:val="ListBullet"/>
            </w:pPr>
            <w:r w:rsidRPr="000041C2">
              <w:t>investigation agencies</w:t>
            </w:r>
          </w:p>
          <w:p w:rsidR="00000000" w:rsidRPr="000041C2" w:rsidP="000041C2">
            <w:pPr>
              <w:pStyle w:val="ListBullet"/>
            </w:pPr>
            <w:r w:rsidRPr="000041C2">
              <w:t>life insured</w:t>
            </w:r>
          </w:p>
          <w:p w:rsidR="00000000" w:rsidRPr="000041C2" w:rsidP="000041C2">
            <w:pPr>
              <w:pStyle w:val="ListBullet"/>
            </w:pPr>
            <w:r w:rsidRPr="000041C2">
              <w:t>liquidators</w:t>
            </w:r>
          </w:p>
          <w:p w:rsidR="00000000" w:rsidRPr="000041C2" w:rsidP="000041C2">
            <w:pPr>
              <w:pStyle w:val="ListBullet"/>
            </w:pPr>
            <w:r w:rsidRPr="000041C2">
              <w:t>next of kin</w:t>
            </w:r>
          </w:p>
          <w:p w:rsidR="00000000" w:rsidRPr="000041C2" w:rsidP="000041C2">
            <w:pPr>
              <w:pStyle w:val="ListBullet"/>
            </w:pPr>
            <w:r w:rsidRPr="000041C2">
              <w:t>other life companies</w:t>
            </w:r>
          </w:p>
          <w:p w:rsidR="00000000" w:rsidRPr="000041C2" w:rsidP="000041C2">
            <w:pPr>
              <w:pStyle w:val="ListBullet"/>
            </w:pPr>
            <w:r w:rsidRPr="000041C2">
              <w:t>personnel officers</w:t>
            </w:r>
          </w:p>
          <w:p w:rsidR="00000000" w:rsidRPr="000041C2" w:rsidP="000041C2">
            <w:pPr>
              <w:pStyle w:val="ListBullet"/>
            </w:pPr>
            <w:r w:rsidRPr="000041C2">
              <w:t>police</w:t>
            </w:r>
          </w:p>
          <w:p w:rsidR="00000000" w:rsidRPr="000041C2" w:rsidP="000041C2">
            <w:pPr>
              <w:pStyle w:val="ListBullet"/>
            </w:pPr>
            <w:r w:rsidRPr="000041C2">
              <w:t>policy owners</w:t>
            </w:r>
          </w:p>
          <w:p w:rsidR="00000000" w:rsidRPr="000041C2" w:rsidP="000041C2">
            <w:pPr>
              <w:pStyle w:val="ListBullet"/>
            </w:pPr>
            <w:r w:rsidRPr="000041C2">
              <w:t>reinsurers</w:t>
            </w:r>
          </w:p>
          <w:p w:rsidR="00000000" w:rsidRPr="000041C2" w:rsidP="000041C2">
            <w:pPr>
              <w:pStyle w:val="ListBullet"/>
            </w:pPr>
            <w:r w:rsidRPr="000041C2">
              <w:t>solicitors</w:t>
            </w:r>
          </w:p>
          <w:p w:rsidR="00000000" w:rsidRPr="000041C2" w:rsidP="000041C2">
            <w:pPr>
              <w:pStyle w:val="ListBullet"/>
            </w:pPr>
            <w:r w:rsidRPr="000041C2">
              <w:t>trustees</w:t>
            </w:r>
          </w:p>
          <w:p w:rsidR="00000000" w:rsidP="000041C2">
            <w:pPr>
              <w:pStyle w:val="ListBullet"/>
              <w:rPr>
                <w:lang w:val="en-NZ"/>
              </w:rPr>
            </w:pPr>
            <w:r w:rsidRPr="000041C2">
              <w:t>underwriters.</w:t>
            </w:r>
          </w:p>
        </w:tc>
      </w:tr>
      <w:tr w:rsidTr="00B55AA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BoldandItalics"/>
              </w:rPr>
              <w:t>Documentation</w:t>
            </w:r>
            <w:r w:rsidRPr="000041C2">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Bullet"/>
            </w:pPr>
            <w:r w:rsidRPr="000041C2">
              <w:t>ASIC reports</w:t>
            </w:r>
          </w:p>
          <w:p w:rsidR="00000000" w:rsidRPr="000041C2" w:rsidP="000041C2">
            <w:pPr>
              <w:pStyle w:val="ListBullet"/>
            </w:pPr>
            <w:r w:rsidRPr="000041C2">
              <w:t>cheques</w:t>
            </w:r>
          </w:p>
          <w:p w:rsidR="00000000" w:rsidRPr="000041C2" w:rsidP="000041C2">
            <w:pPr>
              <w:pStyle w:val="ListBullet"/>
            </w:pPr>
            <w:r w:rsidRPr="000041C2">
              <w:t>final statement</w:t>
            </w:r>
          </w:p>
          <w:p w:rsidR="00000000" w:rsidRPr="000041C2" w:rsidP="000041C2">
            <w:pPr>
              <w:pStyle w:val="ListBullet"/>
            </w:pPr>
            <w:r w:rsidRPr="000041C2">
              <w:t>group certificates</w:t>
            </w:r>
          </w:p>
          <w:p w:rsidR="00000000" w:rsidRPr="000041C2" w:rsidP="000041C2">
            <w:pPr>
              <w:pStyle w:val="ListBullet"/>
            </w:pPr>
            <w:r w:rsidRPr="000041C2">
              <w:t>medical reports</w:t>
            </w:r>
          </w:p>
          <w:p w:rsidR="00000000" w:rsidRPr="000041C2" w:rsidP="000041C2">
            <w:pPr>
              <w:pStyle w:val="ListBullet"/>
            </w:pPr>
            <w:r w:rsidRPr="000041C2">
              <w:t>payment statements</w:t>
            </w:r>
          </w:p>
          <w:p w:rsidR="00000000" w:rsidP="000041C2">
            <w:pPr>
              <w:pStyle w:val="ListBullet"/>
              <w:rPr>
                <w:lang w:val="en-NZ"/>
              </w:rPr>
            </w:pPr>
            <w:r w:rsidRPr="000041C2">
              <w:t>tax forms.</w:t>
            </w:r>
          </w:p>
        </w:tc>
      </w:tr>
      <w:tr w:rsidTr="00B55AA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BoldandItalics"/>
              </w:rPr>
              <w:t>Consequences</w:t>
            </w:r>
            <w:r w:rsidRPr="000041C2">
              <w:t xml:space="preserve"> of processing the settlement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Bullet"/>
            </w:pPr>
            <w:r w:rsidRPr="000041C2">
              <w:t>additional costs/charges if transferring to an alternative contract/policy</w:t>
            </w:r>
          </w:p>
          <w:p w:rsidR="00000000" w:rsidRPr="000041C2" w:rsidP="000041C2">
            <w:pPr>
              <w:pStyle w:val="ListBullet"/>
            </w:pPr>
            <w:r w:rsidRPr="000041C2">
              <w:t>cessation of life cover in the event of a TPD claim</w:t>
            </w:r>
          </w:p>
          <w:p w:rsidR="00000000" w:rsidRPr="000041C2" w:rsidP="000041C2">
            <w:pPr>
              <w:pStyle w:val="ListBullet"/>
            </w:pPr>
            <w:r w:rsidRPr="000041C2">
              <w:t>possible difficulty in obtaining optimal cover at a later date in the eve</w:t>
            </w:r>
            <w:r w:rsidRPr="000041C2">
              <w:t>nt of a deterioration in health</w:t>
            </w:r>
          </w:p>
          <w:p w:rsidR="00000000" w:rsidP="000041C2">
            <w:pPr>
              <w:pStyle w:val="ListBullet"/>
              <w:rPr>
                <w:lang w:val="en-NZ"/>
              </w:rPr>
            </w:pPr>
            <w:r w:rsidRPr="000041C2">
              <w:t>recommencement of the suicide clause.</w:t>
            </w:r>
          </w:p>
        </w:tc>
      </w:tr>
      <w:tr w:rsidTr="00B55AA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BoldandItalics"/>
              </w:rPr>
              <w:t>Validation</w:t>
            </w:r>
            <w:r w:rsidRPr="000041C2">
              <w:t xml:space="preserve"> criteria means: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ListBullet"/>
              <w:rPr>
                <w:lang w:val="en-NZ"/>
              </w:rPr>
            </w:pPr>
            <w:r w:rsidRPr="000041C2">
              <w:t>criteria against which a claim/withdrawal may be measured for validity.</w:t>
            </w:r>
          </w:p>
        </w:tc>
      </w:tr>
      <w:tr w:rsidTr="00B55AA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BoldandItalics"/>
              </w:rPr>
              <w:t>Termination</w:t>
            </w:r>
            <w:r w:rsidRPr="000041C2">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ListBullet"/>
              <w:rPr>
                <w:lang w:val="en-NZ"/>
              </w:rPr>
            </w:pPr>
            <w:r w:rsidRPr="000041C2">
              <w:t>automatic cancellation because of non-payment of premium.</w:t>
            </w:r>
          </w:p>
        </w:tc>
      </w:tr>
      <w:tr w:rsidTr="00B55AA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BoldandItalics"/>
              </w:rPr>
              <w:t>Benefits payable</w:t>
            </w:r>
            <w:r w:rsidRPr="000041C2">
              <w:t xml:space="preserve"> could be affected by: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Bullet"/>
            </w:pPr>
            <w:r w:rsidRPr="000041C2">
              <w:t>age at death</w:t>
            </w:r>
          </w:p>
          <w:p w:rsidR="00000000" w:rsidRPr="000041C2" w:rsidP="000041C2">
            <w:pPr>
              <w:pStyle w:val="ListBullet"/>
            </w:pPr>
            <w:r w:rsidRPr="000041C2">
              <w:t>cause of death</w:t>
            </w:r>
          </w:p>
          <w:p w:rsidR="00000000" w:rsidRPr="000041C2" w:rsidP="000041C2">
            <w:pPr>
              <w:pStyle w:val="ListBullet"/>
            </w:pPr>
            <w:r w:rsidRPr="000041C2">
              <w:t>contributions made to policy</w:t>
            </w:r>
          </w:p>
          <w:p w:rsidR="00000000" w:rsidRPr="000041C2" w:rsidP="000041C2">
            <w:pPr>
              <w:pStyle w:val="ListBullet"/>
            </w:pPr>
            <w:r w:rsidRPr="000041C2">
              <w:t>date of death</w:t>
            </w:r>
          </w:p>
          <w:p w:rsidR="00000000" w:rsidRPr="000041C2" w:rsidP="000041C2">
            <w:pPr>
              <w:pStyle w:val="ListBullet"/>
            </w:pPr>
            <w:r w:rsidRPr="000041C2">
              <w:t>length of policy</w:t>
            </w:r>
          </w:p>
          <w:p w:rsidR="00000000" w:rsidRPr="000041C2" w:rsidP="000041C2">
            <w:pPr>
              <w:pStyle w:val="ListBullet"/>
            </w:pPr>
            <w:r w:rsidRPr="000041C2">
              <w:t>non-disclosure</w:t>
            </w:r>
          </w:p>
          <w:p w:rsidR="00000000" w:rsidRPr="000041C2" w:rsidP="000041C2">
            <w:pPr>
              <w:pStyle w:val="ListBullet"/>
            </w:pPr>
            <w:r w:rsidRPr="000041C2">
              <w:t>policy maturity</w:t>
            </w:r>
          </w:p>
          <w:p w:rsidR="00000000" w:rsidRPr="000041C2" w:rsidP="000041C2">
            <w:pPr>
              <w:pStyle w:val="ListBullet"/>
            </w:pPr>
            <w:r w:rsidRPr="000041C2">
              <w:t>preserved nature of the funds in the policy</w:t>
            </w:r>
          </w:p>
          <w:p w:rsidR="00000000" w:rsidRPr="000041C2" w:rsidP="000041C2">
            <w:pPr>
              <w:pStyle w:val="ListBullet"/>
            </w:pPr>
            <w:r w:rsidRPr="000041C2">
              <w:t>previous withdrawals</w:t>
            </w:r>
          </w:p>
          <w:p w:rsidR="00000000" w:rsidRPr="000041C2" w:rsidP="000041C2">
            <w:pPr>
              <w:pStyle w:val="ListBullet"/>
            </w:pPr>
            <w:r w:rsidRPr="000041C2">
              <w:t>reason for withdrawal</w:t>
            </w:r>
          </w:p>
          <w:p w:rsidR="00000000" w:rsidP="000041C2">
            <w:pPr>
              <w:pStyle w:val="ListBullet"/>
              <w:rPr>
                <w:lang w:val="en-NZ"/>
              </w:rPr>
            </w:pPr>
            <w:r w:rsidRPr="000041C2">
              <w:t>surrender conditions.</w:t>
            </w:r>
          </w:p>
        </w:tc>
      </w:tr>
      <w:tr w:rsidTr="00B55AA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BoldandItalics"/>
              </w:rPr>
              <w:t>Payment</w:t>
            </w:r>
            <w:r w:rsidRPr="000041C2">
              <w:t xml:space="preserve"> methods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ListBullet"/>
            </w:pPr>
            <w:r w:rsidRPr="000041C2">
              <w:t>cheques</w:t>
            </w:r>
          </w:p>
          <w:p w:rsidR="00000000" w:rsidRPr="000041C2" w:rsidP="000041C2">
            <w:pPr>
              <w:pStyle w:val="ListBullet"/>
            </w:pPr>
            <w:r w:rsidRPr="000041C2">
              <w:t>direct credit.</w:t>
            </w:r>
          </w:p>
        </w:tc>
      </w:tr>
    </w:tbl>
    <w:p w:rsidR="00B55AA4" w:rsidP="000041C2">
      <w:pPr>
        <w:pStyle w:val="BodyText"/>
      </w:pPr>
    </w:p>
    <w:p w:rsidR="00B55AA4" w:rsidP="000041C2">
      <w:pPr>
        <w:pStyle w:val="BodyText"/>
      </w:pPr>
    </w:p>
    <w:p w:rsidR="00000000" w:rsidRPr="000041C2" w:rsidP="000041C2">
      <w:pPr>
        <w:pStyle w:val="Heading1"/>
      </w:pPr>
      <w:bookmarkStart w:id="12" w:name="O_79274"/>
      <w:bookmarkEnd w:id="12"/>
      <w:r w:rsidRPr="000041C2">
        <w:t>Unit Sector(s)</w:t>
      </w:r>
    </w:p>
    <w:tbl>
      <w:tblPr>
        <w:tblW w:w="0" w:type="auto"/>
        <w:tblLayout w:type="fixed"/>
        <w:tblCellMar>
          <w:left w:w="62" w:type="dxa"/>
          <w:right w:w="62" w:type="dxa"/>
        </w:tblCellMar>
        <w:tblLook w:val="0000"/>
      </w:tblPr>
      <w:tblGrid>
        <w:gridCol w:w="2594"/>
        <w:gridCol w:w="5928"/>
      </w:tblGrid>
      <w:tr w:rsidTr="00B55AA4">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r w:rsidRPr="000041C2">
              <w:t>Insurance life</w:t>
            </w:r>
          </w:p>
        </w:tc>
      </w:tr>
    </w:tbl>
    <w:p w:rsidR="00000000" w:rsidRPr="000041C2" w:rsidP="000041C2">
      <w:pPr>
        <w:pStyle w:val="BodyText"/>
      </w:pPr>
    </w:p>
    <w:p w:rsidR="00000000" w:rsidRPr="000041C2" w:rsidP="000041C2">
      <w:pPr>
        <w:pStyle w:val="AllowPageBreak"/>
      </w:pPr>
    </w:p>
    <w:p w:rsidR="00000000" w:rsidRPr="000041C2" w:rsidP="000041C2">
      <w:pPr>
        <w:pStyle w:val="Heading1"/>
      </w:pPr>
      <w:bookmarkStart w:id="13" w:name="O_156445"/>
      <w:bookmarkEnd w:id="13"/>
      <w:r w:rsidRPr="000041C2">
        <w:t>Competency field</w:t>
      </w:r>
    </w:p>
    <w:tbl>
      <w:tblPr>
        <w:tblW w:w="0" w:type="auto"/>
        <w:tblLayout w:type="fixed"/>
        <w:tblCellMar>
          <w:left w:w="62" w:type="dxa"/>
          <w:right w:w="62" w:type="dxa"/>
        </w:tblCellMar>
        <w:tblLook w:val="0000"/>
      </w:tblPr>
      <w:tblGrid>
        <w:gridCol w:w="2754"/>
        <w:gridCol w:w="5768"/>
      </w:tblGrid>
      <w:tr w:rsidTr="00B55AA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p>
        </w:tc>
      </w:tr>
    </w:tbl>
    <w:p w:rsidR="00000000" w:rsidRPr="000041C2" w:rsidP="000041C2">
      <w:pPr>
        <w:pStyle w:val="BodyText"/>
      </w:pPr>
    </w:p>
    <w:p w:rsidR="00000000" w:rsidRPr="000041C2" w:rsidP="000041C2">
      <w:pPr>
        <w:pStyle w:val="AllowPageBreak"/>
      </w:pPr>
    </w:p>
    <w:p w:rsidR="00000000" w:rsidRPr="000041C2" w:rsidP="000041C2">
      <w:pPr>
        <w:pStyle w:val="Heading1"/>
      </w:pPr>
      <w:bookmarkStart w:id="14" w:name="O_156444"/>
      <w:bookmarkEnd w:id="14"/>
      <w:r w:rsidRPr="000041C2">
        <w:t>Co-requisite units</w:t>
      </w:r>
    </w:p>
    <w:tbl>
      <w:tblPr>
        <w:tblW w:w="0" w:type="auto"/>
        <w:tblLayout w:type="fixed"/>
        <w:tblCellMar>
          <w:left w:w="62" w:type="dxa"/>
          <w:right w:w="62" w:type="dxa"/>
        </w:tblCellMar>
        <w:tblLook w:val="0000"/>
      </w:tblPr>
      <w:tblGrid>
        <w:gridCol w:w="2629"/>
        <w:gridCol w:w="1324"/>
        <w:gridCol w:w="4569"/>
      </w:tblGrid>
      <w:tr w:rsidTr="00B55AA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r w:rsidRPr="000041C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1C2">
            <w:pPr>
              <w:pStyle w:val="BodyText"/>
              <w:rPr>
                <w:lang w:val="en-NZ"/>
              </w:rPr>
            </w:pPr>
          </w:p>
        </w:tc>
      </w:tr>
      <w:tr w:rsidTr="00B55AA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1C2" w:rsidP="000041C2">
            <w:pPr>
              <w:pStyle w:val="BodyText"/>
            </w:pPr>
          </w:p>
        </w:tc>
      </w:tr>
    </w:tbl>
    <w:p w:rsidR="00000000" w:rsidRPr="000041C2" w:rsidP="000041C2">
      <w:pPr>
        <w:pStyle w:val="BodyText"/>
      </w:pPr>
    </w:p>
    <w:p w:rsidR="00000000" w:rsidRPr="000041C2" w:rsidP="000041C2"/>
    <w:sectPr w:rsidSect="000041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AA4" w:rsidP="00B55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A4" w:rsidP="000041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5AA4" w:rsidP="000041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5AA4" w:rsidP="000041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C2" w:rsidRPr="00B55AA4" w:rsidP="00B55A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A4" w:rsidP="000041C2">
    <w:pPr>
      <w:pStyle w:val="Header"/>
      <w:framePr w:wrap="around"/>
    </w:pPr>
    <w:r>
      <w:fldChar w:fldCharType="begin"/>
    </w:r>
    <w:r>
      <w:instrText xml:space="preserve"> TITLE   \* MERGEFORMAT </w:instrText>
    </w:r>
    <w:r>
      <w:fldChar w:fldCharType="separate"/>
    </w:r>
    <w:r>
      <w:t>FNSILF402A Settle policy payments and terminations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5AA4" w:rsidP="000041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A24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C8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360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1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1C2"/>
    <w:pPr>
      <w:spacing w:before="360" w:after="60"/>
      <w:outlineLvl w:val="0"/>
    </w:pPr>
    <w:rPr>
      <w:sz w:val="32"/>
    </w:rPr>
  </w:style>
  <w:style w:type="paragraph" w:styleId="Heading2">
    <w:name w:val="heading 2"/>
    <w:basedOn w:val="HeadingBase"/>
    <w:next w:val="BodyText"/>
    <w:link w:val="Heading2Char"/>
    <w:qFormat/>
    <w:rsid w:val="000041C2"/>
    <w:pPr>
      <w:keepLines/>
      <w:spacing w:before="240" w:after="120"/>
      <w:outlineLvl w:val="1"/>
    </w:pPr>
    <w:rPr>
      <w:sz w:val="28"/>
      <w:szCs w:val="40"/>
    </w:rPr>
  </w:style>
  <w:style w:type="paragraph" w:styleId="Heading3">
    <w:name w:val="heading 3"/>
    <w:basedOn w:val="HeadingBase"/>
    <w:next w:val="BodyText"/>
    <w:link w:val="Heading3Char"/>
    <w:qFormat/>
    <w:rsid w:val="000041C2"/>
    <w:pPr>
      <w:spacing w:before="180" w:after="120"/>
      <w:outlineLvl w:val="2"/>
    </w:pPr>
    <w:rPr>
      <w:spacing w:val="-10"/>
      <w:kern w:val="32"/>
    </w:rPr>
  </w:style>
  <w:style w:type="paragraph" w:styleId="Heading4">
    <w:name w:val="heading 4"/>
    <w:basedOn w:val="HeadingBase"/>
    <w:next w:val="BodyText"/>
    <w:link w:val="Heading4Char"/>
    <w:qFormat/>
    <w:rsid w:val="000041C2"/>
    <w:pPr>
      <w:spacing w:before="160" w:after="120"/>
      <w:outlineLvl w:val="3"/>
    </w:pPr>
    <w:rPr>
      <w:sz w:val="22"/>
    </w:rPr>
  </w:style>
  <w:style w:type="paragraph" w:styleId="Heading5">
    <w:name w:val="heading 5"/>
    <w:basedOn w:val="HeadingBase"/>
    <w:next w:val="Normal"/>
    <w:link w:val="Heading5Char"/>
    <w:qFormat/>
    <w:rsid w:val="000041C2"/>
    <w:pPr>
      <w:spacing w:before="80"/>
      <w:outlineLvl w:val="4"/>
    </w:pPr>
    <w:rPr>
      <w:color w:val="918585"/>
      <w:sz w:val="20"/>
    </w:rPr>
  </w:style>
  <w:style w:type="paragraph" w:styleId="Heading6">
    <w:name w:val="heading 6"/>
    <w:basedOn w:val="HeadingBase"/>
    <w:next w:val="Normal"/>
    <w:link w:val="Heading6Char"/>
    <w:qFormat/>
    <w:rsid w:val="000041C2"/>
    <w:pPr>
      <w:spacing w:before="60"/>
      <w:outlineLvl w:val="5"/>
    </w:pPr>
    <w:rPr>
      <w:color w:val="918585"/>
      <w:sz w:val="20"/>
    </w:rPr>
  </w:style>
  <w:style w:type="paragraph" w:styleId="Heading7">
    <w:name w:val="heading 7"/>
    <w:basedOn w:val="Normal"/>
    <w:next w:val="Normal"/>
    <w:link w:val="Heading7Char"/>
    <w:qFormat/>
    <w:rsid w:val="000041C2"/>
    <w:pPr>
      <w:ind w:left="720"/>
      <w:outlineLvl w:val="6"/>
    </w:pPr>
    <w:rPr>
      <w:i/>
    </w:rPr>
  </w:style>
  <w:style w:type="paragraph" w:styleId="Heading8">
    <w:name w:val="heading 8"/>
    <w:basedOn w:val="Normal"/>
    <w:next w:val="Normal"/>
    <w:link w:val="Heading8Char"/>
    <w:qFormat/>
    <w:rsid w:val="000041C2"/>
    <w:pPr>
      <w:ind w:left="720"/>
      <w:outlineLvl w:val="7"/>
    </w:pPr>
    <w:rPr>
      <w:i/>
    </w:rPr>
  </w:style>
  <w:style w:type="paragraph" w:styleId="Heading9">
    <w:name w:val="heading 9"/>
    <w:basedOn w:val="Normal"/>
    <w:next w:val="Normal"/>
    <w:link w:val="Heading9Char"/>
    <w:qFormat/>
    <w:rsid w:val="000041C2"/>
    <w:pPr>
      <w:ind w:left="720"/>
      <w:outlineLvl w:val="8"/>
    </w:pPr>
    <w:rPr>
      <w:i/>
    </w:rPr>
  </w:style>
  <w:style w:type="character" w:default="1" w:styleId="DefaultParagraphFont">
    <w:name w:val="Default Paragraph Font"/>
    <w:uiPriority w:val="1"/>
    <w:unhideWhenUsed/>
    <w:rsid w:val="00004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1C2"/>
  </w:style>
  <w:style w:type="character" w:customStyle="1" w:styleId="Heading1Char">
    <w:name w:val="Heading 1 Char"/>
    <w:link w:val="Heading1"/>
    <w:rsid w:val="000041C2"/>
    <w:rPr>
      <w:rFonts w:ascii="Times New Roman" w:eastAsia="Times New Roman" w:hAnsi="Times New Roman" w:cs="Times New Roman"/>
      <w:b/>
      <w:sz w:val="32"/>
      <w:szCs w:val="20"/>
      <w:lang w:eastAsia="en-US"/>
    </w:rPr>
  </w:style>
  <w:style w:type="paragraph" w:styleId="BodyText">
    <w:name w:val="Body Text"/>
    <w:basedOn w:val="Normal"/>
    <w:link w:val="BodyTextChar"/>
    <w:rsid w:val="000041C2"/>
    <w:pPr>
      <w:spacing w:before="120" w:after="120"/>
      <w:contextualSpacing/>
    </w:pPr>
    <w:rPr>
      <w:rFonts w:ascii="Times New Roman" w:hAnsi="Times New Roman"/>
      <w:sz w:val="24"/>
      <w:szCs w:val="22"/>
    </w:rPr>
  </w:style>
  <w:style w:type="character" w:customStyle="1" w:styleId="BodyTextChar">
    <w:name w:val="Body Text Char"/>
    <w:link w:val="BodyText"/>
    <w:rsid w:val="000041C2"/>
    <w:rPr>
      <w:rFonts w:ascii="Times New Roman" w:eastAsia="Times New Roman" w:hAnsi="Times New Roman" w:cs="Times New Roman"/>
      <w:sz w:val="24"/>
      <w:lang w:val="en-US" w:eastAsia="en-US"/>
    </w:rPr>
  </w:style>
  <w:style w:type="paragraph" w:styleId="Footer">
    <w:name w:val="footer"/>
    <w:basedOn w:val="Normal"/>
    <w:link w:val="FooterChar"/>
    <w:rsid w:val="00004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041C2"/>
    <w:rPr>
      <w:rFonts w:ascii="Times New Roman" w:eastAsia="Times New Roman" w:hAnsi="Times New Roman" w:cs="Times New Roman"/>
      <w:sz w:val="16"/>
      <w:lang w:val="en-US" w:eastAsia="en-US"/>
    </w:rPr>
  </w:style>
  <w:style w:type="paragraph" w:styleId="List">
    <w:name w:val="List"/>
    <w:basedOn w:val="BodyText"/>
    <w:next w:val="BodyText"/>
    <w:rsid w:val="000041C2"/>
    <w:pPr>
      <w:tabs>
        <w:tab w:val="left" w:pos="340"/>
      </w:tabs>
      <w:spacing w:before="60" w:after="60"/>
      <w:ind w:left="340" w:hanging="340"/>
    </w:pPr>
  </w:style>
  <w:style w:type="paragraph" w:styleId="ListBullet">
    <w:name w:val="List Bullet"/>
    <w:basedOn w:val="List"/>
    <w:rsid w:val="000041C2"/>
    <w:pPr>
      <w:numPr>
        <w:numId w:val="13"/>
      </w:numPr>
      <w:tabs>
        <w:tab w:val="clear" w:pos="340"/>
      </w:tabs>
      <w:spacing w:before="40" w:after="40"/>
    </w:pPr>
  </w:style>
  <w:style w:type="character" w:customStyle="1" w:styleId="SpecialBold">
    <w:name w:val="Special Bold"/>
    <w:rsid w:val="000041C2"/>
    <w:rPr>
      <w:b/>
      <w:spacing w:val="0"/>
    </w:rPr>
  </w:style>
  <w:style w:type="paragraph" w:styleId="ListBullet2">
    <w:name w:val="List Bullet 2"/>
    <w:basedOn w:val="List2"/>
    <w:rsid w:val="000041C2"/>
    <w:pPr>
      <w:numPr>
        <w:numId w:val="14"/>
      </w:numPr>
      <w:tabs>
        <w:tab w:val="clear" w:pos="680"/>
      </w:tabs>
    </w:pPr>
  </w:style>
  <w:style w:type="paragraph" w:customStyle="1" w:styleId="SuperHeading">
    <w:name w:val="SuperHeading"/>
    <w:basedOn w:val="Normal"/>
    <w:rsid w:val="000041C2"/>
    <w:pPr>
      <w:spacing w:before="240" w:after="120"/>
      <w:outlineLvl w:val="0"/>
    </w:pPr>
    <w:rPr>
      <w:rFonts w:ascii="Times New Roman" w:hAnsi="Times New Roman"/>
      <w:b/>
      <w:sz w:val="28"/>
    </w:rPr>
  </w:style>
  <w:style w:type="paragraph" w:customStyle="1" w:styleId="AllowPageBreak">
    <w:name w:val="AllowPageBreak"/>
    <w:rsid w:val="000041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41C2"/>
    <w:pPr>
      <w:tabs>
        <w:tab w:val="left" w:pos="680"/>
      </w:tabs>
      <w:spacing w:before="60" w:after="60"/>
      <w:ind w:left="680" w:hanging="340"/>
    </w:pPr>
  </w:style>
  <w:style w:type="character" w:customStyle="1" w:styleId="BoldandItalics">
    <w:name w:val="Bold and Italics"/>
    <w:qFormat/>
    <w:rsid w:val="000041C2"/>
    <w:rPr>
      <w:b/>
      <w:i/>
      <w:u w:val="none"/>
    </w:rPr>
  </w:style>
  <w:style w:type="character" w:customStyle="1" w:styleId="Heading2Char">
    <w:name w:val="Heading 2 Char"/>
    <w:link w:val="Heading2"/>
    <w:rsid w:val="000041C2"/>
    <w:rPr>
      <w:rFonts w:ascii="Times New Roman" w:eastAsia="Times New Roman" w:hAnsi="Times New Roman" w:cs="Times New Roman"/>
      <w:b/>
      <w:sz w:val="28"/>
      <w:szCs w:val="40"/>
      <w:lang w:eastAsia="en-US"/>
    </w:rPr>
  </w:style>
  <w:style w:type="character" w:customStyle="1" w:styleId="Heading3Char">
    <w:name w:val="Heading 3 Char"/>
    <w:link w:val="Heading3"/>
    <w:rsid w:val="000041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041C2"/>
    <w:rPr>
      <w:rFonts w:ascii="Times New Roman" w:eastAsia="Times New Roman" w:hAnsi="Times New Roman" w:cs="Times New Roman"/>
      <w:b/>
      <w:szCs w:val="20"/>
      <w:lang w:eastAsia="en-US"/>
    </w:rPr>
  </w:style>
  <w:style w:type="character" w:customStyle="1" w:styleId="Heading5Char">
    <w:name w:val="Heading 5 Char"/>
    <w:link w:val="Heading5"/>
    <w:rsid w:val="000041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04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1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1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1C2"/>
    <w:rPr>
      <w:rFonts w:ascii="Courier New" w:eastAsia="Times New Roman" w:hAnsi="Courier New" w:cs="Times New Roman"/>
      <w:i/>
      <w:szCs w:val="20"/>
      <w:lang w:val="en-US" w:eastAsia="en-US"/>
    </w:rPr>
  </w:style>
  <w:style w:type="paragraph" w:customStyle="1" w:styleId="HeadingBase">
    <w:name w:val="Heading Base"/>
    <w:rsid w:val="00004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1C2"/>
    <w:pPr>
      <w:tabs>
        <w:tab w:val="right" w:leader="dot" w:pos="9072"/>
      </w:tabs>
      <w:ind w:left="567"/>
    </w:pPr>
    <w:rPr>
      <w:szCs w:val="22"/>
    </w:rPr>
  </w:style>
  <w:style w:type="paragraph" w:customStyle="1" w:styleId="TOCBase">
    <w:name w:val="TOC Base"/>
    <w:rsid w:val="00004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1C2"/>
    <w:pPr>
      <w:tabs>
        <w:tab w:val="right" w:leader="dot" w:pos="9072"/>
      </w:tabs>
      <w:spacing w:before="40" w:after="40"/>
      <w:ind w:left="284"/>
    </w:pPr>
    <w:rPr>
      <w:rFonts w:ascii="Times New Roman" w:hAnsi="Times New Roman"/>
    </w:rPr>
  </w:style>
  <w:style w:type="paragraph" w:styleId="TOC1">
    <w:name w:val="toc 1"/>
    <w:basedOn w:val="TOCBase"/>
    <w:next w:val="Normal"/>
    <w:rsid w:val="000041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1C2"/>
    <w:pPr>
      <w:spacing w:before="5040"/>
      <w:jc w:val="center"/>
    </w:pPr>
    <w:rPr>
      <w:sz w:val="48"/>
      <w:szCs w:val="72"/>
      <w:lang w:val="en-US"/>
    </w:rPr>
  </w:style>
  <w:style w:type="character" w:customStyle="1" w:styleId="TitleChar">
    <w:name w:val="Title Char"/>
    <w:link w:val="Title"/>
    <w:rsid w:val="00004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1C2"/>
    <w:pPr>
      <w:tabs>
        <w:tab w:val="left" w:pos="3600"/>
        <w:tab w:val="left" w:pos="3958"/>
      </w:tabs>
    </w:pPr>
  </w:style>
  <w:style w:type="paragraph" w:customStyle="1" w:styleId="Note">
    <w:name w:val="Note"/>
    <w:basedOn w:val="BodyText"/>
    <w:rsid w:val="00004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1C2"/>
    <w:pPr>
      <w:framePr w:wrap="auto" w:hAnchor="text" w:y="6049"/>
    </w:pPr>
    <w:rPr>
      <w:color w:val="000000"/>
      <w:sz w:val="40"/>
    </w:rPr>
  </w:style>
  <w:style w:type="paragraph" w:customStyle="1" w:styleId="TOCTitle">
    <w:name w:val="TOCTitle"/>
    <w:basedOn w:val="Heading1"/>
    <w:rsid w:val="000041C2"/>
    <w:pPr>
      <w:spacing w:after="240"/>
      <w:jc w:val="center"/>
      <w:outlineLvl w:val="9"/>
    </w:pPr>
    <w:rPr>
      <w:caps/>
    </w:rPr>
  </w:style>
  <w:style w:type="paragraph" w:customStyle="1" w:styleId="Version">
    <w:name w:val="Version"/>
    <w:rsid w:val="000041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1C2"/>
    <w:pPr>
      <w:keepNext w:val="0"/>
      <w:tabs>
        <w:tab w:val="right" w:pos="4176"/>
      </w:tabs>
      <w:ind w:left="198" w:hanging="198"/>
    </w:pPr>
    <w:rPr>
      <w:rFonts w:ascii="Garamond" w:hAnsi="Garamond"/>
    </w:rPr>
  </w:style>
  <w:style w:type="paragraph" w:styleId="IndexHeading">
    <w:name w:val="index heading"/>
    <w:basedOn w:val="Normal"/>
    <w:next w:val="Index1"/>
    <w:semiHidden/>
    <w:rsid w:val="000041C2"/>
    <w:pPr>
      <w:spacing w:before="120" w:after="120"/>
    </w:pPr>
    <w:rPr>
      <w:rFonts w:ascii="Arial" w:hAnsi="Arial"/>
      <w:b/>
      <w:color w:val="918585"/>
      <w:sz w:val="24"/>
    </w:rPr>
  </w:style>
  <w:style w:type="paragraph" w:styleId="Header">
    <w:name w:val="header"/>
    <w:basedOn w:val="Normal"/>
    <w:link w:val="HeaderChar"/>
    <w:rsid w:val="00004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041C2"/>
    <w:rPr>
      <w:rFonts w:ascii="Times New Roman" w:eastAsia="Times New Roman" w:hAnsi="Times New Roman" w:cs="Times New Roman"/>
      <w:sz w:val="16"/>
      <w:szCs w:val="20"/>
      <w:lang w:val="en-GB" w:eastAsia="en-US"/>
    </w:rPr>
  </w:style>
  <w:style w:type="paragraph" w:customStyle="1" w:styleId="Chapter">
    <w:name w:val="Chapter"/>
    <w:basedOn w:val="Normal"/>
    <w:rsid w:val="000041C2"/>
    <w:pPr>
      <w:spacing w:before="240"/>
    </w:pPr>
    <w:rPr>
      <w:rFonts w:ascii="Times New Roman" w:hAnsi="Times New Roman"/>
      <w:smallCaps/>
      <w:spacing w:val="80"/>
      <w:sz w:val="28"/>
    </w:rPr>
  </w:style>
  <w:style w:type="paragraph" w:customStyle="1" w:styleId="InChapter">
    <w:name w:val="InChapter"/>
    <w:basedOn w:val="Heading3"/>
    <w:rsid w:val="000041C2"/>
    <w:pPr>
      <w:spacing w:after="240"/>
      <w:outlineLvl w:val="9"/>
    </w:pPr>
    <w:rPr>
      <w:noProof/>
    </w:rPr>
  </w:style>
  <w:style w:type="paragraph" w:styleId="Index2">
    <w:name w:val="index 2"/>
    <w:basedOn w:val="Normal"/>
    <w:next w:val="Normal"/>
    <w:semiHidden/>
    <w:rsid w:val="000041C2"/>
    <w:pPr>
      <w:tabs>
        <w:tab w:val="right" w:pos="4176"/>
      </w:tabs>
      <w:ind w:left="568" w:hanging="284"/>
    </w:pPr>
    <w:rPr>
      <w:rFonts w:ascii="Garamond" w:hAnsi="Garamond"/>
    </w:rPr>
  </w:style>
  <w:style w:type="paragraph" w:customStyle="1" w:styleId="Byline">
    <w:name w:val="Byline"/>
    <w:rsid w:val="00004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1C2"/>
    <w:pPr>
      <w:tabs>
        <w:tab w:val="clear" w:pos="3600"/>
        <w:tab w:val="clear" w:pos="3958"/>
      </w:tabs>
      <w:jc w:val="right"/>
    </w:pPr>
  </w:style>
  <w:style w:type="character" w:styleId="Emphasis">
    <w:name w:val="Emphasis"/>
    <w:qFormat/>
    <w:rsid w:val="000041C2"/>
    <w:rPr>
      <w:i/>
    </w:rPr>
  </w:style>
  <w:style w:type="paragraph" w:styleId="Caption">
    <w:name w:val="caption"/>
    <w:basedOn w:val="BodyText"/>
    <w:next w:val="Normal"/>
    <w:qFormat/>
    <w:rsid w:val="000041C2"/>
    <w:pPr>
      <w:framePr w:w="2268" w:hSpace="181" w:vSpace="181" w:wrap="around" w:vAnchor="text" w:hAnchor="page" w:x="1135" w:y="285" w:anchorLock="1"/>
    </w:pPr>
    <w:rPr>
      <w:i/>
    </w:rPr>
  </w:style>
  <w:style w:type="paragraph" w:customStyle="1" w:styleId="MiniTOCTitle">
    <w:name w:val="MiniTOCTitle"/>
    <w:basedOn w:val="Heading4"/>
    <w:rsid w:val="000041C2"/>
    <w:pPr>
      <w:spacing w:before="240"/>
      <w:outlineLvl w:val="9"/>
    </w:pPr>
    <w:rPr>
      <w:noProof/>
      <w:sz w:val="24"/>
    </w:rPr>
  </w:style>
  <w:style w:type="paragraph" w:customStyle="1" w:styleId="MiniTOCItem">
    <w:name w:val="MiniTOCItem"/>
    <w:basedOn w:val="ListBullet"/>
    <w:rsid w:val="000041C2"/>
    <w:pPr>
      <w:numPr>
        <w:numId w:val="0"/>
      </w:numPr>
      <w:tabs>
        <w:tab w:val="right" w:leader="dot" w:pos="6521"/>
      </w:tabs>
      <w:spacing w:before="0" w:after="0"/>
    </w:pPr>
  </w:style>
  <w:style w:type="paragraph" w:customStyle="1" w:styleId="TOFTitle">
    <w:name w:val="TOFTitle"/>
    <w:basedOn w:val="TOCTitle"/>
    <w:rsid w:val="000041C2"/>
  </w:style>
  <w:style w:type="paragraph" w:styleId="TableofFigures">
    <w:name w:val="table of figures"/>
    <w:basedOn w:val="Normal"/>
    <w:next w:val="Normal"/>
    <w:semiHidden/>
    <w:rsid w:val="000041C2"/>
    <w:pPr>
      <w:tabs>
        <w:tab w:val="right" w:leader="dot" w:pos="9072"/>
      </w:tabs>
      <w:ind w:left="970" w:hanging="403"/>
    </w:pPr>
    <w:rPr>
      <w:rFonts w:ascii="Times New Roman" w:hAnsi="Times New Roman"/>
      <w:b/>
    </w:rPr>
  </w:style>
  <w:style w:type="paragraph" w:styleId="ListNumber">
    <w:name w:val="List Number"/>
    <w:basedOn w:val="List"/>
    <w:rsid w:val="000041C2"/>
    <w:pPr>
      <w:numPr>
        <w:numId w:val="11"/>
      </w:numPr>
    </w:pPr>
  </w:style>
  <w:style w:type="character" w:customStyle="1" w:styleId="WingdingSymbols">
    <w:name w:val="Wingding Symbols"/>
    <w:rsid w:val="000041C2"/>
    <w:rPr>
      <w:rFonts w:ascii="Wingdings" w:hAnsi="Wingdings"/>
    </w:rPr>
  </w:style>
  <w:style w:type="paragraph" w:customStyle="1" w:styleId="TableHeading">
    <w:name w:val="Table Heading"/>
    <w:basedOn w:val="HeadingBase"/>
    <w:rsid w:val="000041C2"/>
    <w:pPr>
      <w:keepLines/>
      <w:pBdr>
        <w:bottom w:val="single" w:sz="6" w:space="1" w:color="918585"/>
      </w:pBdr>
      <w:spacing w:before="240"/>
    </w:pPr>
  </w:style>
  <w:style w:type="character" w:customStyle="1" w:styleId="HotSpot">
    <w:name w:val="HotSpot"/>
    <w:rsid w:val="000041C2"/>
    <w:rPr>
      <w:color w:val="0033CC"/>
      <w:u w:val="none"/>
    </w:rPr>
  </w:style>
  <w:style w:type="paragraph" w:customStyle="1" w:styleId="BodyTextRight">
    <w:name w:val="Body Text Right"/>
    <w:basedOn w:val="BodyText"/>
    <w:rsid w:val="000041C2"/>
    <w:pPr>
      <w:spacing w:before="0" w:after="0"/>
      <w:jc w:val="right"/>
    </w:pPr>
  </w:style>
  <w:style w:type="paragraph" w:styleId="Index3">
    <w:name w:val="index 3"/>
    <w:basedOn w:val="ListNumber2"/>
    <w:next w:val="Normal"/>
    <w:semiHidden/>
    <w:rsid w:val="000041C2"/>
    <w:pPr>
      <w:numPr>
        <w:numId w:val="0"/>
      </w:numPr>
      <w:tabs>
        <w:tab w:val="right" w:leader="dot" w:pos="4176"/>
      </w:tabs>
    </w:pPr>
  </w:style>
  <w:style w:type="paragraph" w:styleId="ListNumber2">
    <w:name w:val="List Number 2"/>
    <w:basedOn w:val="List2"/>
    <w:rsid w:val="000041C2"/>
    <w:pPr>
      <w:numPr>
        <w:numId w:val="10"/>
      </w:numPr>
      <w:tabs>
        <w:tab w:val="clear" w:pos="1060"/>
      </w:tabs>
    </w:pPr>
  </w:style>
  <w:style w:type="paragraph" w:customStyle="1" w:styleId="MarginNote">
    <w:name w:val="Margin Note"/>
    <w:basedOn w:val="BodyText"/>
    <w:rsid w:val="00004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041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1C2"/>
    <w:rPr>
      <w:sz w:val="32"/>
    </w:rPr>
  </w:style>
  <w:style w:type="paragraph" w:customStyle="1" w:styleId="HeadingProcedure">
    <w:name w:val="Heading Procedure"/>
    <w:basedOn w:val="HeadingBase"/>
    <w:next w:val="Normal"/>
    <w:rsid w:val="000041C2"/>
    <w:pPr>
      <w:tabs>
        <w:tab w:val="left" w:pos="0"/>
      </w:tabs>
      <w:spacing w:before="120" w:after="60"/>
    </w:pPr>
    <w:rPr>
      <w:i/>
      <w:color w:val="918585"/>
      <w:sz w:val="22"/>
    </w:rPr>
  </w:style>
  <w:style w:type="paragraph" w:customStyle="1" w:styleId="TableBodyText">
    <w:name w:val="Table Body Text"/>
    <w:basedOn w:val="BodyText"/>
    <w:rsid w:val="000041C2"/>
    <w:pPr>
      <w:spacing w:before="60" w:after="60"/>
    </w:pPr>
  </w:style>
  <w:style w:type="paragraph" w:styleId="ListContinue">
    <w:name w:val="List Continue"/>
    <w:basedOn w:val="List"/>
    <w:rsid w:val="000041C2"/>
    <w:pPr>
      <w:ind w:firstLine="0"/>
    </w:pPr>
  </w:style>
  <w:style w:type="paragraph" w:customStyle="1" w:styleId="ListNote">
    <w:name w:val="List Note"/>
    <w:basedOn w:val="List"/>
    <w:rsid w:val="000041C2"/>
    <w:pPr>
      <w:pBdr>
        <w:top w:val="single" w:sz="6" w:space="2" w:color="918585"/>
        <w:bottom w:val="single" w:sz="6" w:space="2" w:color="918585"/>
      </w:pBdr>
      <w:tabs>
        <w:tab w:val="left" w:pos="1021"/>
      </w:tabs>
      <w:ind w:firstLine="0"/>
    </w:pPr>
  </w:style>
  <w:style w:type="paragraph" w:customStyle="1" w:styleId="Warning">
    <w:name w:val="Warning"/>
    <w:basedOn w:val="BodyText"/>
    <w:rsid w:val="000041C2"/>
    <w:pPr>
      <w:shd w:val="clear" w:color="auto" w:fill="D9D9D9"/>
      <w:tabs>
        <w:tab w:val="left" w:pos="992"/>
      </w:tabs>
      <w:ind w:left="119" w:right="119"/>
    </w:pPr>
    <w:rPr>
      <w:sz w:val="20"/>
    </w:rPr>
  </w:style>
  <w:style w:type="paragraph" w:customStyle="1" w:styleId="MarginIcons">
    <w:name w:val="Margin Icons"/>
    <w:basedOn w:val="BodyText"/>
    <w:rsid w:val="000041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041C2"/>
    <w:rPr>
      <w:rFonts w:ascii="Courier New" w:hAnsi="Courier New"/>
    </w:rPr>
  </w:style>
  <w:style w:type="paragraph" w:customStyle="1" w:styleId="NoteBullet">
    <w:name w:val="Note Bullet"/>
    <w:basedOn w:val="Note"/>
    <w:rsid w:val="000041C2"/>
    <w:pPr>
      <w:tabs>
        <w:tab w:val="clear" w:pos="680"/>
      </w:tabs>
      <w:spacing w:before="60" w:after="60"/>
    </w:pPr>
  </w:style>
  <w:style w:type="paragraph" w:customStyle="1" w:styleId="SubHeading2">
    <w:name w:val="SubHeading2"/>
    <w:basedOn w:val="HeadingBase"/>
    <w:rsid w:val="000041C2"/>
    <w:pPr>
      <w:spacing w:before="240" w:after="60"/>
    </w:pPr>
    <w:rPr>
      <w:sz w:val="20"/>
    </w:rPr>
  </w:style>
  <w:style w:type="paragraph" w:customStyle="1" w:styleId="SubHeading1">
    <w:name w:val="SubHeading1"/>
    <w:basedOn w:val="HeadingBase"/>
    <w:rsid w:val="000041C2"/>
    <w:pPr>
      <w:spacing w:before="240" w:after="60"/>
    </w:pPr>
    <w:rPr>
      <w:color w:val="918585"/>
      <w:sz w:val="22"/>
    </w:rPr>
  </w:style>
  <w:style w:type="paragraph" w:customStyle="1" w:styleId="SideHeading">
    <w:name w:val="Side Heading"/>
    <w:basedOn w:val="HeadingBase"/>
    <w:rsid w:val="00004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1C2"/>
    <w:pPr>
      <w:numPr>
        <w:numId w:val="12"/>
      </w:numPr>
    </w:pPr>
  </w:style>
  <w:style w:type="paragraph" w:styleId="PlainText">
    <w:name w:val="Plain Text"/>
    <w:basedOn w:val="Normal"/>
    <w:link w:val="PlainTextChar"/>
    <w:rsid w:val="000041C2"/>
    <w:rPr>
      <w:sz w:val="20"/>
    </w:rPr>
  </w:style>
  <w:style w:type="character" w:customStyle="1" w:styleId="PlainTextChar">
    <w:name w:val="Plain Text Char"/>
    <w:basedOn w:val="DefaultParagraphFont"/>
    <w:link w:val="PlainText"/>
    <w:rsid w:val="000041C2"/>
    <w:rPr>
      <w:rFonts w:ascii="Courier New" w:eastAsia="Times New Roman" w:hAnsi="Courier New" w:cs="Times New Roman"/>
      <w:sz w:val="20"/>
      <w:szCs w:val="20"/>
      <w:lang w:val="en-US" w:eastAsia="en-US"/>
    </w:rPr>
  </w:style>
  <w:style w:type="character" w:customStyle="1" w:styleId="MenuOption">
    <w:name w:val="Menu Option"/>
    <w:rsid w:val="000041C2"/>
    <w:rPr>
      <w:b/>
      <w:smallCaps/>
    </w:rPr>
  </w:style>
  <w:style w:type="paragraph" w:customStyle="1" w:styleId="TableListNumber">
    <w:name w:val="Table List Number"/>
    <w:basedOn w:val="ListNumber"/>
    <w:rsid w:val="000041C2"/>
    <w:pPr>
      <w:numPr>
        <w:numId w:val="0"/>
      </w:numPr>
    </w:pPr>
  </w:style>
  <w:style w:type="paragraph" w:styleId="TOC4">
    <w:name w:val="toc 4"/>
    <w:basedOn w:val="TOCBase"/>
    <w:next w:val="Normal"/>
    <w:semiHidden/>
    <w:rsid w:val="000041C2"/>
    <w:pPr>
      <w:tabs>
        <w:tab w:val="right" w:leader="dot" w:pos="9071"/>
      </w:tabs>
      <w:ind w:left="1701"/>
    </w:pPr>
  </w:style>
  <w:style w:type="paragraph" w:customStyle="1" w:styleId="ListAlpha">
    <w:name w:val="List Alpha"/>
    <w:basedOn w:val="List"/>
    <w:rsid w:val="000041C2"/>
    <w:pPr>
      <w:numPr>
        <w:numId w:val="9"/>
      </w:numPr>
    </w:pPr>
  </w:style>
  <w:style w:type="paragraph" w:customStyle="1" w:styleId="ListAlpha2">
    <w:name w:val="List Alpha 2"/>
    <w:basedOn w:val="List2"/>
    <w:rsid w:val="000041C2"/>
    <w:pPr>
      <w:numPr>
        <w:numId w:val="8"/>
      </w:numPr>
    </w:pPr>
  </w:style>
  <w:style w:type="paragraph" w:styleId="List3">
    <w:name w:val="List 3"/>
    <w:basedOn w:val="BodyText"/>
    <w:rsid w:val="000041C2"/>
    <w:pPr>
      <w:tabs>
        <w:tab w:val="left" w:pos="1021"/>
      </w:tabs>
      <w:spacing w:before="60" w:after="60"/>
      <w:ind w:left="1020" w:hanging="340"/>
    </w:pPr>
  </w:style>
  <w:style w:type="paragraph" w:styleId="List4">
    <w:name w:val="List 4"/>
    <w:basedOn w:val="BodyText"/>
    <w:rsid w:val="000041C2"/>
    <w:pPr>
      <w:tabs>
        <w:tab w:val="left" w:pos="1361"/>
      </w:tabs>
      <w:spacing w:before="60" w:after="60"/>
      <w:ind w:left="1361" w:hanging="340"/>
    </w:pPr>
  </w:style>
  <w:style w:type="paragraph" w:styleId="List5">
    <w:name w:val="List 5"/>
    <w:basedOn w:val="BodyText"/>
    <w:rsid w:val="000041C2"/>
    <w:pPr>
      <w:tabs>
        <w:tab w:val="left" w:pos="1701"/>
      </w:tabs>
      <w:spacing w:before="60" w:after="60"/>
      <w:ind w:left="1701" w:hanging="340"/>
    </w:pPr>
  </w:style>
  <w:style w:type="paragraph" w:styleId="ListBullet3">
    <w:name w:val="List Bullet 3"/>
    <w:basedOn w:val="List3"/>
    <w:rsid w:val="000041C2"/>
    <w:pPr>
      <w:numPr>
        <w:numId w:val="15"/>
      </w:numPr>
      <w:tabs>
        <w:tab w:val="clear" w:pos="1021"/>
      </w:tabs>
      <w:ind w:left="1037" w:hanging="357"/>
    </w:pPr>
  </w:style>
  <w:style w:type="paragraph" w:styleId="ListBullet4">
    <w:name w:val="List Bullet 4"/>
    <w:basedOn w:val="List4"/>
    <w:rsid w:val="000041C2"/>
    <w:pPr>
      <w:numPr>
        <w:numId w:val="3"/>
      </w:numPr>
    </w:pPr>
  </w:style>
  <w:style w:type="paragraph" w:styleId="ListBullet5">
    <w:name w:val="List Bullet 5"/>
    <w:basedOn w:val="List5"/>
    <w:rsid w:val="000041C2"/>
    <w:pPr>
      <w:numPr>
        <w:numId w:val="4"/>
      </w:numPr>
    </w:pPr>
  </w:style>
  <w:style w:type="paragraph" w:styleId="ListContinue2">
    <w:name w:val="List Continue 2"/>
    <w:basedOn w:val="List2"/>
    <w:rsid w:val="000041C2"/>
    <w:pPr>
      <w:ind w:firstLine="0"/>
    </w:pPr>
  </w:style>
  <w:style w:type="paragraph" w:styleId="ListContinue3">
    <w:name w:val="List Continue 3"/>
    <w:basedOn w:val="List3"/>
    <w:rsid w:val="000041C2"/>
    <w:pPr>
      <w:ind w:left="1021" w:firstLine="0"/>
    </w:pPr>
  </w:style>
  <w:style w:type="paragraph" w:styleId="ListContinue4">
    <w:name w:val="List Continue 4"/>
    <w:basedOn w:val="List4"/>
    <w:rsid w:val="000041C2"/>
    <w:pPr>
      <w:ind w:firstLine="0"/>
    </w:pPr>
  </w:style>
  <w:style w:type="paragraph" w:styleId="ListContinue5">
    <w:name w:val="List Continue 5"/>
    <w:basedOn w:val="List5"/>
    <w:rsid w:val="000041C2"/>
    <w:pPr>
      <w:ind w:firstLine="0"/>
    </w:pPr>
  </w:style>
  <w:style w:type="paragraph" w:styleId="ListNumber3">
    <w:name w:val="List Number 3"/>
    <w:basedOn w:val="List3"/>
    <w:rsid w:val="000041C2"/>
    <w:pPr>
      <w:numPr>
        <w:numId w:val="5"/>
      </w:numPr>
    </w:pPr>
  </w:style>
  <w:style w:type="paragraph" w:styleId="ListNumber4">
    <w:name w:val="List Number 4"/>
    <w:basedOn w:val="List4"/>
    <w:rsid w:val="000041C2"/>
    <w:pPr>
      <w:numPr>
        <w:numId w:val="6"/>
      </w:numPr>
    </w:pPr>
  </w:style>
  <w:style w:type="paragraph" w:styleId="ListNumber5">
    <w:name w:val="List Number 5"/>
    <w:basedOn w:val="List5"/>
    <w:rsid w:val="000041C2"/>
    <w:pPr>
      <w:numPr>
        <w:numId w:val="7"/>
      </w:numPr>
    </w:pPr>
  </w:style>
  <w:style w:type="paragraph" w:styleId="BlockText">
    <w:name w:val="Block Text"/>
    <w:basedOn w:val="Normal"/>
    <w:rsid w:val="000041C2"/>
    <w:pPr>
      <w:spacing w:after="120"/>
      <w:ind w:left="1440" w:right="1440"/>
    </w:pPr>
  </w:style>
  <w:style w:type="character" w:customStyle="1" w:styleId="Subscript">
    <w:name w:val="Subscript"/>
    <w:rsid w:val="000041C2"/>
    <w:rPr>
      <w:sz w:val="16"/>
      <w:vertAlign w:val="subscript"/>
    </w:rPr>
  </w:style>
  <w:style w:type="character" w:customStyle="1" w:styleId="Superscript">
    <w:name w:val="Superscript"/>
    <w:rsid w:val="000041C2"/>
    <w:rPr>
      <w:sz w:val="16"/>
      <w:vertAlign w:val="superscript"/>
    </w:rPr>
  </w:style>
  <w:style w:type="character" w:customStyle="1" w:styleId="Symbols">
    <w:name w:val="Symbols"/>
    <w:rsid w:val="000041C2"/>
    <w:rPr>
      <w:rFonts w:ascii="Symbol" w:hAnsi="Symbol"/>
    </w:rPr>
  </w:style>
  <w:style w:type="character" w:customStyle="1" w:styleId="MenuOptions">
    <w:name w:val="Menu Options"/>
    <w:rsid w:val="000041C2"/>
    <w:rPr>
      <w:rFonts w:ascii="Arial Narrow" w:hAnsi="Arial Narrow"/>
      <w:smallCaps/>
    </w:rPr>
  </w:style>
  <w:style w:type="character" w:customStyle="1" w:styleId="Buttons">
    <w:name w:val="Buttons"/>
    <w:rsid w:val="000041C2"/>
    <w:rPr>
      <w:b/>
    </w:rPr>
  </w:style>
  <w:style w:type="character" w:customStyle="1" w:styleId="Underlined">
    <w:name w:val="Underlined"/>
    <w:rsid w:val="000041C2"/>
    <w:rPr>
      <w:u w:val="single"/>
    </w:rPr>
  </w:style>
  <w:style w:type="paragraph" w:customStyle="1" w:styleId="TableBodyTextRight">
    <w:name w:val="Table Body Text Right"/>
    <w:basedOn w:val="TableBodyText"/>
    <w:rsid w:val="000041C2"/>
    <w:pPr>
      <w:widowControl w:val="0"/>
      <w:autoSpaceDE w:val="0"/>
      <w:autoSpaceDN w:val="0"/>
      <w:adjustRightInd w:val="0"/>
      <w:jc w:val="right"/>
    </w:pPr>
    <w:rPr>
      <w:rFonts w:cs="Arial"/>
      <w:szCs w:val="18"/>
    </w:rPr>
  </w:style>
  <w:style w:type="paragraph" w:customStyle="1" w:styleId="CopyrightText">
    <w:name w:val="Copyright Text"/>
    <w:basedOn w:val="BodyText"/>
    <w:rsid w:val="000041C2"/>
    <w:rPr>
      <w:sz w:val="18"/>
    </w:rPr>
  </w:style>
  <w:style w:type="paragraph" w:customStyle="1" w:styleId="BodySmallRight">
    <w:name w:val="Body Small Right"/>
    <w:basedOn w:val="BodyTextRight"/>
    <w:rsid w:val="000041C2"/>
    <w:rPr>
      <w:sz w:val="18"/>
      <w:szCs w:val="18"/>
    </w:rPr>
  </w:style>
  <w:style w:type="paragraph" w:customStyle="1" w:styleId="MarginEdition">
    <w:name w:val="Margin Edition"/>
    <w:basedOn w:val="MarginNote"/>
    <w:rsid w:val="000041C2"/>
    <w:pPr>
      <w:spacing w:before="0" w:after="0"/>
    </w:pPr>
    <w:rPr>
      <w:rFonts w:ascii="Times New Roman" w:hAnsi="Times New Roman"/>
      <w:color w:val="999999"/>
    </w:rPr>
  </w:style>
  <w:style w:type="paragraph" w:customStyle="1" w:styleId="Spacer">
    <w:name w:val="Spacer"/>
    <w:basedOn w:val="Normal"/>
    <w:rsid w:val="000041C2"/>
    <w:rPr>
      <w:sz w:val="2"/>
      <w:szCs w:val="2"/>
    </w:rPr>
  </w:style>
  <w:style w:type="character" w:customStyle="1" w:styleId="Small">
    <w:name w:val="Small"/>
    <w:rsid w:val="000041C2"/>
    <w:rPr>
      <w:sz w:val="16"/>
    </w:rPr>
  </w:style>
  <w:style w:type="paragraph" w:customStyle="1" w:styleId="WideTable">
    <w:name w:val="Wide Table"/>
    <w:basedOn w:val="Normal"/>
    <w:rsid w:val="000041C2"/>
    <w:pPr>
      <w:ind w:left="-1418"/>
    </w:pPr>
    <w:rPr>
      <w:sz w:val="2"/>
      <w:szCs w:val="2"/>
    </w:rPr>
  </w:style>
  <w:style w:type="character" w:styleId="PageNumber">
    <w:name w:val="page number"/>
    <w:rsid w:val="000041C2"/>
  </w:style>
  <w:style w:type="paragraph" w:styleId="Quote">
    <w:name w:val="Quote"/>
    <w:basedOn w:val="Heading1"/>
    <w:link w:val="QuoteChar"/>
    <w:qFormat/>
    <w:rsid w:val="000041C2"/>
    <w:rPr>
      <w:b w:val="0"/>
      <w:sz w:val="72"/>
      <w:szCs w:val="72"/>
      <w:lang w:val="en-NZ"/>
    </w:rPr>
  </w:style>
  <w:style w:type="character" w:customStyle="1" w:styleId="QuoteChar">
    <w:name w:val="Quote Char"/>
    <w:link w:val="Quote"/>
    <w:rsid w:val="00004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1C2"/>
    <w:pPr>
      <w:pageBreakBefore/>
    </w:pPr>
  </w:style>
  <w:style w:type="paragraph" w:customStyle="1" w:styleId="Border">
    <w:name w:val="Border"/>
    <w:basedOn w:val="Normal"/>
    <w:qFormat/>
    <w:rsid w:val="000041C2"/>
    <w:pPr>
      <w:pBdr>
        <w:top w:val="single" w:sz="18" w:space="1" w:color="auto"/>
      </w:pBdr>
    </w:pPr>
    <w:rPr>
      <w:rFonts w:ascii="Times New Roman" w:hAnsi="Times New Roman"/>
      <w:color w:val="FFFFFF"/>
      <w:sz w:val="2"/>
    </w:rPr>
  </w:style>
  <w:style w:type="character" w:styleId="IntenseEmphasis">
    <w:name w:val="Intense Emphasis"/>
    <w:uiPriority w:val="21"/>
    <w:qFormat/>
    <w:rsid w:val="000041C2"/>
    <w:rPr>
      <w:b/>
      <w:bCs/>
      <w:i/>
      <w:iCs/>
      <w:color w:val="auto"/>
    </w:rPr>
  </w:style>
  <w:style w:type="paragraph" w:styleId="IntenseQuote">
    <w:name w:val="Intense Quote"/>
    <w:basedOn w:val="Normal"/>
    <w:next w:val="Normal"/>
    <w:link w:val="IntenseQuoteChar"/>
    <w:uiPriority w:val="30"/>
    <w:qFormat/>
    <w:rsid w:val="000041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041C2"/>
    <w:rPr>
      <w:rFonts w:ascii="Courier New" w:eastAsia="Times New Roman" w:hAnsi="Courier New" w:cs="Times New Roman"/>
      <w:b/>
      <w:bCs/>
      <w:i/>
      <w:iCs/>
      <w:szCs w:val="20"/>
      <w:lang w:val="en-US" w:eastAsia="en-US"/>
    </w:rPr>
  </w:style>
  <w:style w:type="character" w:styleId="SubtleReference">
    <w:name w:val="Subtle Reference"/>
    <w:uiPriority w:val="31"/>
    <w:qFormat/>
    <w:rsid w:val="000041C2"/>
    <w:rPr>
      <w:smallCaps/>
      <w:color w:val="auto"/>
      <w:u w:val="single"/>
    </w:rPr>
  </w:style>
  <w:style w:type="character" w:styleId="IntenseReference">
    <w:name w:val="Intense Reference"/>
    <w:uiPriority w:val="32"/>
    <w:qFormat/>
    <w:rsid w:val="000041C2"/>
    <w:rPr>
      <w:b/>
      <w:bCs/>
      <w:smallCaps/>
      <w:color w:val="auto"/>
      <w:spacing w:val="5"/>
      <w:u w:val="single"/>
    </w:rPr>
  </w:style>
  <w:style w:type="paragraph" w:customStyle="1" w:styleId="2ColumnHeading">
    <w:name w:val="2Column Heading"/>
    <w:basedOn w:val="BodyText"/>
    <w:qFormat/>
    <w:rsid w:val="000041C2"/>
    <w:pPr>
      <w:spacing w:after="60"/>
      <w:ind w:left="-2268"/>
    </w:pPr>
    <w:rPr>
      <w:b/>
    </w:rPr>
  </w:style>
  <w:style w:type="paragraph" w:customStyle="1" w:styleId="Heading1TOC">
    <w:name w:val="Heading1 TOC"/>
    <w:basedOn w:val="Normal"/>
    <w:qFormat/>
    <w:rsid w:val="000041C2"/>
    <w:pPr>
      <w:spacing w:before="240" w:after="120"/>
    </w:pPr>
    <w:rPr>
      <w:rFonts w:ascii="Times New Roman" w:hAnsi="Times New Roman"/>
      <w:b/>
      <w:sz w:val="32"/>
    </w:rPr>
  </w:style>
  <w:style w:type="paragraph" w:customStyle="1" w:styleId="Heading2TOC">
    <w:name w:val="Heading2 TOC"/>
    <w:basedOn w:val="Normal"/>
    <w:qFormat/>
    <w:rsid w:val="000041C2"/>
    <w:pPr>
      <w:spacing w:before="240" w:after="60"/>
    </w:pPr>
    <w:rPr>
      <w:rFonts w:ascii="Times New Roman" w:hAnsi="Times New Roman"/>
      <w:b/>
      <w:sz w:val="28"/>
    </w:rPr>
  </w:style>
  <w:style w:type="character" w:customStyle="1" w:styleId="Underline">
    <w:name w:val="Underline"/>
    <w:qFormat/>
    <w:rsid w:val="000041C2"/>
    <w:rPr>
      <w:u w:val="single"/>
    </w:rPr>
  </w:style>
  <w:style w:type="paragraph" w:styleId="BalloonText">
    <w:name w:val="Balloon Text"/>
    <w:basedOn w:val="Normal"/>
    <w:link w:val="BalloonTextChar"/>
    <w:rsid w:val="000041C2"/>
    <w:rPr>
      <w:rFonts w:ascii="Tahoma" w:hAnsi="Tahoma" w:cs="Tahoma"/>
      <w:sz w:val="16"/>
      <w:szCs w:val="16"/>
    </w:rPr>
  </w:style>
  <w:style w:type="character" w:customStyle="1" w:styleId="BalloonTextChar">
    <w:name w:val="Balloon Text Char"/>
    <w:link w:val="BalloonText"/>
    <w:rsid w:val="000041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1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041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1300</Words>
  <Characters>8382</Characters>
  <Application>Microsoft Office Word</Application>
  <DocSecurity>0</DocSecurity>
  <Lines>343</Lines>
  <Paragraphs>194</Paragraphs>
  <ScaleCrop>false</ScaleCrop>
  <Company>Author-it Software Corporation Ltd.</Company>
  <LinksUpToDate>false</LinksUpToDate>
  <CharactersWithSpaces>9593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FNSILF402A Settle policy payments and terminations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2012-05-26T16:24:00Z</dcterms:created>
  <dcterms:modified xsi:type="dcterms:W3CDTF">2012-05-26T16:24:00Z</dcterms:modified>
</cp:coreProperties>
</file>