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C51" w:rsidP="00CD4C51">
      <w:pPr>
        <w:pStyle w:val="Title"/>
      </w:pPr>
      <w:r>
        <w:fldChar w:fldCharType="begin"/>
      </w:r>
      <w:r>
        <w:instrText xml:space="preserve"> TITLE   \* MERGEFORMAT </w:instrText>
      </w:r>
      <w:r>
        <w:fldChar w:fldCharType="separate"/>
      </w:r>
      <w:r>
        <w:t>FNSILA502A Evaluate collected information</w:t>
      </w:r>
      <w:r>
        <w:fldChar w:fldCharType="end"/>
      </w:r>
    </w:p>
    <w:p w:rsidR="00CD4C51" w:rsidP="00CD4C51">
      <w:pPr>
        <w:pStyle w:val="Version"/>
        <w:sectPr w:rsidSect="00A31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16E8" w:rsidP="00A316E8">
      <w:pPr>
        <w:pStyle w:val="SuperHeading"/>
      </w:pPr>
      <w:r w:rsidRPr="00A316E8">
        <w:t>FNSILA502A Evaluate collected information</w:t>
      </w:r>
    </w:p>
    <w:p w:rsidR="00000000" w:rsidRPr="00A316E8" w:rsidP="00A316E8">
      <w:pPr>
        <w:pStyle w:val="SuperHeading"/>
      </w:pPr>
    </w:p>
    <w:p w:rsidR="00000000" w:rsidRPr="00A316E8" w:rsidP="00A316E8">
      <w:pPr>
        <w:pStyle w:val="Heading1"/>
      </w:pPr>
      <w:bookmarkStart w:id="1" w:name="O_79143"/>
      <w:bookmarkEnd w:id="1"/>
      <w:r w:rsidRPr="00A316E8">
        <w:t>Modification History</w:t>
      </w:r>
    </w:p>
    <w:p w:rsidR="00000000" w:rsidRPr="00A316E8" w:rsidP="00A316E8">
      <w:pPr>
        <w:pStyle w:val="BodyText"/>
      </w:pPr>
      <w:r w:rsidRPr="00A316E8">
        <w:t>Not applicable.</w:t>
      </w:r>
    </w:p>
    <w:p w:rsidR="00000000" w:rsidRPr="00A316E8" w:rsidP="00A316E8">
      <w:pPr>
        <w:pStyle w:val="AllowPageBreak"/>
      </w:pPr>
    </w:p>
    <w:p w:rsidR="00000000" w:rsidRPr="00A316E8" w:rsidP="00A316E8">
      <w:pPr>
        <w:pStyle w:val="Heading1"/>
      </w:pPr>
      <w:bookmarkStart w:id="2" w:name="O_79144"/>
      <w:bookmarkEnd w:id="2"/>
      <w:r w:rsidRPr="00A316E8">
        <w:t>Unit Descriptor</w:t>
      </w:r>
    </w:p>
    <w:tbl>
      <w:tblPr>
        <w:tblW w:w="0" w:type="auto"/>
        <w:tblLayout w:type="fixed"/>
        <w:tblCellMar>
          <w:left w:w="62" w:type="dxa"/>
          <w:right w:w="62" w:type="dxa"/>
        </w:tblCellMar>
        <w:tblLook w:val="0000"/>
      </w:tblPr>
      <w:tblGrid>
        <w:gridCol w:w="2645"/>
        <w:gridCol w:w="5877"/>
      </w:tblGrid>
      <w:tr w:rsidTr="00CD4C51">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This unit describes the performance outcomes, skills and knowledge required to apply diagnostic and</w:t>
            </w:r>
            <w:r w:rsidRPr="00A316E8">
              <w:t xml:space="preserve"> mathematical skills to determine liability and extent of loss. It encompasses analysis of information obtained through loss investigation and includes evaluation of recovery rights and success relating to a loss situation, and determining the extent of lo</w:t>
            </w:r>
            <w:r w:rsidRPr="00A316E8">
              <w:t>ss, damage or injury.</w:t>
            </w:r>
          </w:p>
          <w:p w:rsidR="00000000" w:rsidRPr="00A316E8" w:rsidP="00A316E8">
            <w:pPr>
              <w:pStyle w:val="BodyText"/>
            </w:pPr>
          </w:p>
          <w:p w:rsidR="00000000" w:rsidRPr="00A316E8" w:rsidP="00A316E8">
            <w:pPr>
              <w:pStyle w:val="BodyText"/>
            </w:pPr>
            <w:r w:rsidRPr="00A316E8">
              <w:t>This unit is applicable to individuals working within enterprises and job roles subject to licensing, legislative, regulatory or certification requirements including legislation administered by the Australian Securities and Investmen</w:t>
            </w:r>
            <w:r w:rsidRPr="00A316E8">
              <w:t>ts Commission (ASIC).</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3" w:name="O_79145"/>
      <w:bookmarkEnd w:id="3"/>
      <w:r w:rsidRPr="00A316E8">
        <w:t>Application of the Unit</w:t>
      </w:r>
    </w:p>
    <w:tbl>
      <w:tblPr>
        <w:tblW w:w="0" w:type="auto"/>
        <w:tblLayout w:type="fixed"/>
        <w:tblCellMar>
          <w:left w:w="62" w:type="dxa"/>
          <w:right w:w="62" w:type="dxa"/>
        </w:tblCellMar>
        <w:tblLook w:val="0000"/>
      </w:tblPr>
      <w:tblGrid>
        <w:gridCol w:w="2721"/>
        <w:gridCol w:w="5801"/>
      </w:tblGrid>
      <w:tr w:rsidTr="00CD4C5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This unit applies to job roles in the loss adjusting sector and may be applied within organisations of various sizes and across a range of customer bases.</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4" w:name="O_79146"/>
      <w:bookmarkEnd w:id="4"/>
      <w:r w:rsidRPr="00A316E8">
        <w:t>Licensing/Regulatory Information</w:t>
      </w:r>
    </w:p>
    <w:p w:rsidR="00000000" w:rsidRPr="00A316E8" w:rsidP="00A316E8">
      <w:pPr>
        <w:pStyle w:val="BodyText"/>
      </w:pPr>
      <w:r w:rsidRPr="00A316E8">
        <w:t>Not applicable.</w:t>
      </w:r>
    </w:p>
    <w:p w:rsidR="00000000" w:rsidRPr="00A316E8" w:rsidP="00A316E8">
      <w:pPr>
        <w:pStyle w:val="AllowPageBreak"/>
      </w:pPr>
    </w:p>
    <w:p w:rsidR="00000000" w:rsidRPr="00A316E8" w:rsidP="00A316E8">
      <w:pPr>
        <w:pStyle w:val="Heading1"/>
      </w:pPr>
      <w:bookmarkStart w:id="5" w:name="O_79148"/>
      <w:bookmarkEnd w:id="5"/>
      <w:r w:rsidRPr="00A316E8">
        <w:t>Pre-Requisites</w:t>
      </w:r>
    </w:p>
    <w:tbl>
      <w:tblPr>
        <w:tblW w:w="0" w:type="auto"/>
        <w:tblLayout w:type="fixed"/>
        <w:tblCellMar>
          <w:left w:w="62" w:type="dxa"/>
          <w:right w:w="62" w:type="dxa"/>
        </w:tblCellMar>
        <w:tblLook w:val="0000"/>
      </w:tblPr>
      <w:tblGrid>
        <w:gridCol w:w="2745"/>
        <w:gridCol w:w="1301"/>
        <w:gridCol w:w="4476"/>
      </w:tblGrid>
      <w:tr w:rsidTr="00CD4C5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p>
        </w:tc>
      </w:tr>
      <w:tr w:rsidTr="00CD4C5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p>
        </w:tc>
      </w:tr>
      <w:tr w:rsidTr="00CD4C5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6" w:name="O_79147"/>
      <w:bookmarkEnd w:id="6"/>
      <w:r w:rsidRPr="00A316E8">
        <w:t>Employability Skills Information</w:t>
      </w:r>
    </w:p>
    <w:tbl>
      <w:tblPr>
        <w:tblW w:w="0" w:type="auto"/>
        <w:tblLayout w:type="fixed"/>
        <w:tblCellMar>
          <w:left w:w="62" w:type="dxa"/>
          <w:right w:w="62" w:type="dxa"/>
        </w:tblCellMar>
        <w:tblLook w:val="0000"/>
      </w:tblPr>
      <w:tblGrid>
        <w:gridCol w:w="2762"/>
        <w:gridCol w:w="5760"/>
      </w:tblGrid>
      <w:tr w:rsidTr="00CD4C5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This unit contains employability skills.</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7" w:name="O_79149"/>
      <w:bookmarkEnd w:id="7"/>
      <w:r w:rsidRPr="00A316E8">
        <w:t>Elements and Performance Criteria Pre-Content</w:t>
      </w:r>
    </w:p>
    <w:tbl>
      <w:tblPr>
        <w:tblW w:w="0" w:type="auto"/>
        <w:tblLayout w:type="fixed"/>
        <w:tblCellMar>
          <w:left w:w="62" w:type="dxa"/>
          <w:right w:w="62" w:type="dxa"/>
        </w:tblCellMar>
        <w:tblLook w:val="0000"/>
      </w:tblPr>
      <w:tblGrid>
        <w:gridCol w:w="2650"/>
        <w:gridCol w:w="5872"/>
      </w:tblGrid>
      <w:tr w:rsidTr="00CD4C51">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Elements describe the essential outcomes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Performance criteria describe the performance needed to demonstrate achievement of the element. Where bold italicised text is used, further info</w:t>
            </w:r>
            <w:r w:rsidRPr="00A316E8">
              <w:t>rmation is detailed in the required skills and knowledge section and the range statement. Assessment of performance is to be consistent with the evidence guide.</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8" w:name="O_79150"/>
      <w:bookmarkEnd w:id="8"/>
      <w:r w:rsidRPr="00A316E8">
        <w:t>Elements and Performance Criteria</w:t>
      </w:r>
    </w:p>
    <w:tbl>
      <w:tblPr>
        <w:tblW w:w="0" w:type="auto"/>
        <w:tblLayout w:type="fixed"/>
        <w:tblCellMar>
          <w:left w:w="62" w:type="dxa"/>
          <w:right w:w="62" w:type="dxa"/>
        </w:tblCellMar>
        <w:tblLook w:val="0000"/>
      </w:tblPr>
      <w:tblGrid>
        <w:gridCol w:w="2650"/>
        <w:gridCol w:w="5872"/>
      </w:tblGrid>
      <w:tr w:rsidTr="00CD4C51">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PERFORMANCE CRITERIA</w:t>
            </w:r>
          </w:p>
        </w:tc>
      </w:tr>
      <w:tr w:rsidTr="00CD4C51">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List"/>
              <w:rPr>
                <w:lang w:val="en-NZ"/>
              </w:rPr>
            </w:pPr>
            <w:r w:rsidRPr="00A316E8">
              <w:t>1.</w:t>
            </w:r>
            <w:r w:rsidRPr="00A316E8">
              <w:tab/>
            </w:r>
            <w:r w:rsidRPr="00A316E8">
              <w:t>Determine whether loss is covered by insurance or other criteria</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2"/>
            </w:pPr>
            <w:r w:rsidRPr="00A316E8">
              <w:t>1.1.</w:t>
            </w:r>
            <w:r w:rsidRPr="00A316E8">
              <w:tab/>
              <w:t>Relevant evidence, facts and information are collected accurately and thoroughly</w:t>
            </w:r>
          </w:p>
          <w:p w:rsidR="00000000" w:rsidP="00A316E8">
            <w:pPr>
              <w:pStyle w:val="List2"/>
              <w:rPr>
                <w:lang w:val="en-NZ"/>
              </w:rPr>
            </w:pPr>
            <w:r w:rsidRPr="00A316E8">
              <w:t>1.2.</w:t>
            </w:r>
            <w:r w:rsidRPr="00A316E8">
              <w:tab/>
            </w:r>
            <w:r w:rsidRPr="00A316E8">
              <w:rPr>
                <w:rStyle w:val="BoldandItalics"/>
              </w:rPr>
              <w:t>Insurance policy</w:t>
            </w:r>
            <w:r w:rsidRPr="00A316E8">
              <w:t xml:space="preserve"> conditions are reviewed to determine whether loss falls within policy coverage</w:t>
            </w:r>
          </w:p>
        </w:tc>
      </w:tr>
      <w:tr w:rsidTr="00CD4C51">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List"/>
              <w:rPr>
                <w:lang w:val="en-NZ"/>
              </w:rPr>
            </w:pPr>
            <w:r w:rsidRPr="00A316E8">
              <w:t>2.</w:t>
            </w:r>
            <w:r w:rsidRPr="00A316E8">
              <w:tab/>
            </w:r>
            <w:r w:rsidRPr="00A316E8">
              <w:t>Apply and analyse established facts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2"/>
            </w:pPr>
            <w:r w:rsidRPr="00A316E8">
              <w:t>2.1.</w:t>
            </w:r>
            <w:r w:rsidRPr="00A316E8">
              <w:tab/>
              <w:t>Validity of claim is assessed against reported circumstances and policy specifications</w:t>
            </w:r>
          </w:p>
          <w:p w:rsidR="00000000" w:rsidRPr="00A316E8" w:rsidP="00A316E8">
            <w:pPr>
              <w:pStyle w:val="List2"/>
            </w:pPr>
            <w:r w:rsidRPr="00A316E8">
              <w:t>2.2.</w:t>
            </w:r>
            <w:r w:rsidRPr="00A316E8">
              <w:tab/>
              <w:t>Fraud indicators are identified accurately and consistently</w:t>
            </w:r>
          </w:p>
          <w:p w:rsidR="00000000" w:rsidRPr="00A316E8" w:rsidP="00A316E8">
            <w:pPr>
              <w:pStyle w:val="List2"/>
            </w:pPr>
            <w:r w:rsidRPr="00A316E8">
              <w:t>2.3.</w:t>
            </w:r>
            <w:r w:rsidRPr="00A316E8">
              <w:tab/>
              <w:t>Appropriate analysis techniques are applied and data is pr</w:t>
            </w:r>
            <w:r w:rsidRPr="00A316E8">
              <w:t>ioritised and assessed thoroughly</w:t>
            </w:r>
          </w:p>
          <w:p w:rsidR="00000000" w:rsidP="00A316E8">
            <w:pPr>
              <w:pStyle w:val="List2"/>
              <w:rPr>
                <w:lang w:val="en-NZ"/>
              </w:rPr>
            </w:pPr>
            <w:r w:rsidRPr="00A316E8">
              <w:t>2.4.</w:t>
            </w:r>
            <w:r w:rsidRPr="00A316E8">
              <w:tab/>
              <w:t xml:space="preserve">Data analysis techniques and procedures are </w:t>
            </w:r>
            <w:r w:rsidRPr="00A316E8">
              <w:rPr>
                <w:rStyle w:val="BoldandItalics"/>
              </w:rPr>
              <w:t>documented</w:t>
            </w:r>
            <w:r w:rsidRPr="00A316E8">
              <w:t xml:space="preserve"> and recorded promptly and accurately</w:t>
            </w:r>
          </w:p>
        </w:tc>
      </w:tr>
      <w:tr w:rsidTr="00CD4C51">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List"/>
              <w:rPr>
                <w:lang w:val="en-NZ"/>
              </w:rPr>
            </w:pPr>
            <w:r w:rsidRPr="00A316E8">
              <w:t>3.</w:t>
            </w:r>
            <w:r w:rsidRPr="00A316E8">
              <w:tab/>
              <w:t>Determine extent of loss/damage/injury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2"/>
            </w:pPr>
            <w:r w:rsidRPr="00A316E8">
              <w:t>3.1.</w:t>
            </w:r>
            <w:r w:rsidRPr="00A316E8">
              <w:tab/>
              <w:t xml:space="preserve">Extent of </w:t>
            </w:r>
            <w:r w:rsidRPr="00A316E8">
              <w:rPr>
                <w:rStyle w:val="BoldandItalics"/>
              </w:rPr>
              <w:t>liability</w:t>
            </w:r>
            <w:r w:rsidRPr="00A316E8">
              <w:t xml:space="preserve"> and loss is determined against available evidence and fac</w:t>
            </w:r>
            <w:r w:rsidRPr="00A316E8">
              <w:t xml:space="preserve">ts and in accordance with </w:t>
            </w:r>
            <w:r w:rsidRPr="00A316E8">
              <w:rPr>
                <w:rStyle w:val="BoldandItalics"/>
              </w:rPr>
              <w:t>legislative</w:t>
            </w:r>
            <w:r w:rsidRPr="00A316E8">
              <w:t xml:space="preserve"> and/or insurers, or client, or </w:t>
            </w:r>
            <w:r w:rsidRPr="00A316E8">
              <w:rPr>
                <w:rStyle w:val="BoldandItalics"/>
              </w:rPr>
              <w:t>organisation policy and guidelines</w:t>
            </w:r>
          </w:p>
          <w:p w:rsidR="00000000" w:rsidP="00A316E8">
            <w:pPr>
              <w:pStyle w:val="List2"/>
              <w:rPr>
                <w:lang w:val="en-NZ"/>
              </w:rPr>
            </w:pPr>
            <w:r w:rsidRPr="00A316E8">
              <w:t>3.2.</w:t>
            </w:r>
            <w:r w:rsidRPr="00A316E8">
              <w:tab/>
              <w:t>Extent of loss/damage determined is consistent with the assessment of and nature of claim and is within legislative, insurer, client or organisatio</w:t>
            </w:r>
            <w:r w:rsidRPr="00A316E8">
              <w:t>n constraints</w:t>
            </w:r>
          </w:p>
        </w:tc>
      </w:tr>
      <w:tr w:rsidTr="00CD4C51">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List"/>
              <w:rPr>
                <w:lang w:val="en-NZ"/>
              </w:rPr>
            </w:pPr>
            <w:r w:rsidRPr="00A316E8">
              <w:t>4.</w:t>
            </w:r>
            <w:r w:rsidRPr="00A316E8">
              <w:tab/>
              <w:t>Establish recovery rights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2"/>
            </w:pPr>
            <w:r w:rsidRPr="00A316E8">
              <w:t>4.1.</w:t>
            </w:r>
            <w:r w:rsidRPr="00A316E8">
              <w:tab/>
              <w:t>All other contributory insurances are identified</w:t>
            </w:r>
          </w:p>
          <w:p w:rsidR="00000000" w:rsidRPr="00A316E8" w:rsidP="00A316E8">
            <w:pPr>
              <w:pStyle w:val="List2"/>
            </w:pPr>
            <w:r w:rsidRPr="00A316E8">
              <w:t>4.2.</w:t>
            </w:r>
            <w:r w:rsidRPr="00A316E8">
              <w:tab/>
              <w:t>All cases for potential subrogation action are identified and assessed</w:t>
            </w:r>
          </w:p>
          <w:p w:rsidR="00000000" w:rsidRPr="00A316E8" w:rsidP="00A316E8">
            <w:pPr>
              <w:pStyle w:val="List2"/>
            </w:pPr>
            <w:r w:rsidRPr="00A316E8">
              <w:t>4.3.</w:t>
            </w:r>
            <w:r w:rsidRPr="00A316E8">
              <w:tab/>
            </w:r>
            <w:r w:rsidRPr="00A316E8">
              <w:rPr>
                <w:rStyle w:val="BoldandItalics"/>
              </w:rPr>
              <w:t>Sources</w:t>
            </w:r>
            <w:r w:rsidRPr="00A316E8">
              <w:t xml:space="preserve"> and </w:t>
            </w:r>
            <w:r w:rsidRPr="00A316E8">
              <w:rPr>
                <w:rStyle w:val="BoldandItalics"/>
              </w:rPr>
              <w:t>rights of recovery</w:t>
            </w:r>
            <w:r w:rsidRPr="00A316E8">
              <w:t xml:space="preserve"> are identified and likelihood of recovery success is evaluated</w:t>
            </w:r>
          </w:p>
          <w:p w:rsidR="00000000" w:rsidRPr="00A316E8" w:rsidP="00A316E8">
            <w:pPr>
              <w:pStyle w:val="List2"/>
            </w:pPr>
            <w:r w:rsidRPr="00A316E8">
              <w:t>4.4.</w:t>
            </w:r>
            <w:r w:rsidRPr="00A316E8">
              <w:tab/>
              <w:t>Recovery demands are correctly issued where necessary</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9" w:name="O_79151"/>
      <w:bookmarkEnd w:id="9"/>
      <w:r w:rsidRPr="00A316E8">
        <w:t>Required Skills and Knowledge</w:t>
      </w:r>
    </w:p>
    <w:tbl>
      <w:tblPr>
        <w:tblW w:w="0" w:type="auto"/>
        <w:tblLayout w:type="fixed"/>
        <w:tblCellMar>
          <w:left w:w="62" w:type="dxa"/>
          <w:right w:w="62" w:type="dxa"/>
        </w:tblCellMar>
        <w:tblLook w:val="0000"/>
      </w:tblPr>
      <w:tblGrid>
        <w:gridCol w:w="8522"/>
      </w:tblGrid>
      <w:tr w:rsidTr="00CD4C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Required knowledge</w:t>
            </w:r>
          </w:p>
        </w:tc>
      </w:tr>
      <w:tr w:rsidTr="00CD4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business mathematics and statistics</w:t>
            </w:r>
          </w:p>
          <w:p w:rsidR="00000000" w:rsidRPr="00A316E8" w:rsidP="00A316E8">
            <w:pPr>
              <w:pStyle w:val="ListBullet"/>
            </w:pPr>
            <w:r w:rsidRPr="00A316E8">
              <w:t>claims management</w:t>
            </w:r>
          </w:p>
          <w:p w:rsidR="00000000" w:rsidRPr="00A316E8" w:rsidP="00A316E8">
            <w:pPr>
              <w:pStyle w:val="ListBullet"/>
            </w:pPr>
            <w:r w:rsidRPr="00A316E8">
              <w:t>data analysis techniques/procedures</w:t>
            </w:r>
          </w:p>
          <w:p w:rsidR="00000000" w:rsidRPr="00A316E8" w:rsidP="00A316E8">
            <w:pPr>
              <w:pStyle w:val="ListBullet"/>
            </w:pPr>
            <w:r w:rsidRPr="00A316E8">
              <w:t>insurable interest</w:t>
            </w:r>
          </w:p>
          <w:p w:rsidR="00000000" w:rsidRPr="00A316E8" w:rsidP="00A316E8">
            <w:pPr>
              <w:pStyle w:val="ListBullet"/>
            </w:pPr>
            <w:r w:rsidRPr="00A316E8">
              <w:t>loss adjusting principles and practice</w:t>
            </w:r>
          </w:p>
          <w:p w:rsidR="00000000" w:rsidRPr="00A316E8" w:rsidP="00A316E8">
            <w:pPr>
              <w:pStyle w:val="ListBullet"/>
            </w:pPr>
            <w:r w:rsidRPr="00A316E8">
              <w:t>policy coverage/requirements</w:t>
            </w:r>
          </w:p>
          <w:p w:rsidR="00000000" w:rsidRPr="00A316E8" w:rsidP="00A316E8">
            <w:pPr>
              <w:pStyle w:val="ListBullet"/>
            </w:pPr>
            <w:r w:rsidRPr="00A316E8">
              <w:t>principles of cost estimating, recovery and salvage methods</w:t>
            </w:r>
          </w:p>
          <w:p w:rsidR="00000000" w:rsidRPr="00A316E8" w:rsidP="00A316E8">
            <w:pPr>
              <w:pStyle w:val="ListBullet"/>
            </w:pPr>
            <w:r w:rsidRPr="00A316E8">
              <w:t>relevant contract and commercial law principles</w:t>
            </w:r>
          </w:p>
          <w:p w:rsidR="00000000" w:rsidRPr="00A316E8" w:rsidP="00A316E8">
            <w:pPr>
              <w:pStyle w:val="ListBullet"/>
            </w:pPr>
            <w:r w:rsidRPr="00A316E8">
              <w:t>relevant insurance law le</w:t>
            </w:r>
            <w:r w:rsidRPr="00A316E8">
              <w:t>gislation and industry codes of practice</w:t>
            </w:r>
          </w:p>
          <w:p w:rsidR="00000000" w:rsidRPr="00A316E8" w:rsidP="00A316E8">
            <w:pPr>
              <w:pStyle w:val="ListBullet"/>
            </w:pPr>
            <w:r w:rsidRPr="00A316E8">
              <w:t>subrogation</w:t>
            </w:r>
          </w:p>
          <w:p w:rsidR="00000000" w:rsidRPr="00A316E8" w:rsidP="00A316E8">
            <w:pPr>
              <w:pStyle w:val="ListBullet"/>
            </w:pPr>
            <w:r w:rsidRPr="00A316E8">
              <w:t>types/categories of insurance policies</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10" w:name="O_79152"/>
      <w:bookmarkEnd w:id="10"/>
      <w:r w:rsidRPr="00A316E8">
        <w:t>Evidence Guide</w:t>
      </w:r>
    </w:p>
    <w:tbl>
      <w:tblPr>
        <w:tblW w:w="9570" w:type="dxa"/>
        <w:tblLayout w:type="fixed"/>
        <w:tblCellMar>
          <w:left w:w="62" w:type="dxa"/>
          <w:right w:w="62" w:type="dxa"/>
        </w:tblCellMar>
        <w:tblLook w:val="0000"/>
      </w:tblPr>
      <w:tblGrid>
        <w:gridCol w:w="2808"/>
        <w:gridCol w:w="6762"/>
      </w:tblGrid>
      <w:tr w:rsidTr="00CD4C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EVIDENCE GUIDE</w:t>
            </w:r>
          </w:p>
        </w:tc>
      </w:tr>
      <w:tr w:rsidTr="00CD4C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The Evidence Guide provides advice on assessment and must be read in conjunction with the performance criteria, required skills and knowledge, range statement and the Assessment Guidelines for the Training Package.</w:t>
            </w:r>
          </w:p>
        </w:tc>
      </w:tr>
      <w:tr w:rsidTr="00CD4C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p>
        </w:tc>
      </w:tr>
      <w:tr w:rsidTr="00CD4C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Evidence of the ability to:</w:t>
            </w:r>
          </w:p>
          <w:p w:rsidR="00000000" w:rsidRPr="00A316E8" w:rsidP="00A316E8">
            <w:pPr>
              <w:pStyle w:val="ListBullet"/>
            </w:pPr>
            <w:r w:rsidRPr="00A316E8">
              <w:t>maintain and use thorough knowledge of types and categories of insurance policies, industry codes of practice and relevant legislation</w:t>
            </w:r>
          </w:p>
          <w:p w:rsidR="00000000" w:rsidRPr="00A316E8" w:rsidP="00A316E8">
            <w:pPr>
              <w:pStyle w:val="ListBullet"/>
            </w:pPr>
            <w:r w:rsidRPr="00A316E8">
              <w:t>apply loss adjusting principles and practice</w:t>
            </w:r>
          </w:p>
          <w:p w:rsidR="00000000" w:rsidP="00A316E8">
            <w:pPr>
              <w:pStyle w:val="ListBullet"/>
              <w:rPr>
                <w:lang w:val="en-NZ"/>
              </w:rPr>
            </w:pPr>
            <w:r w:rsidRPr="00A316E8">
              <w:t>effectively use data analysis and evaluation techniques.</w:t>
            </w:r>
          </w:p>
        </w:tc>
      </w:tr>
      <w:tr w:rsidTr="00CD4C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Assessment must ensure:</w:t>
            </w:r>
          </w:p>
          <w:p w:rsidR="00000000" w:rsidRPr="00A316E8" w:rsidP="00A316E8">
            <w:pPr>
              <w:pStyle w:val="ListBullet"/>
            </w:pPr>
            <w:r w:rsidRPr="00A316E8">
              <w:t>competency is demonstrated in the context of the work environment and conditio</w:t>
            </w:r>
            <w:r w:rsidRPr="00A316E8">
              <w:t>ns specified in the range statement either in a relevant workplace or a closely simulated work environment</w:t>
            </w:r>
          </w:p>
          <w:p w:rsidR="00000000" w:rsidRPr="00A316E8" w:rsidP="00A316E8">
            <w:pPr>
              <w:pStyle w:val="ListBullet"/>
            </w:pPr>
            <w:r w:rsidRPr="00A316E8">
              <w:t>access to and the use of a range of common office equipment, technology, software and consumables</w:t>
            </w:r>
          </w:p>
          <w:p w:rsidR="00000000" w:rsidRPr="00A316E8" w:rsidP="00A316E8">
            <w:pPr>
              <w:pStyle w:val="ListBullet"/>
            </w:pPr>
            <w:r w:rsidRPr="00A316E8">
              <w:t>access to organisation records</w:t>
            </w:r>
          </w:p>
          <w:p w:rsidR="00000000" w:rsidP="00A316E8">
            <w:pPr>
              <w:pStyle w:val="ListBullet"/>
              <w:rPr>
                <w:lang w:val="en-NZ"/>
              </w:rPr>
            </w:pPr>
            <w:r w:rsidRPr="00A316E8">
              <w:t>access to organisati</w:t>
            </w:r>
            <w:r w:rsidRPr="00A316E8">
              <w:t>onal policies and procedures.</w:t>
            </w:r>
          </w:p>
        </w:tc>
      </w:tr>
      <w:tr w:rsidTr="00CD4C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A range of assessment methods should be used to assess practical skills and knowledge. The following examples, in combination, are appropriate for this unit:</w:t>
            </w:r>
          </w:p>
          <w:p w:rsidR="00000000" w:rsidRPr="00A316E8" w:rsidP="00A316E8">
            <w:pPr>
              <w:pStyle w:val="ListBullet"/>
            </w:pPr>
            <w:r w:rsidRPr="00A316E8">
              <w:t>evaluating an integrated activity, which combines the elements of competency for the unit, or a cluster of related units of competency</w:t>
            </w:r>
          </w:p>
          <w:p w:rsidR="00000000" w:rsidRPr="00A316E8" w:rsidP="00A316E8">
            <w:pPr>
              <w:pStyle w:val="ListBullet"/>
            </w:pPr>
            <w:r w:rsidRPr="00A316E8">
              <w:t>observing processes and procedures in workplaces</w:t>
            </w:r>
          </w:p>
          <w:p w:rsidR="00000000" w:rsidRPr="00A316E8" w:rsidP="00A316E8">
            <w:pPr>
              <w:pStyle w:val="ListBullet"/>
            </w:pPr>
            <w:r w:rsidRPr="00A316E8">
              <w:t>verbal or written questioning on underpinning knowledge and skills</w:t>
            </w:r>
          </w:p>
          <w:p w:rsidR="00000000" w:rsidRPr="00A316E8" w:rsidP="00A316E8">
            <w:pPr>
              <w:pStyle w:val="ListBullet"/>
            </w:pPr>
            <w:r w:rsidRPr="00A316E8">
              <w:t>evalu</w:t>
            </w:r>
            <w:r w:rsidRPr="00A316E8">
              <w:t>ating samples of work</w:t>
            </w:r>
          </w:p>
          <w:p w:rsidR="00000000" w:rsidRPr="00A316E8" w:rsidP="00A316E8">
            <w:pPr>
              <w:pStyle w:val="ListBullet"/>
            </w:pPr>
            <w:r w:rsidRPr="00A316E8">
              <w:t>accessing and validating third party reports</w:t>
            </w:r>
          </w:p>
          <w:p w:rsidR="00000000" w:rsidP="00A316E8">
            <w:pPr>
              <w:pStyle w:val="ListBullet"/>
              <w:rPr>
                <w:lang w:val="en-NZ"/>
              </w:rPr>
            </w:pPr>
            <w:r w:rsidRPr="00A316E8">
              <w:t>setting and reviewing workplace projects and business simulations or scenarios.</w:t>
            </w:r>
          </w:p>
        </w:tc>
      </w:tr>
      <w:tr w:rsidTr="00CD4C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11" w:name="O_79153"/>
      <w:bookmarkEnd w:id="11"/>
      <w:r w:rsidRPr="00A316E8">
        <w:t>Range Statement</w:t>
      </w:r>
    </w:p>
    <w:tbl>
      <w:tblPr>
        <w:tblW w:w="0" w:type="auto"/>
        <w:tblLayout w:type="fixed"/>
        <w:tblCellMar>
          <w:left w:w="62" w:type="dxa"/>
          <w:right w:w="62" w:type="dxa"/>
        </w:tblCellMar>
        <w:tblLook w:val="0000"/>
      </w:tblPr>
      <w:tblGrid>
        <w:gridCol w:w="2523"/>
        <w:gridCol w:w="5999"/>
      </w:tblGrid>
      <w:tr w:rsidTr="00CD4C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RANGE STATEMENT</w:t>
            </w:r>
          </w:p>
        </w:tc>
      </w:tr>
      <w:tr w:rsidTr="00CD4C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The range statement relates to the unit of competency as a whole. It allows for different work environments and situations that may affect performance. Bold italicised wording, if used in the performance criteria, is detailed below. Essential operating con</w:t>
            </w:r>
            <w:r w:rsidRPr="00A316E8">
              <w:t>ditions that may be present with training and assessment (depending on the work situation, needs of the candidate, accessibility of the item, and local industry and regional contexts) may also be included.</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 xml:space="preserve">Types and categories of </w:t>
            </w:r>
            <w:r w:rsidRPr="00A316E8">
              <w:rPr>
                <w:rStyle w:val="BoldandItalics"/>
              </w:rPr>
              <w:t>insurance policies</w:t>
            </w:r>
            <w:r w:rsidRPr="00A316E8">
              <w:t xml:space="preserve"> inclu</w:t>
            </w:r>
            <w:r w:rsidRPr="00A316E8">
              <w:t>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accidental damage</w:t>
            </w:r>
          </w:p>
          <w:p w:rsidR="00000000" w:rsidRPr="00A316E8" w:rsidP="00A316E8">
            <w:pPr>
              <w:pStyle w:val="ListBullet"/>
            </w:pPr>
            <w:r w:rsidRPr="00A316E8">
              <w:t>additional benefits</w:t>
            </w:r>
          </w:p>
          <w:p w:rsidR="00000000" w:rsidRPr="00A316E8" w:rsidP="00A316E8">
            <w:pPr>
              <w:pStyle w:val="ListBullet"/>
            </w:pPr>
            <w:r w:rsidRPr="00A316E8">
              <w:t>boiler explosion</w:t>
            </w:r>
          </w:p>
          <w:p w:rsidR="00000000" w:rsidRPr="00A316E8" w:rsidP="00A316E8">
            <w:pPr>
              <w:pStyle w:val="ListBullet"/>
            </w:pPr>
            <w:r w:rsidRPr="00A316E8">
              <w:t>burglary/theft</w:t>
            </w:r>
          </w:p>
          <w:p w:rsidR="00000000" w:rsidRPr="00A316E8" w:rsidP="00A316E8">
            <w:pPr>
              <w:pStyle w:val="ListBullet"/>
            </w:pPr>
            <w:r w:rsidRPr="00A316E8">
              <w:t>business interruption</w:t>
            </w:r>
          </w:p>
          <w:p w:rsidR="00000000" w:rsidRPr="00A316E8" w:rsidP="00A316E8">
            <w:pPr>
              <w:pStyle w:val="ListBullet"/>
            </w:pPr>
            <w:r w:rsidRPr="00A316E8">
              <w:t>commercial</w:t>
            </w:r>
          </w:p>
          <w:p w:rsidR="00000000" w:rsidRPr="00A316E8" w:rsidP="00A316E8">
            <w:pPr>
              <w:pStyle w:val="ListBullet"/>
            </w:pPr>
            <w:r w:rsidRPr="00A316E8">
              <w:t>construction risks</w:t>
            </w:r>
          </w:p>
          <w:p w:rsidR="00000000" w:rsidRPr="00A316E8" w:rsidP="00A316E8">
            <w:pPr>
              <w:pStyle w:val="ListBullet"/>
            </w:pPr>
            <w:r w:rsidRPr="00A316E8">
              <w:t>crop</w:t>
            </w:r>
          </w:p>
          <w:p w:rsidR="00000000" w:rsidRPr="00A316E8" w:rsidP="00A316E8">
            <w:pPr>
              <w:pStyle w:val="ListBullet"/>
            </w:pPr>
            <w:r w:rsidRPr="00A316E8">
              <w:t>defined events</w:t>
            </w:r>
          </w:p>
          <w:p w:rsidR="00000000" w:rsidRPr="00A316E8" w:rsidP="00A316E8">
            <w:pPr>
              <w:pStyle w:val="ListBullet"/>
            </w:pPr>
            <w:r w:rsidRPr="00A316E8">
              <w:t>domestic</w:t>
            </w:r>
          </w:p>
          <w:p w:rsidR="00000000" w:rsidRPr="00A316E8" w:rsidP="00A316E8">
            <w:pPr>
              <w:pStyle w:val="ListBullet"/>
            </w:pPr>
            <w:r w:rsidRPr="00A316E8">
              <w:t>fidelity</w:t>
            </w:r>
          </w:p>
          <w:p w:rsidR="00000000" w:rsidRPr="00A316E8" w:rsidP="00A316E8">
            <w:pPr>
              <w:pStyle w:val="ListBullet"/>
            </w:pPr>
            <w:r w:rsidRPr="00A316E8">
              <w:t>fire and perils</w:t>
            </w:r>
          </w:p>
          <w:p w:rsidR="00000000" w:rsidRPr="00A316E8" w:rsidP="00A316E8">
            <w:pPr>
              <w:pStyle w:val="ListBullet"/>
            </w:pPr>
            <w:r w:rsidRPr="00A316E8">
              <w:t>Industrial Special Risks (ISR)</w:t>
            </w:r>
          </w:p>
          <w:p w:rsidR="00000000" w:rsidRPr="00A316E8" w:rsidP="00A316E8">
            <w:pPr>
              <w:pStyle w:val="ListBullet"/>
            </w:pPr>
            <w:r w:rsidRPr="00A316E8">
              <w:t>liability</w:t>
            </w:r>
          </w:p>
          <w:p w:rsidR="00000000" w:rsidRPr="00A316E8" w:rsidP="00A316E8">
            <w:pPr>
              <w:pStyle w:val="ListBullet"/>
            </w:pPr>
            <w:r w:rsidRPr="00A316E8">
              <w:t>livestock</w:t>
            </w:r>
          </w:p>
          <w:p w:rsidR="00000000" w:rsidRPr="00A316E8" w:rsidP="00A316E8">
            <w:pPr>
              <w:pStyle w:val="ListBullet"/>
            </w:pPr>
            <w:r w:rsidRPr="00A316E8">
              <w:t>machinery breakdown</w:t>
            </w:r>
          </w:p>
          <w:p w:rsidR="00000000" w:rsidRPr="00A316E8" w:rsidP="00A316E8">
            <w:pPr>
              <w:pStyle w:val="ListBullet"/>
            </w:pPr>
            <w:r w:rsidRPr="00A316E8">
              <w:t>money</w:t>
            </w:r>
          </w:p>
          <w:p w:rsidR="00000000" w:rsidRPr="00A316E8" w:rsidP="00A316E8">
            <w:pPr>
              <w:pStyle w:val="ListBullet"/>
            </w:pPr>
            <w:r w:rsidRPr="00A316E8">
              <w:t>multi-risk</w:t>
            </w:r>
          </w:p>
          <w:p w:rsidR="00000000" w:rsidRPr="00A316E8" w:rsidP="00A316E8">
            <w:pPr>
              <w:pStyle w:val="ListBullet"/>
            </w:pPr>
            <w:r w:rsidRPr="00A316E8">
              <w:t>other personal lines</w:t>
            </w:r>
          </w:p>
          <w:p w:rsidR="00000000" w:rsidRPr="00A316E8" w:rsidP="00A316E8">
            <w:pPr>
              <w:pStyle w:val="ListBullet"/>
            </w:pPr>
            <w:r w:rsidRPr="00A316E8">
              <w:t>package contracts</w:t>
            </w:r>
          </w:p>
          <w:p w:rsidR="00000000" w:rsidRPr="00A316E8" w:rsidP="00A316E8">
            <w:pPr>
              <w:pStyle w:val="ListBullet"/>
            </w:pPr>
            <w:r w:rsidRPr="00A316E8">
              <w:t>sprinkler leakage</w:t>
            </w:r>
          </w:p>
          <w:p w:rsidR="00000000" w:rsidRPr="00A316E8" w:rsidP="00A316E8">
            <w:pPr>
              <w:pStyle w:val="ListBullet"/>
            </w:pPr>
            <w:r w:rsidRPr="00A316E8">
              <w:t>transit</w:t>
            </w:r>
          </w:p>
          <w:p w:rsidR="00000000" w:rsidP="00A316E8">
            <w:pPr>
              <w:pStyle w:val="ListBullet"/>
              <w:rPr>
                <w:lang w:val="en-NZ"/>
              </w:rPr>
            </w:pPr>
            <w:r w:rsidRPr="00A316E8">
              <w:t>travel.</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BoldandItalics"/>
              </w:rPr>
              <w:t>Documentation</w:t>
            </w:r>
            <w:r w:rsidRPr="00A316E8">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reasons for adopting/incorporating certain evidence/information preferred over other evidence/information</w:t>
            </w:r>
          </w:p>
          <w:p w:rsidR="00000000" w:rsidRPr="00A316E8" w:rsidP="00A316E8">
            <w:pPr>
              <w:pStyle w:val="ListBullet"/>
            </w:pPr>
            <w:r w:rsidRPr="00A316E8">
              <w:t>reference to all evidence/information considered</w:t>
            </w:r>
          </w:p>
          <w:p w:rsidR="00000000" w:rsidP="00A316E8">
            <w:pPr>
              <w:pStyle w:val="ListBullet"/>
              <w:rPr>
                <w:lang w:val="en-NZ"/>
              </w:rPr>
            </w:pPr>
            <w:r w:rsidRPr="00A316E8">
              <w:t>the basis on which the decision was determined.</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BoldandItalics"/>
              </w:rPr>
              <w:t>Liability</w:t>
            </w:r>
            <w:r w:rsidRPr="00A316E8">
              <w:t xml:space="preserve"> includes: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broadform</w:t>
            </w:r>
          </w:p>
          <w:p w:rsidR="00000000" w:rsidRPr="00A316E8" w:rsidP="00A316E8">
            <w:pPr>
              <w:pStyle w:val="ListBullet"/>
            </w:pPr>
            <w:r w:rsidRPr="00A316E8">
              <w:t>construction</w:t>
            </w:r>
          </w:p>
          <w:p w:rsidR="00000000" w:rsidRPr="00A316E8" w:rsidP="00A316E8">
            <w:pPr>
              <w:pStyle w:val="ListBullet"/>
            </w:pPr>
            <w:r w:rsidRPr="00A316E8">
              <w:t>directors and officers</w:t>
            </w:r>
          </w:p>
          <w:p w:rsidR="00000000" w:rsidRPr="00A316E8" w:rsidP="00A316E8">
            <w:pPr>
              <w:pStyle w:val="ListBullet"/>
            </w:pPr>
            <w:r w:rsidRPr="00A316E8">
              <w:t>environment</w:t>
            </w:r>
          </w:p>
          <w:p w:rsidR="00000000" w:rsidRPr="00A316E8" w:rsidP="00A316E8">
            <w:pPr>
              <w:pStyle w:val="ListBullet"/>
            </w:pPr>
            <w:r w:rsidRPr="00A316E8">
              <w:t>pollution</w:t>
            </w:r>
          </w:p>
          <w:p w:rsidR="00000000" w:rsidRPr="00A316E8" w:rsidP="00A316E8">
            <w:pPr>
              <w:pStyle w:val="ListBullet"/>
            </w:pPr>
            <w:r w:rsidRPr="00A316E8">
              <w:t>products</w:t>
            </w:r>
          </w:p>
          <w:p w:rsidR="00000000" w:rsidRPr="00A316E8" w:rsidP="00A316E8">
            <w:pPr>
              <w:pStyle w:val="ListBullet"/>
            </w:pPr>
            <w:r w:rsidRPr="00A316E8">
              <w:t>professional indemnity</w:t>
            </w:r>
          </w:p>
          <w:p w:rsidR="00000000" w:rsidP="00A316E8">
            <w:pPr>
              <w:pStyle w:val="ListBullet"/>
              <w:rPr>
                <w:lang w:val="en-NZ"/>
              </w:rPr>
            </w:pPr>
            <w:r w:rsidRPr="00A316E8">
              <w:t>public.</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 xml:space="preserve">Relevant </w:t>
            </w:r>
            <w:r w:rsidRPr="00A316E8">
              <w:rPr>
                <w:rStyle w:val="BoldandItalics"/>
              </w:rPr>
              <w:t>legislation</w:t>
            </w:r>
            <w:r w:rsidRPr="00A316E8">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building or construction</w:t>
            </w:r>
          </w:p>
          <w:p w:rsidR="00000000" w:rsidRPr="00A316E8" w:rsidP="00A316E8">
            <w:pPr>
              <w:pStyle w:val="ListBullet"/>
            </w:pPr>
            <w:r w:rsidRPr="00A316E8">
              <w:t>Consumer Credit Code</w:t>
            </w:r>
          </w:p>
          <w:p w:rsidR="00000000" w:rsidRPr="00A316E8" w:rsidP="00A316E8">
            <w:pPr>
              <w:pStyle w:val="ListBullet"/>
            </w:pPr>
            <w:r w:rsidRPr="00A316E8">
              <w:t>contract law</w:t>
            </w:r>
          </w:p>
          <w:p w:rsidR="00000000" w:rsidRPr="00A316E8" w:rsidP="00A316E8">
            <w:pPr>
              <w:pStyle w:val="ListBullet"/>
            </w:pPr>
            <w:r w:rsidRPr="00A316E8">
              <w:t>environmental</w:t>
            </w:r>
          </w:p>
          <w:p w:rsidR="00000000" w:rsidRPr="00A316E8" w:rsidP="00A316E8">
            <w:pPr>
              <w:pStyle w:val="ListBullet"/>
            </w:pPr>
            <w:r w:rsidRPr="00A316E8">
              <w:t>hazardous materials</w:t>
            </w:r>
          </w:p>
          <w:p w:rsidR="00000000" w:rsidRPr="00A316E8" w:rsidP="00A316E8">
            <w:pPr>
              <w:pStyle w:val="ListBullet"/>
            </w:pPr>
            <w:r w:rsidRPr="00A316E8">
              <w:t>Insurance Agents and Brokers Act</w:t>
            </w:r>
          </w:p>
          <w:p w:rsidR="00000000" w:rsidRPr="00A316E8" w:rsidP="00A316E8">
            <w:pPr>
              <w:pStyle w:val="ListBullet"/>
            </w:pPr>
            <w:r w:rsidRPr="00A316E8">
              <w:t>Insurance Contracts Act</w:t>
            </w:r>
          </w:p>
          <w:p w:rsidR="00000000" w:rsidRPr="00A316E8" w:rsidP="00A316E8">
            <w:pPr>
              <w:pStyle w:val="ListBullet"/>
            </w:pPr>
            <w:r w:rsidRPr="00A316E8">
              <w:t>motor vehicle</w:t>
            </w:r>
          </w:p>
          <w:p w:rsidR="00000000" w:rsidRPr="00A316E8" w:rsidP="00A316E8">
            <w:pPr>
              <w:pStyle w:val="ListBullet"/>
            </w:pPr>
            <w:r w:rsidRPr="00A316E8">
              <w:t>occupational health and safety (OHS)</w:t>
            </w:r>
          </w:p>
          <w:p w:rsidR="00000000" w:rsidRPr="00A316E8" w:rsidP="00A316E8">
            <w:pPr>
              <w:pStyle w:val="ListBullet"/>
            </w:pPr>
            <w:r w:rsidRPr="00A316E8">
              <w:t>Privacy Act</w:t>
            </w:r>
          </w:p>
          <w:p w:rsidR="00000000" w:rsidRPr="00A316E8" w:rsidP="00A316E8">
            <w:pPr>
              <w:pStyle w:val="ListBullet"/>
            </w:pPr>
            <w:r w:rsidRPr="00A316E8">
              <w:t>secrecy laws</w:t>
            </w:r>
          </w:p>
          <w:p w:rsidR="00000000" w:rsidP="00A316E8">
            <w:pPr>
              <w:pStyle w:val="ListBullet"/>
              <w:rPr>
                <w:lang w:val="en-NZ"/>
              </w:rPr>
            </w:pPr>
            <w:r w:rsidRPr="00A316E8">
              <w:t>Trade Practices</w:t>
            </w:r>
            <w:r w:rsidRPr="00A316E8">
              <w:t xml:space="preserve"> Act.</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t xml:space="preserve">Client or </w:t>
            </w:r>
            <w:r w:rsidRPr="00A316E8">
              <w:rPr>
                <w:rStyle w:val="BoldandItalics"/>
              </w:rPr>
              <w:t>organisation policy and guidelines</w:t>
            </w:r>
            <w:r w:rsidRPr="00A316E8">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Australasian Institute of Chartered Loss Adjusters (AICLA) Charter of Objects and Professional Conduct</w:t>
            </w:r>
          </w:p>
          <w:p w:rsidR="00000000" w:rsidRPr="00A316E8" w:rsidP="00A316E8">
            <w:pPr>
              <w:pStyle w:val="ListBullet"/>
            </w:pPr>
            <w:r w:rsidRPr="00A316E8">
              <w:t>claims</w:t>
            </w:r>
          </w:p>
          <w:p w:rsidR="00000000" w:rsidRPr="00A316E8" w:rsidP="00A316E8">
            <w:pPr>
              <w:pStyle w:val="ListBullet"/>
            </w:pPr>
            <w:r w:rsidRPr="00A316E8">
              <w:t>clerical</w:t>
            </w:r>
          </w:p>
          <w:p w:rsidR="00000000" w:rsidRPr="00A316E8" w:rsidP="00A316E8">
            <w:pPr>
              <w:pStyle w:val="ListBullet"/>
            </w:pPr>
            <w:r w:rsidRPr="00A316E8">
              <w:t>codes of practice</w:t>
            </w:r>
          </w:p>
          <w:p w:rsidR="00000000" w:rsidRPr="00A316E8" w:rsidP="00A316E8">
            <w:pPr>
              <w:pStyle w:val="ListBullet"/>
            </w:pPr>
            <w:r w:rsidRPr="00A316E8">
              <w:t>complaints and dispute resolution procedures</w:t>
            </w:r>
          </w:p>
          <w:p w:rsidR="00000000" w:rsidRPr="00A316E8" w:rsidP="00A316E8">
            <w:pPr>
              <w:pStyle w:val="ListBullet"/>
            </w:pPr>
            <w:r w:rsidRPr="00A316E8">
              <w:t>information technology and administrative systems</w:t>
            </w:r>
          </w:p>
          <w:p w:rsidR="00000000" w:rsidRPr="00A316E8" w:rsidP="00A316E8">
            <w:pPr>
              <w:pStyle w:val="ListBullet"/>
            </w:pPr>
            <w:r w:rsidRPr="00A316E8">
              <w:t>loss</w:t>
            </w:r>
          </w:p>
          <w:p w:rsidR="00000000" w:rsidRPr="00A316E8" w:rsidP="00A316E8">
            <w:pPr>
              <w:pStyle w:val="ListBullet"/>
            </w:pPr>
            <w:r w:rsidRPr="00A316E8">
              <w:t>loss recovery</w:t>
            </w:r>
          </w:p>
          <w:p w:rsidR="00000000" w:rsidP="00A316E8">
            <w:pPr>
              <w:pStyle w:val="ListBullet"/>
              <w:rPr>
                <w:lang w:val="en-NZ"/>
              </w:rPr>
            </w:pPr>
            <w:r w:rsidRPr="00A316E8">
              <w:t>policies and procedures in relation to risks.</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BoldandItalics"/>
              </w:rPr>
              <w:t>Sources</w:t>
            </w:r>
            <w:r w:rsidRPr="00A316E8">
              <w:t xml:space="preserve"> of recovery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liable parties</w:t>
            </w:r>
          </w:p>
          <w:p w:rsidR="00000000" w:rsidRPr="00A316E8" w:rsidP="00A316E8">
            <w:pPr>
              <w:pStyle w:val="ListBullet"/>
            </w:pPr>
            <w:r w:rsidRPr="00A316E8">
              <w:t>other insurers</w:t>
            </w:r>
          </w:p>
          <w:p w:rsidR="00000000" w:rsidRPr="00A316E8" w:rsidP="00A316E8">
            <w:pPr>
              <w:pStyle w:val="ListBullet"/>
            </w:pPr>
            <w:r w:rsidRPr="00A316E8">
              <w:t>sale of goods</w:t>
            </w:r>
          </w:p>
          <w:p w:rsidR="00000000" w:rsidP="00A316E8">
            <w:pPr>
              <w:pStyle w:val="ListBullet"/>
              <w:rPr>
                <w:lang w:val="en-NZ"/>
              </w:rPr>
            </w:pPr>
            <w:r w:rsidRPr="00A316E8">
              <w:t>salvage and disposal.</w:t>
            </w:r>
          </w:p>
        </w:tc>
      </w:tr>
      <w:tr w:rsidTr="00CD4C51">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BoldandItalics"/>
              </w:rPr>
              <w:t>Rights of recovery</w:t>
            </w:r>
            <w:r w:rsidRPr="00A316E8">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ListBullet"/>
            </w:pPr>
            <w:r w:rsidRPr="00A316E8">
              <w:t>contribution</w:t>
            </w:r>
          </w:p>
          <w:p w:rsidR="00000000" w:rsidRPr="00A316E8" w:rsidP="00A316E8">
            <w:pPr>
              <w:pStyle w:val="ListBullet"/>
            </w:pPr>
            <w:r w:rsidRPr="00A316E8">
              <w:t>industry agreements</w:t>
            </w:r>
          </w:p>
          <w:p w:rsidR="00000000" w:rsidRPr="00A316E8" w:rsidP="00A316E8">
            <w:pPr>
              <w:pStyle w:val="ListBullet"/>
            </w:pPr>
            <w:r w:rsidRPr="00A316E8">
              <w:t>reinsurance</w:t>
            </w:r>
          </w:p>
          <w:p w:rsidR="00000000" w:rsidRPr="00A316E8" w:rsidP="00A316E8">
            <w:pPr>
              <w:pStyle w:val="ListBullet"/>
            </w:pPr>
            <w:r w:rsidRPr="00A316E8">
              <w:t>salvage</w:t>
            </w:r>
          </w:p>
          <w:p w:rsidR="00000000" w:rsidRPr="00A316E8" w:rsidP="00A316E8">
            <w:pPr>
              <w:pStyle w:val="ListBullet"/>
            </w:pPr>
            <w:r w:rsidRPr="00A316E8">
              <w:t>subrogation.</w:t>
            </w:r>
          </w:p>
        </w:tc>
      </w:tr>
    </w:tbl>
    <w:p w:rsidR="00CD4C51" w:rsidP="00A316E8">
      <w:pPr>
        <w:pStyle w:val="BodyText"/>
      </w:pPr>
    </w:p>
    <w:p w:rsidR="00CD4C51" w:rsidP="00A316E8">
      <w:pPr>
        <w:pStyle w:val="BodyText"/>
      </w:pPr>
    </w:p>
    <w:p w:rsidR="00000000" w:rsidRPr="00A316E8" w:rsidP="00A316E8">
      <w:pPr>
        <w:pStyle w:val="Heading1"/>
      </w:pPr>
      <w:bookmarkStart w:id="12" w:name="O_79154"/>
      <w:bookmarkEnd w:id="12"/>
      <w:r w:rsidRPr="00A316E8">
        <w:t>Unit Sector(s)</w:t>
      </w:r>
    </w:p>
    <w:tbl>
      <w:tblPr>
        <w:tblW w:w="0" w:type="auto"/>
        <w:tblLayout w:type="fixed"/>
        <w:tblCellMar>
          <w:left w:w="62" w:type="dxa"/>
          <w:right w:w="62" w:type="dxa"/>
        </w:tblCellMar>
        <w:tblLook w:val="0000"/>
      </w:tblPr>
      <w:tblGrid>
        <w:gridCol w:w="2594"/>
        <w:gridCol w:w="5928"/>
      </w:tblGrid>
      <w:tr w:rsidTr="00CD4C5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r w:rsidRPr="00A316E8">
              <w:t>Insurance loss adjusting</w:t>
            </w: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13" w:name="O_156425"/>
      <w:bookmarkEnd w:id="13"/>
      <w:r w:rsidRPr="00A316E8">
        <w:t>Competency field</w:t>
      </w:r>
    </w:p>
    <w:tbl>
      <w:tblPr>
        <w:tblW w:w="0" w:type="auto"/>
        <w:tblLayout w:type="fixed"/>
        <w:tblCellMar>
          <w:left w:w="62" w:type="dxa"/>
          <w:right w:w="62" w:type="dxa"/>
        </w:tblCellMar>
        <w:tblLook w:val="0000"/>
      </w:tblPr>
      <w:tblGrid>
        <w:gridCol w:w="2754"/>
        <w:gridCol w:w="5768"/>
      </w:tblGrid>
      <w:tr w:rsidTr="00CD4C5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p>
        </w:tc>
      </w:tr>
    </w:tbl>
    <w:p w:rsidR="00000000" w:rsidRPr="00A316E8" w:rsidP="00A316E8">
      <w:pPr>
        <w:pStyle w:val="BodyText"/>
      </w:pPr>
    </w:p>
    <w:p w:rsidR="00000000" w:rsidRPr="00A316E8" w:rsidP="00A316E8">
      <w:pPr>
        <w:pStyle w:val="AllowPageBreak"/>
      </w:pPr>
    </w:p>
    <w:p w:rsidR="00000000" w:rsidRPr="00A316E8" w:rsidP="00A316E8">
      <w:pPr>
        <w:pStyle w:val="Heading1"/>
      </w:pPr>
      <w:bookmarkStart w:id="14" w:name="O_156424"/>
      <w:bookmarkEnd w:id="14"/>
      <w:r w:rsidRPr="00A316E8">
        <w:t>Co-requisite units</w:t>
      </w:r>
    </w:p>
    <w:tbl>
      <w:tblPr>
        <w:tblW w:w="0" w:type="auto"/>
        <w:tblLayout w:type="fixed"/>
        <w:tblCellMar>
          <w:left w:w="62" w:type="dxa"/>
          <w:right w:w="62" w:type="dxa"/>
        </w:tblCellMar>
        <w:tblLook w:val="0000"/>
      </w:tblPr>
      <w:tblGrid>
        <w:gridCol w:w="2629"/>
        <w:gridCol w:w="1324"/>
        <w:gridCol w:w="4569"/>
      </w:tblGrid>
      <w:tr w:rsidTr="00CD4C5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r w:rsidRPr="00A316E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E8">
            <w:pPr>
              <w:pStyle w:val="BodyText"/>
              <w:rPr>
                <w:lang w:val="en-NZ"/>
              </w:rPr>
            </w:pPr>
          </w:p>
        </w:tc>
      </w:tr>
      <w:tr w:rsidTr="00CD4C5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E8" w:rsidP="00A316E8">
            <w:pPr>
              <w:pStyle w:val="BodyText"/>
            </w:pPr>
          </w:p>
        </w:tc>
      </w:tr>
    </w:tbl>
    <w:p w:rsidR="00000000" w:rsidRPr="00A316E8" w:rsidP="00A316E8">
      <w:pPr>
        <w:pStyle w:val="BodyText"/>
      </w:pPr>
    </w:p>
    <w:p w:rsidR="00000000" w:rsidRPr="00A316E8" w:rsidP="00A316E8"/>
    <w:sectPr w:rsidSect="00A31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C51" w:rsidP="00CD4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51" w:rsidP="00A31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4C51" w:rsidP="00A316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C51" w:rsidP="00A316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C51" w:rsidP="00CD4C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51" w:rsidP="00A316E8">
    <w:pPr>
      <w:pStyle w:val="Header"/>
      <w:framePr w:wrap="around"/>
    </w:pPr>
    <w:r>
      <w:fldChar w:fldCharType="begin"/>
    </w:r>
    <w:r>
      <w:instrText xml:space="preserve"> TITLE   \* MERGEFORMAT </w:instrText>
    </w:r>
    <w:r>
      <w:fldChar w:fldCharType="separate"/>
    </w:r>
    <w:r>
      <w:t>FNSILA502A Evaluate collected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C51" w:rsidP="00A316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94C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4B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6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6E8"/>
    <w:pPr>
      <w:spacing w:before="360" w:after="60"/>
      <w:outlineLvl w:val="0"/>
    </w:pPr>
    <w:rPr>
      <w:sz w:val="32"/>
    </w:rPr>
  </w:style>
  <w:style w:type="paragraph" w:styleId="Heading2">
    <w:name w:val="heading 2"/>
    <w:basedOn w:val="HeadingBase"/>
    <w:next w:val="BodyText"/>
    <w:link w:val="Heading2Char"/>
    <w:qFormat/>
    <w:rsid w:val="00A316E8"/>
    <w:pPr>
      <w:keepLines/>
      <w:spacing w:before="240" w:after="120"/>
      <w:outlineLvl w:val="1"/>
    </w:pPr>
    <w:rPr>
      <w:sz w:val="28"/>
      <w:szCs w:val="40"/>
    </w:rPr>
  </w:style>
  <w:style w:type="paragraph" w:styleId="Heading3">
    <w:name w:val="heading 3"/>
    <w:basedOn w:val="HeadingBase"/>
    <w:next w:val="BodyText"/>
    <w:link w:val="Heading3Char"/>
    <w:qFormat/>
    <w:rsid w:val="00A316E8"/>
    <w:pPr>
      <w:spacing w:before="180" w:after="120"/>
      <w:outlineLvl w:val="2"/>
    </w:pPr>
    <w:rPr>
      <w:spacing w:val="-10"/>
      <w:kern w:val="32"/>
    </w:rPr>
  </w:style>
  <w:style w:type="paragraph" w:styleId="Heading4">
    <w:name w:val="heading 4"/>
    <w:basedOn w:val="HeadingBase"/>
    <w:next w:val="BodyText"/>
    <w:link w:val="Heading4Char"/>
    <w:qFormat/>
    <w:rsid w:val="00A316E8"/>
    <w:pPr>
      <w:spacing w:before="160" w:after="120"/>
      <w:outlineLvl w:val="3"/>
    </w:pPr>
    <w:rPr>
      <w:sz w:val="22"/>
    </w:rPr>
  </w:style>
  <w:style w:type="paragraph" w:styleId="Heading5">
    <w:name w:val="heading 5"/>
    <w:basedOn w:val="HeadingBase"/>
    <w:next w:val="Normal"/>
    <w:link w:val="Heading5Char"/>
    <w:qFormat/>
    <w:rsid w:val="00A316E8"/>
    <w:pPr>
      <w:spacing w:before="80"/>
      <w:outlineLvl w:val="4"/>
    </w:pPr>
    <w:rPr>
      <w:color w:val="918585"/>
      <w:sz w:val="20"/>
    </w:rPr>
  </w:style>
  <w:style w:type="paragraph" w:styleId="Heading6">
    <w:name w:val="heading 6"/>
    <w:basedOn w:val="HeadingBase"/>
    <w:next w:val="Normal"/>
    <w:link w:val="Heading6Char"/>
    <w:qFormat/>
    <w:rsid w:val="00A316E8"/>
    <w:pPr>
      <w:spacing w:before="60"/>
      <w:outlineLvl w:val="5"/>
    </w:pPr>
    <w:rPr>
      <w:color w:val="918585"/>
      <w:sz w:val="20"/>
    </w:rPr>
  </w:style>
  <w:style w:type="paragraph" w:styleId="Heading7">
    <w:name w:val="heading 7"/>
    <w:basedOn w:val="Normal"/>
    <w:next w:val="Normal"/>
    <w:link w:val="Heading7Char"/>
    <w:qFormat/>
    <w:rsid w:val="00A316E8"/>
    <w:pPr>
      <w:ind w:left="720"/>
      <w:outlineLvl w:val="6"/>
    </w:pPr>
    <w:rPr>
      <w:i/>
    </w:rPr>
  </w:style>
  <w:style w:type="paragraph" w:styleId="Heading8">
    <w:name w:val="heading 8"/>
    <w:basedOn w:val="Normal"/>
    <w:next w:val="Normal"/>
    <w:link w:val="Heading8Char"/>
    <w:qFormat/>
    <w:rsid w:val="00A316E8"/>
    <w:pPr>
      <w:ind w:left="720"/>
      <w:outlineLvl w:val="7"/>
    </w:pPr>
    <w:rPr>
      <w:i/>
    </w:rPr>
  </w:style>
  <w:style w:type="paragraph" w:styleId="Heading9">
    <w:name w:val="heading 9"/>
    <w:basedOn w:val="Normal"/>
    <w:next w:val="Normal"/>
    <w:link w:val="Heading9Char"/>
    <w:qFormat/>
    <w:rsid w:val="00A316E8"/>
    <w:pPr>
      <w:ind w:left="720"/>
      <w:outlineLvl w:val="8"/>
    </w:pPr>
    <w:rPr>
      <w:i/>
    </w:rPr>
  </w:style>
  <w:style w:type="character" w:default="1" w:styleId="DefaultParagraphFont">
    <w:name w:val="Default Paragraph Font"/>
    <w:uiPriority w:val="1"/>
    <w:unhideWhenUsed/>
    <w:rsid w:val="00A31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6E8"/>
  </w:style>
  <w:style w:type="character" w:customStyle="1" w:styleId="Heading1Char">
    <w:name w:val="Heading 1 Char"/>
    <w:link w:val="Heading1"/>
    <w:rsid w:val="00A316E8"/>
    <w:rPr>
      <w:rFonts w:ascii="Times New Roman" w:eastAsia="Times New Roman" w:hAnsi="Times New Roman" w:cs="Times New Roman"/>
      <w:b/>
      <w:sz w:val="32"/>
      <w:szCs w:val="20"/>
      <w:lang w:eastAsia="en-US"/>
    </w:rPr>
  </w:style>
  <w:style w:type="paragraph" w:styleId="BodyText">
    <w:name w:val="Body Text"/>
    <w:basedOn w:val="Normal"/>
    <w:link w:val="BodyTextChar"/>
    <w:rsid w:val="00A316E8"/>
    <w:pPr>
      <w:spacing w:before="120" w:after="120"/>
      <w:contextualSpacing/>
    </w:pPr>
    <w:rPr>
      <w:rFonts w:ascii="Times New Roman" w:hAnsi="Times New Roman"/>
      <w:sz w:val="24"/>
      <w:szCs w:val="22"/>
    </w:rPr>
  </w:style>
  <w:style w:type="character" w:customStyle="1" w:styleId="BodyTextChar">
    <w:name w:val="Body Text Char"/>
    <w:link w:val="BodyText"/>
    <w:rsid w:val="00A316E8"/>
    <w:rPr>
      <w:rFonts w:ascii="Times New Roman" w:eastAsia="Times New Roman" w:hAnsi="Times New Roman" w:cs="Times New Roman"/>
      <w:sz w:val="24"/>
      <w:lang w:val="en-US" w:eastAsia="en-US"/>
    </w:rPr>
  </w:style>
  <w:style w:type="paragraph" w:styleId="Footer">
    <w:name w:val="footer"/>
    <w:basedOn w:val="Normal"/>
    <w:link w:val="FooterChar"/>
    <w:rsid w:val="00A31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16E8"/>
    <w:rPr>
      <w:rFonts w:ascii="Times New Roman" w:eastAsia="Times New Roman" w:hAnsi="Times New Roman" w:cs="Times New Roman"/>
      <w:sz w:val="16"/>
      <w:lang w:val="en-US" w:eastAsia="en-US"/>
    </w:rPr>
  </w:style>
  <w:style w:type="paragraph" w:styleId="List">
    <w:name w:val="List"/>
    <w:basedOn w:val="BodyText"/>
    <w:next w:val="BodyText"/>
    <w:rsid w:val="00A316E8"/>
    <w:pPr>
      <w:tabs>
        <w:tab w:val="left" w:pos="340"/>
      </w:tabs>
      <w:spacing w:before="60" w:after="60"/>
      <w:ind w:left="340" w:hanging="340"/>
    </w:pPr>
  </w:style>
  <w:style w:type="paragraph" w:styleId="ListBullet">
    <w:name w:val="List Bullet"/>
    <w:basedOn w:val="List"/>
    <w:rsid w:val="00A316E8"/>
    <w:pPr>
      <w:numPr>
        <w:numId w:val="12"/>
      </w:numPr>
      <w:tabs>
        <w:tab w:val="clear" w:pos="340"/>
      </w:tabs>
      <w:spacing w:before="40" w:after="40"/>
    </w:pPr>
  </w:style>
  <w:style w:type="character" w:customStyle="1" w:styleId="SpecialBold">
    <w:name w:val="Special Bold"/>
    <w:rsid w:val="00A316E8"/>
    <w:rPr>
      <w:b/>
      <w:spacing w:val="0"/>
    </w:rPr>
  </w:style>
  <w:style w:type="paragraph" w:styleId="Header">
    <w:name w:val="header"/>
    <w:basedOn w:val="Normal"/>
    <w:link w:val="HeaderChar"/>
    <w:rsid w:val="00A31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16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6E8"/>
    <w:pPr>
      <w:spacing w:before="240" w:after="120"/>
      <w:outlineLvl w:val="0"/>
    </w:pPr>
    <w:rPr>
      <w:rFonts w:ascii="Times New Roman" w:hAnsi="Times New Roman"/>
      <w:b/>
      <w:sz w:val="28"/>
    </w:rPr>
  </w:style>
  <w:style w:type="paragraph" w:customStyle="1" w:styleId="AllowPageBreak">
    <w:name w:val="AllowPageBreak"/>
    <w:rsid w:val="00A31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6E8"/>
    <w:pPr>
      <w:tabs>
        <w:tab w:val="left" w:pos="680"/>
      </w:tabs>
      <w:spacing w:before="60" w:after="60"/>
      <w:ind w:left="680" w:hanging="340"/>
    </w:pPr>
  </w:style>
  <w:style w:type="character" w:customStyle="1" w:styleId="BoldandItalics">
    <w:name w:val="Bold and Italics"/>
    <w:qFormat/>
    <w:rsid w:val="00A316E8"/>
    <w:rPr>
      <w:b/>
      <w:i/>
      <w:u w:val="none"/>
    </w:rPr>
  </w:style>
  <w:style w:type="character" w:customStyle="1" w:styleId="Heading2Char">
    <w:name w:val="Heading 2 Char"/>
    <w:link w:val="Heading2"/>
    <w:rsid w:val="00A316E8"/>
    <w:rPr>
      <w:rFonts w:ascii="Times New Roman" w:eastAsia="Times New Roman" w:hAnsi="Times New Roman" w:cs="Times New Roman"/>
      <w:b/>
      <w:sz w:val="28"/>
      <w:szCs w:val="40"/>
      <w:lang w:eastAsia="en-US"/>
    </w:rPr>
  </w:style>
  <w:style w:type="character" w:customStyle="1" w:styleId="Heading3Char">
    <w:name w:val="Heading 3 Char"/>
    <w:link w:val="Heading3"/>
    <w:rsid w:val="00A316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16E8"/>
    <w:rPr>
      <w:rFonts w:ascii="Times New Roman" w:eastAsia="Times New Roman" w:hAnsi="Times New Roman" w:cs="Times New Roman"/>
      <w:b/>
      <w:szCs w:val="20"/>
      <w:lang w:eastAsia="en-US"/>
    </w:rPr>
  </w:style>
  <w:style w:type="character" w:customStyle="1" w:styleId="Heading5Char">
    <w:name w:val="Heading 5 Char"/>
    <w:link w:val="Heading5"/>
    <w:rsid w:val="00A316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1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6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6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6E8"/>
    <w:rPr>
      <w:rFonts w:ascii="Courier New" w:eastAsia="Times New Roman" w:hAnsi="Courier New" w:cs="Times New Roman"/>
      <w:i/>
      <w:szCs w:val="20"/>
      <w:lang w:val="en-US" w:eastAsia="en-US"/>
    </w:rPr>
  </w:style>
  <w:style w:type="paragraph" w:customStyle="1" w:styleId="HeadingBase">
    <w:name w:val="Heading Base"/>
    <w:rsid w:val="00A31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6E8"/>
    <w:pPr>
      <w:tabs>
        <w:tab w:val="right" w:leader="dot" w:pos="9072"/>
      </w:tabs>
      <w:ind w:left="567"/>
    </w:pPr>
    <w:rPr>
      <w:szCs w:val="22"/>
    </w:rPr>
  </w:style>
  <w:style w:type="paragraph" w:customStyle="1" w:styleId="TOCBase">
    <w:name w:val="TOC Base"/>
    <w:rsid w:val="00A31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6E8"/>
    <w:pPr>
      <w:tabs>
        <w:tab w:val="right" w:leader="dot" w:pos="9072"/>
      </w:tabs>
      <w:spacing w:before="40" w:after="40"/>
      <w:ind w:left="284"/>
    </w:pPr>
    <w:rPr>
      <w:rFonts w:ascii="Times New Roman" w:hAnsi="Times New Roman"/>
    </w:rPr>
  </w:style>
  <w:style w:type="paragraph" w:styleId="TOC1">
    <w:name w:val="toc 1"/>
    <w:basedOn w:val="TOCBase"/>
    <w:next w:val="Normal"/>
    <w:rsid w:val="00A316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6E8"/>
    <w:pPr>
      <w:spacing w:before="5040"/>
      <w:jc w:val="center"/>
    </w:pPr>
    <w:rPr>
      <w:sz w:val="48"/>
      <w:szCs w:val="72"/>
      <w:lang w:val="en-US"/>
    </w:rPr>
  </w:style>
  <w:style w:type="character" w:customStyle="1" w:styleId="TitleChar">
    <w:name w:val="Title Char"/>
    <w:link w:val="Title"/>
    <w:rsid w:val="00A31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6E8"/>
    <w:pPr>
      <w:tabs>
        <w:tab w:val="left" w:pos="3600"/>
        <w:tab w:val="left" w:pos="3958"/>
      </w:tabs>
    </w:pPr>
  </w:style>
  <w:style w:type="paragraph" w:customStyle="1" w:styleId="Note">
    <w:name w:val="Note"/>
    <w:basedOn w:val="BodyText"/>
    <w:rsid w:val="00A31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6E8"/>
    <w:pPr>
      <w:framePr w:wrap="auto" w:hAnchor="text" w:y="6049"/>
    </w:pPr>
    <w:rPr>
      <w:color w:val="000000"/>
      <w:sz w:val="40"/>
    </w:rPr>
  </w:style>
  <w:style w:type="paragraph" w:customStyle="1" w:styleId="TOCTitle">
    <w:name w:val="TOCTitle"/>
    <w:basedOn w:val="Heading1"/>
    <w:rsid w:val="00A316E8"/>
    <w:pPr>
      <w:spacing w:after="240"/>
      <w:jc w:val="center"/>
      <w:outlineLvl w:val="9"/>
    </w:pPr>
    <w:rPr>
      <w:caps/>
    </w:rPr>
  </w:style>
  <w:style w:type="paragraph" w:customStyle="1" w:styleId="Version">
    <w:name w:val="Version"/>
    <w:rsid w:val="00A31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6E8"/>
    <w:pPr>
      <w:numPr>
        <w:numId w:val="13"/>
      </w:numPr>
      <w:tabs>
        <w:tab w:val="clear" w:pos="680"/>
      </w:tabs>
    </w:pPr>
  </w:style>
  <w:style w:type="paragraph" w:styleId="Index1">
    <w:name w:val="index 1"/>
    <w:basedOn w:val="Normal"/>
    <w:next w:val="Normal"/>
    <w:semiHidden/>
    <w:rsid w:val="00A316E8"/>
    <w:pPr>
      <w:keepNext w:val="0"/>
      <w:tabs>
        <w:tab w:val="right" w:pos="4176"/>
      </w:tabs>
      <w:ind w:left="198" w:hanging="198"/>
    </w:pPr>
    <w:rPr>
      <w:rFonts w:ascii="Garamond" w:hAnsi="Garamond"/>
    </w:rPr>
  </w:style>
  <w:style w:type="paragraph" w:styleId="IndexHeading">
    <w:name w:val="index heading"/>
    <w:basedOn w:val="Normal"/>
    <w:next w:val="Index1"/>
    <w:semiHidden/>
    <w:rsid w:val="00A316E8"/>
    <w:pPr>
      <w:spacing w:before="120" w:after="120"/>
    </w:pPr>
    <w:rPr>
      <w:rFonts w:ascii="Arial" w:hAnsi="Arial"/>
      <w:b/>
      <w:color w:val="918585"/>
      <w:sz w:val="24"/>
    </w:rPr>
  </w:style>
  <w:style w:type="paragraph" w:customStyle="1" w:styleId="Chapter">
    <w:name w:val="Chapter"/>
    <w:basedOn w:val="Normal"/>
    <w:rsid w:val="00A316E8"/>
    <w:pPr>
      <w:spacing w:before="240"/>
    </w:pPr>
    <w:rPr>
      <w:rFonts w:ascii="Times New Roman" w:hAnsi="Times New Roman"/>
      <w:smallCaps/>
      <w:spacing w:val="80"/>
      <w:sz w:val="28"/>
    </w:rPr>
  </w:style>
  <w:style w:type="paragraph" w:customStyle="1" w:styleId="InChapter">
    <w:name w:val="InChapter"/>
    <w:basedOn w:val="Heading3"/>
    <w:rsid w:val="00A316E8"/>
    <w:pPr>
      <w:spacing w:after="240"/>
      <w:outlineLvl w:val="9"/>
    </w:pPr>
    <w:rPr>
      <w:noProof/>
    </w:rPr>
  </w:style>
  <w:style w:type="paragraph" w:styleId="Index2">
    <w:name w:val="index 2"/>
    <w:basedOn w:val="Normal"/>
    <w:next w:val="Normal"/>
    <w:semiHidden/>
    <w:rsid w:val="00A316E8"/>
    <w:pPr>
      <w:tabs>
        <w:tab w:val="right" w:pos="4176"/>
      </w:tabs>
      <w:ind w:left="568" w:hanging="284"/>
    </w:pPr>
    <w:rPr>
      <w:rFonts w:ascii="Garamond" w:hAnsi="Garamond"/>
    </w:rPr>
  </w:style>
  <w:style w:type="paragraph" w:customStyle="1" w:styleId="Byline">
    <w:name w:val="Byline"/>
    <w:rsid w:val="00A31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6E8"/>
    <w:pPr>
      <w:tabs>
        <w:tab w:val="clear" w:pos="3600"/>
        <w:tab w:val="clear" w:pos="3958"/>
      </w:tabs>
      <w:jc w:val="right"/>
    </w:pPr>
  </w:style>
  <w:style w:type="character" w:styleId="Emphasis">
    <w:name w:val="Emphasis"/>
    <w:qFormat/>
    <w:rsid w:val="00A316E8"/>
    <w:rPr>
      <w:i/>
    </w:rPr>
  </w:style>
  <w:style w:type="paragraph" w:styleId="Caption">
    <w:name w:val="caption"/>
    <w:basedOn w:val="BodyText"/>
    <w:next w:val="Normal"/>
    <w:qFormat/>
    <w:rsid w:val="00A316E8"/>
    <w:pPr>
      <w:framePr w:w="2268" w:hSpace="181" w:vSpace="181" w:wrap="around" w:vAnchor="text" w:hAnchor="page" w:x="1135" w:y="285" w:anchorLock="1"/>
    </w:pPr>
    <w:rPr>
      <w:i/>
    </w:rPr>
  </w:style>
  <w:style w:type="paragraph" w:customStyle="1" w:styleId="MiniTOCTitle">
    <w:name w:val="MiniTOCTitle"/>
    <w:basedOn w:val="Heading4"/>
    <w:rsid w:val="00A316E8"/>
    <w:pPr>
      <w:spacing w:before="240"/>
      <w:outlineLvl w:val="9"/>
    </w:pPr>
    <w:rPr>
      <w:noProof/>
      <w:sz w:val="24"/>
    </w:rPr>
  </w:style>
  <w:style w:type="paragraph" w:customStyle="1" w:styleId="MiniTOCItem">
    <w:name w:val="MiniTOCItem"/>
    <w:basedOn w:val="ListBullet"/>
    <w:rsid w:val="00A316E8"/>
    <w:pPr>
      <w:numPr>
        <w:numId w:val="0"/>
      </w:numPr>
      <w:tabs>
        <w:tab w:val="right" w:leader="dot" w:pos="6521"/>
      </w:tabs>
      <w:spacing w:before="0" w:after="0"/>
    </w:pPr>
  </w:style>
  <w:style w:type="paragraph" w:customStyle="1" w:styleId="TOFTitle">
    <w:name w:val="TOFTitle"/>
    <w:basedOn w:val="TOCTitle"/>
    <w:rsid w:val="00A316E8"/>
  </w:style>
  <w:style w:type="paragraph" w:styleId="TableofFigures">
    <w:name w:val="table of figures"/>
    <w:basedOn w:val="Normal"/>
    <w:next w:val="Normal"/>
    <w:semiHidden/>
    <w:rsid w:val="00A316E8"/>
    <w:pPr>
      <w:tabs>
        <w:tab w:val="right" w:leader="dot" w:pos="9072"/>
      </w:tabs>
      <w:ind w:left="970" w:hanging="403"/>
    </w:pPr>
    <w:rPr>
      <w:rFonts w:ascii="Times New Roman" w:hAnsi="Times New Roman"/>
      <w:b/>
    </w:rPr>
  </w:style>
  <w:style w:type="paragraph" w:styleId="ListNumber">
    <w:name w:val="List Number"/>
    <w:basedOn w:val="List"/>
    <w:rsid w:val="00A316E8"/>
    <w:pPr>
      <w:numPr>
        <w:numId w:val="10"/>
      </w:numPr>
    </w:pPr>
  </w:style>
  <w:style w:type="character" w:customStyle="1" w:styleId="WingdingSymbols">
    <w:name w:val="Wingding Symbols"/>
    <w:rsid w:val="00A316E8"/>
    <w:rPr>
      <w:rFonts w:ascii="Wingdings" w:hAnsi="Wingdings"/>
    </w:rPr>
  </w:style>
  <w:style w:type="paragraph" w:customStyle="1" w:styleId="TableHeading">
    <w:name w:val="Table Heading"/>
    <w:basedOn w:val="HeadingBase"/>
    <w:rsid w:val="00A316E8"/>
    <w:pPr>
      <w:keepLines/>
      <w:pBdr>
        <w:bottom w:val="single" w:sz="6" w:space="1" w:color="918585"/>
      </w:pBdr>
      <w:spacing w:before="240"/>
    </w:pPr>
  </w:style>
  <w:style w:type="character" w:customStyle="1" w:styleId="HotSpot">
    <w:name w:val="HotSpot"/>
    <w:rsid w:val="00A316E8"/>
    <w:rPr>
      <w:color w:val="0033CC"/>
      <w:u w:val="none"/>
    </w:rPr>
  </w:style>
  <w:style w:type="paragraph" w:customStyle="1" w:styleId="BodyTextRight">
    <w:name w:val="Body Text Right"/>
    <w:basedOn w:val="BodyText"/>
    <w:rsid w:val="00A316E8"/>
    <w:pPr>
      <w:spacing w:before="0" w:after="0"/>
      <w:jc w:val="right"/>
    </w:pPr>
  </w:style>
  <w:style w:type="paragraph" w:styleId="Index3">
    <w:name w:val="index 3"/>
    <w:basedOn w:val="ListNumber2"/>
    <w:next w:val="Normal"/>
    <w:semiHidden/>
    <w:rsid w:val="00A316E8"/>
    <w:pPr>
      <w:numPr>
        <w:numId w:val="0"/>
      </w:numPr>
      <w:tabs>
        <w:tab w:val="right" w:leader="dot" w:pos="4176"/>
      </w:tabs>
    </w:pPr>
  </w:style>
  <w:style w:type="paragraph" w:styleId="ListNumber2">
    <w:name w:val="List Number 2"/>
    <w:basedOn w:val="List2"/>
    <w:rsid w:val="00A316E8"/>
    <w:pPr>
      <w:numPr>
        <w:numId w:val="9"/>
      </w:numPr>
      <w:tabs>
        <w:tab w:val="clear" w:pos="1060"/>
      </w:tabs>
    </w:pPr>
  </w:style>
  <w:style w:type="paragraph" w:customStyle="1" w:styleId="MarginNote">
    <w:name w:val="Margin Note"/>
    <w:basedOn w:val="BodyText"/>
    <w:rsid w:val="00A31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16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6E8"/>
    <w:rPr>
      <w:sz w:val="32"/>
    </w:rPr>
  </w:style>
  <w:style w:type="paragraph" w:customStyle="1" w:styleId="HeadingProcedure">
    <w:name w:val="Heading Procedure"/>
    <w:basedOn w:val="HeadingBase"/>
    <w:next w:val="Normal"/>
    <w:rsid w:val="00A316E8"/>
    <w:pPr>
      <w:tabs>
        <w:tab w:val="left" w:pos="0"/>
      </w:tabs>
      <w:spacing w:before="120" w:after="60"/>
    </w:pPr>
    <w:rPr>
      <w:i/>
      <w:color w:val="918585"/>
      <w:sz w:val="22"/>
    </w:rPr>
  </w:style>
  <w:style w:type="paragraph" w:customStyle="1" w:styleId="TableBodyText">
    <w:name w:val="Table Body Text"/>
    <w:basedOn w:val="BodyText"/>
    <w:rsid w:val="00A316E8"/>
    <w:pPr>
      <w:spacing w:before="60" w:after="60"/>
    </w:pPr>
  </w:style>
  <w:style w:type="paragraph" w:styleId="ListContinue">
    <w:name w:val="List Continue"/>
    <w:basedOn w:val="List"/>
    <w:rsid w:val="00A316E8"/>
    <w:pPr>
      <w:ind w:firstLine="0"/>
    </w:pPr>
  </w:style>
  <w:style w:type="paragraph" w:customStyle="1" w:styleId="ListNote">
    <w:name w:val="List Note"/>
    <w:basedOn w:val="List"/>
    <w:rsid w:val="00A316E8"/>
    <w:pPr>
      <w:pBdr>
        <w:top w:val="single" w:sz="6" w:space="2" w:color="918585"/>
        <w:bottom w:val="single" w:sz="6" w:space="2" w:color="918585"/>
      </w:pBdr>
      <w:tabs>
        <w:tab w:val="left" w:pos="1021"/>
      </w:tabs>
      <w:ind w:firstLine="0"/>
    </w:pPr>
  </w:style>
  <w:style w:type="paragraph" w:customStyle="1" w:styleId="Warning">
    <w:name w:val="Warning"/>
    <w:basedOn w:val="BodyText"/>
    <w:rsid w:val="00A316E8"/>
    <w:pPr>
      <w:shd w:val="clear" w:color="auto" w:fill="D9D9D9"/>
      <w:tabs>
        <w:tab w:val="left" w:pos="992"/>
      </w:tabs>
      <w:ind w:left="119" w:right="119"/>
    </w:pPr>
    <w:rPr>
      <w:sz w:val="20"/>
    </w:rPr>
  </w:style>
  <w:style w:type="paragraph" w:customStyle="1" w:styleId="MarginIcons">
    <w:name w:val="Margin Icons"/>
    <w:basedOn w:val="BodyText"/>
    <w:rsid w:val="00A316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16E8"/>
    <w:rPr>
      <w:rFonts w:ascii="Courier New" w:hAnsi="Courier New"/>
    </w:rPr>
  </w:style>
  <w:style w:type="paragraph" w:customStyle="1" w:styleId="NoteBullet">
    <w:name w:val="Note Bullet"/>
    <w:basedOn w:val="Note"/>
    <w:rsid w:val="00A316E8"/>
    <w:pPr>
      <w:tabs>
        <w:tab w:val="clear" w:pos="680"/>
      </w:tabs>
      <w:spacing w:before="60" w:after="60"/>
    </w:pPr>
  </w:style>
  <w:style w:type="paragraph" w:customStyle="1" w:styleId="SubHeading2">
    <w:name w:val="SubHeading2"/>
    <w:basedOn w:val="HeadingBase"/>
    <w:rsid w:val="00A316E8"/>
    <w:pPr>
      <w:spacing w:before="240" w:after="60"/>
    </w:pPr>
    <w:rPr>
      <w:sz w:val="20"/>
    </w:rPr>
  </w:style>
  <w:style w:type="paragraph" w:customStyle="1" w:styleId="SubHeading1">
    <w:name w:val="SubHeading1"/>
    <w:basedOn w:val="HeadingBase"/>
    <w:rsid w:val="00A316E8"/>
    <w:pPr>
      <w:spacing w:before="240" w:after="60"/>
    </w:pPr>
    <w:rPr>
      <w:color w:val="918585"/>
      <w:sz w:val="22"/>
    </w:rPr>
  </w:style>
  <w:style w:type="paragraph" w:customStyle="1" w:styleId="SideHeading">
    <w:name w:val="Side Heading"/>
    <w:basedOn w:val="HeadingBase"/>
    <w:rsid w:val="00A31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6E8"/>
    <w:pPr>
      <w:tabs>
        <w:tab w:val="num" w:pos="360"/>
      </w:tabs>
    </w:pPr>
  </w:style>
  <w:style w:type="paragraph" w:styleId="PlainText">
    <w:name w:val="Plain Text"/>
    <w:basedOn w:val="Normal"/>
    <w:link w:val="PlainTextChar"/>
    <w:rsid w:val="00A316E8"/>
    <w:rPr>
      <w:sz w:val="20"/>
    </w:rPr>
  </w:style>
  <w:style w:type="character" w:customStyle="1" w:styleId="PlainTextChar">
    <w:name w:val="Plain Text Char"/>
    <w:basedOn w:val="DefaultParagraphFont"/>
    <w:link w:val="PlainText"/>
    <w:rsid w:val="00A316E8"/>
    <w:rPr>
      <w:rFonts w:ascii="Courier New" w:eastAsia="Times New Roman" w:hAnsi="Courier New" w:cs="Times New Roman"/>
      <w:sz w:val="20"/>
      <w:szCs w:val="20"/>
      <w:lang w:val="en-US" w:eastAsia="en-US"/>
    </w:rPr>
  </w:style>
  <w:style w:type="character" w:customStyle="1" w:styleId="MenuOption">
    <w:name w:val="Menu Option"/>
    <w:rsid w:val="00A316E8"/>
    <w:rPr>
      <w:b/>
      <w:smallCaps/>
    </w:rPr>
  </w:style>
  <w:style w:type="paragraph" w:customStyle="1" w:styleId="TableListNumber">
    <w:name w:val="Table List Number"/>
    <w:basedOn w:val="ListNumber"/>
    <w:rsid w:val="00A316E8"/>
    <w:pPr>
      <w:numPr>
        <w:numId w:val="0"/>
      </w:numPr>
    </w:pPr>
  </w:style>
  <w:style w:type="paragraph" w:styleId="TOC4">
    <w:name w:val="toc 4"/>
    <w:basedOn w:val="TOCBase"/>
    <w:next w:val="Normal"/>
    <w:semiHidden/>
    <w:rsid w:val="00A316E8"/>
    <w:pPr>
      <w:tabs>
        <w:tab w:val="right" w:leader="dot" w:pos="9071"/>
      </w:tabs>
      <w:ind w:left="1701"/>
    </w:pPr>
  </w:style>
  <w:style w:type="paragraph" w:customStyle="1" w:styleId="ListAlpha">
    <w:name w:val="List Alpha"/>
    <w:basedOn w:val="List"/>
    <w:rsid w:val="00A316E8"/>
    <w:pPr>
      <w:numPr>
        <w:numId w:val="8"/>
      </w:numPr>
    </w:pPr>
  </w:style>
  <w:style w:type="paragraph" w:customStyle="1" w:styleId="ListAlpha2">
    <w:name w:val="List Alpha 2"/>
    <w:basedOn w:val="List2"/>
    <w:rsid w:val="00A316E8"/>
    <w:pPr>
      <w:numPr>
        <w:numId w:val="7"/>
      </w:numPr>
    </w:pPr>
  </w:style>
  <w:style w:type="paragraph" w:styleId="List3">
    <w:name w:val="List 3"/>
    <w:basedOn w:val="BodyText"/>
    <w:rsid w:val="00A316E8"/>
    <w:pPr>
      <w:tabs>
        <w:tab w:val="left" w:pos="1021"/>
      </w:tabs>
      <w:spacing w:before="60" w:after="60"/>
      <w:ind w:left="1020" w:hanging="340"/>
    </w:pPr>
  </w:style>
  <w:style w:type="paragraph" w:styleId="List4">
    <w:name w:val="List 4"/>
    <w:basedOn w:val="BodyText"/>
    <w:rsid w:val="00A316E8"/>
    <w:pPr>
      <w:tabs>
        <w:tab w:val="left" w:pos="1361"/>
      </w:tabs>
      <w:spacing w:before="60" w:after="60"/>
      <w:ind w:left="1361" w:hanging="340"/>
    </w:pPr>
  </w:style>
  <w:style w:type="paragraph" w:styleId="List5">
    <w:name w:val="List 5"/>
    <w:basedOn w:val="BodyText"/>
    <w:rsid w:val="00A316E8"/>
    <w:pPr>
      <w:tabs>
        <w:tab w:val="left" w:pos="1701"/>
      </w:tabs>
      <w:spacing w:before="60" w:after="60"/>
      <w:ind w:left="1701" w:hanging="340"/>
    </w:pPr>
  </w:style>
  <w:style w:type="paragraph" w:styleId="ListBullet3">
    <w:name w:val="List Bullet 3"/>
    <w:basedOn w:val="List3"/>
    <w:rsid w:val="00A316E8"/>
    <w:pPr>
      <w:numPr>
        <w:numId w:val="14"/>
      </w:numPr>
      <w:tabs>
        <w:tab w:val="clear" w:pos="1021"/>
      </w:tabs>
      <w:ind w:left="1037" w:hanging="357"/>
    </w:pPr>
  </w:style>
  <w:style w:type="paragraph" w:styleId="ListBullet4">
    <w:name w:val="List Bullet 4"/>
    <w:basedOn w:val="List4"/>
    <w:rsid w:val="00A316E8"/>
    <w:pPr>
      <w:numPr>
        <w:numId w:val="2"/>
      </w:numPr>
    </w:pPr>
  </w:style>
  <w:style w:type="paragraph" w:styleId="ListBullet5">
    <w:name w:val="List Bullet 5"/>
    <w:basedOn w:val="List5"/>
    <w:rsid w:val="00A316E8"/>
    <w:pPr>
      <w:numPr>
        <w:numId w:val="3"/>
      </w:numPr>
    </w:pPr>
  </w:style>
  <w:style w:type="paragraph" w:styleId="ListContinue2">
    <w:name w:val="List Continue 2"/>
    <w:basedOn w:val="List2"/>
    <w:rsid w:val="00A316E8"/>
    <w:pPr>
      <w:ind w:firstLine="0"/>
    </w:pPr>
  </w:style>
  <w:style w:type="paragraph" w:styleId="ListContinue3">
    <w:name w:val="List Continue 3"/>
    <w:basedOn w:val="List3"/>
    <w:rsid w:val="00A316E8"/>
    <w:pPr>
      <w:ind w:left="1021" w:firstLine="0"/>
    </w:pPr>
  </w:style>
  <w:style w:type="paragraph" w:styleId="ListContinue4">
    <w:name w:val="List Continue 4"/>
    <w:basedOn w:val="List4"/>
    <w:rsid w:val="00A316E8"/>
    <w:pPr>
      <w:ind w:firstLine="0"/>
    </w:pPr>
  </w:style>
  <w:style w:type="paragraph" w:styleId="ListContinue5">
    <w:name w:val="List Continue 5"/>
    <w:basedOn w:val="List5"/>
    <w:rsid w:val="00A316E8"/>
    <w:pPr>
      <w:ind w:firstLine="0"/>
    </w:pPr>
  </w:style>
  <w:style w:type="paragraph" w:styleId="ListNumber3">
    <w:name w:val="List Number 3"/>
    <w:basedOn w:val="List3"/>
    <w:rsid w:val="00A316E8"/>
    <w:pPr>
      <w:numPr>
        <w:numId w:val="4"/>
      </w:numPr>
    </w:pPr>
  </w:style>
  <w:style w:type="paragraph" w:styleId="ListNumber4">
    <w:name w:val="List Number 4"/>
    <w:basedOn w:val="List4"/>
    <w:rsid w:val="00A316E8"/>
    <w:pPr>
      <w:numPr>
        <w:numId w:val="5"/>
      </w:numPr>
    </w:pPr>
  </w:style>
  <w:style w:type="paragraph" w:styleId="ListNumber5">
    <w:name w:val="List Number 5"/>
    <w:basedOn w:val="List5"/>
    <w:rsid w:val="00A316E8"/>
    <w:pPr>
      <w:numPr>
        <w:numId w:val="6"/>
      </w:numPr>
    </w:pPr>
  </w:style>
  <w:style w:type="paragraph" w:styleId="BlockText">
    <w:name w:val="Block Text"/>
    <w:basedOn w:val="Normal"/>
    <w:rsid w:val="00A316E8"/>
    <w:pPr>
      <w:spacing w:after="120"/>
      <w:ind w:left="1440" w:right="1440"/>
    </w:pPr>
  </w:style>
  <w:style w:type="character" w:customStyle="1" w:styleId="Subscript">
    <w:name w:val="Subscript"/>
    <w:rsid w:val="00A316E8"/>
    <w:rPr>
      <w:sz w:val="16"/>
      <w:vertAlign w:val="subscript"/>
    </w:rPr>
  </w:style>
  <w:style w:type="character" w:customStyle="1" w:styleId="Superscript">
    <w:name w:val="Superscript"/>
    <w:rsid w:val="00A316E8"/>
    <w:rPr>
      <w:sz w:val="16"/>
      <w:vertAlign w:val="superscript"/>
    </w:rPr>
  </w:style>
  <w:style w:type="character" w:customStyle="1" w:styleId="Symbols">
    <w:name w:val="Symbols"/>
    <w:rsid w:val="00A316E8"/>
    <w:rPr>
      <w:rFonts w:ascii="Symbol" w:hAnsi="Symbol"/>
    </w:rPr>
  </w:style>
  <w:style w:type="character" w:customStyle="1" w:styleId="MenuOptions">
    <w:name w:val="Menu Options"/>
    <w:rsid w:val="00A316E8"/>
    <w:rPr>
      <w:rFonts w:ascii="Arial Narrow" w:hAnsi="Arial Narrow"/>
      <w:smallCaps/>
    </w:rPr>
  </w:style>
  <w:style w:type="character" w:customStyle="1" w:styleId="Buttons">
    <w:name w:val="Buttons"/>
    <w:rsid w:val="00A316E8"/>
    <w:rPr>
      <w:b/>
    </w:rPr>
  </w:style>
  <w:style w:type="character" w:customStyle="1" w:styleId="Underlined">
    <w:name w:val="Underlined"/>
    <w:rsid w:val="00A316E8"/>
    <w:rPr>
      <w:u w:val="single"/>
    </w:rPr>
  </w:style>
  <w:style w:type="paragraph" w:customStyle="1" w:styleId="TableBodyTextRight">
    <w:name w:val="Table Body Text Right"/>
    <w:basedOn w:val="TableBodyText"/>
    <w:rsid w:val="00A316E8"/>
    <w:pPr>
      <w:widowControl w:val="0"/>
      <w:autoSpaceDE w:val="0"/>
      <w:autoSpaceDN w:val="0"/>
      <w:adjustRightInd w:val="0"/>
      <w:jc w:val="right"/>
    </w:pPr>
    <w:rPr>
      <w:rFonts w:cs="Arial"/>
      <w:szCs w:val="18"/>
    </w:rPr>
  </w:style>
  <w:style w:type="paragraph" w:customStyle="1" w:styleId="CopyrightText">
    <w:name w:val="Copyright Text"/>
    <w:basedOn w:val="BodyText"/>
    <w:rsid w:val="00A316E8"/>
    <w:rPr>
      <w:sz w:val="18"/>
    </w:rPr>
  </w:style>
  <w:style w:type="paragraph" w:customStyle="1" w:styleId="BodySmallRight">
    <w:name w:val="Body Small Right"/>
    <w:basedOn w:val="BodyTextRight"/>
    <w:rsid w:val="00A316E8"/>
    <w:rPr>
      <w:sz w:val="18"/>
      <w:szCs w:val="18"/>
    </w:rPr>
  </w:style>
  <w:style w:type="paragraph" w:customStyle="1" w:styleId="MarginEdition">
    <w:name w:val="Margin Edition"/>
    <w:basedOn w:val="MarginNote"/>
    <w:rsid w:val="00A316E8"/>
    <w:pPr>
      <w:spacing w:before="0" w:after="0"/>
    </w:pPr>
    <w:rPr>
      <w:rFonts w:ascii="Times New Roman" w:hAnsi="Times New Roman"/>
      <w:color w:val="999999"/>
    </w:rPr>
  </w:style>
  <w:style w:type="paragraph" w:customStyle="1" w:styleId="Spacer">
    <w:name w:val="Spacer"/>
    <w:basedOn w:val="Normal"/>
    <w:rsid w:val="00A316E8"/>
    <w:rPr>
      <w:sz w:val="2"/>
      <w:szCs w:val="2"/>
    </w:rPr>
  </w:style>
  <w:style w:type="character" w:customStyle="1" w:styleId="Small">
    <w:name w:val="Small"/>
    <w:rsid w:val="00A316E8"/>
    <w:rPr>
      <w:sz w:val="16"/>
    </w:rPr>
  </w:style>
  <w:style w:type="paragraph" w:customStyle="1" w:styleId="WideTable">
    <w:name w:val="Wide Table"/>
    <w:basedOn w:val="Normal"/>
    <w:rsid w:val="00A316E8"/>
    <w:pPr>
      <w:ind w:left="-1418"/>
    </w:pPr>
    <w:rPr>
      <w:sz w:val="2"/>
      <w:szCs w:val="2"/>
    </w:rPr>
  </w:style>
  <w:style w:type="character" w:styleId="PageNumber">
    <w:name w:val="page number"/>
    <w:rsid w:val="00A316E8"/>
  </w:style>
  <w:style w:type="paragraph" w:styleId="Quote">
    <w:name w:val="Quote"/>
    <w:basedOn w:val="Heading1"/>
    <w:link w:val="QuoteChar"/>
    <w:qFormat/>
    <w:rsid w:val="00A316E8"/>
    <w:rPr>
      <w:b w:val="0"/>
      <w:sz w:val="72"/>
      <w:szCs w:val="72"/>
      <w:lang w:val="en-NZ"/>
    </w:rPr>
  </w:style>
  <w:style w:type="character" w:customStyle="1" w:styleId="QuoteChar">
    <w:name w:val="Quote Char"/>
    <w:link w:val="Quote"/>
    <w:rsid w:val="00A31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6E8"/>
    <w:pPr>
      <w:pageBreakBefore/>
    </w:pPr>
  </w:style>
  <w:style w:type="paragraph" w:customStyle="1" w:styleId="Border">
    <w:name w:val="Border"/>
    <w:basedOn w:val="Normal"/>
    <w:qFormat/>
    <w:rsid w:val="00A316E8"/>
    <w:pPr>
      <w:pBdr>
        <w:top w:val="single" w:sz="18" w:space="1" w:color="auto"/>
      </w:pBdr>
    </w:pPr>
    <w:rPr>
      <w:rFonts w:ascii="Times New Roman" w:hAnsi="Times New Roman"/>
      <w:color w:val="FFFFFF"/>
      <w:sz w:val="2"/>
    </w:rPr>
  </w:style>
  <w:style w:type="character" w:styleId="IntenseEmphasis">
    <w:name w:val="Intense Emphasis"/>
    <w:uiPriority w:val="21"/>
    <w:qFormat/>
    <w:rsid w:val="00A316E8"/>
    <w:rPr>
      <w:b/>
      <w:bCs/>
      <w:i/>
      <w:iCs/>
      <w:color w:val="auto"/>
    </w:rPr>
  </w:style>
  <w:style w:type="paragraph" w:styleId="IntenseQuote">
    <w:name w:val="Intense Quote"/>
    <w:basedOn w:val="Normal"/>
    <w:next w:val="Normal"/>
    <w:link w:val="IntenseQuoteChar"/>
    <w:uiPriority w:val="30"/>
    <w:qFormat/>
    <w:rsid w:val="00A316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16E8"/>
    <w:rPr>
      <w:rFonts w:ascii="Courier New" w:eastAsia="Times New Roman" w:hAnsi="Courier New" w:cs="Times New Roman"/>
      <w:b/>
      <w:bCs/>
      <w:i/>
      <w:iCs/>
      <w:szCs w:val="20"/>
      <w:lang w:val="en-US" w:eastAsia="en-US"/>
    </w:rPr>
  </w:style>
  <w:style w:type="character" w:styleId="SubtleReference">
    <w:name w:val="Subtle Reference"/>
    <w:uiPriority w:val="31"/>
    <w:qFormat/>
    <w:rsid w:val="00A316E8"/>
    <w:rPr>
      <w:smallCaps/>
      <w:color w:val="auto"/>
      <w:u w:val="single"/>
    </w:rPr>
  </w:style>
  <w:style w:type="character" w:styleId="IntenseReference">
    <w:name w:val="Intense Reference"/>
    <w:uiPriority w:val="32"/>
    <w:qFormat/>
    <w:rsid w:val="00A316E8"/>
    <w:rPr>
      <w:b/>
      <w:bCs/>
      <w:smallCaps/>
      <w:color w:val="auto"/>
      <w:spacing w:val="5"/>
      <w:u w:val="single"/>
    </w:rPr>
  </w:style>
  <w:style w:type="paragraph" w:customStyle="1" w:styleId="2ColumnHeading">
    <w:name w:val="2Column Heading"/>
    <w:basedOn w:val="BodyText"/>
    <w:qFormat/>
    <w:rsid w:val="00A316E8"/>
    <w:pPr>
      <w:spacing w:after="60"/>
      <w:ind w:left="-2268"/>
    </w:pPr>
    <w:rPr>
      <w:b/>
    </w:rPr>
  </w:style>
  <w:style w:type="paragraph" w:customStyle="1" w:styleId="Heading1TOC">
    <w:name w:val="Heading1 TOC"/>
    <w:basedOn w:val="Normal"/>
    <w:qFormat/>
    <w:rsid w:val="00A316E8"/>
    <w:pPr>
      <w:spacing w:before="240" w:after="120"/>
    </w:pPr>
    <w:rPr>
      <w:rFonts w:ascii="Times New Roman" w:hAnsi="Times New Roman"/>
      <w:b/>
      <w:sz w:val="32"/>
    </w:rPr>
  </w:style>
  <w:style w:type="paragraph" w:customStyle="1" w:styleId="Heading2TOC">
    <w:name w:val="Heading2 TOC"/>
    <w:basedOn w:val="Normal"/>
    <w:qFormat/>
    <w:rsid w:val="00A316E8"/>
    <w:pPr>
      <w:spacing w:before="240" w:after="60"/>
    </w:pPr>
    <w:rPr>
      <w:rFonts w:ascii="Times New Roman" w:hAnsi="Times New Roman"/>
      <w:b/>
      <w:sz w:val="28"/>
    </w:rPr>
  </w:style>
  <w:style w:type="character" w:customStyle="1" w:styleId="Underline">
    <w:name w:val="Underline"/>
    <w:qFormat/>
    <w:rsid w:val="00A316E8"/>
    <w:rPr>
      <w:u w:val="single"/>
    </w:rPr>
  </w:style>
  <w:style w:type="paragraph" w:styleId="BalloonText">
    <w:name w:val="Balloon Text"/>
    <w:basedOn w:val="Normal"/>
    <w:link w:val="BalloonTextChar"/>
    <w:rsid w:val="00A316E8"/>
    <w:rPr>
      <w:rFonts w:ascii="Tahoma" w:hAnsi="Tahoma" w:cs="Tahoma"/>
      <w:sz w:val="16"/>
      <w:szCs w:val="16"/>
    </w:rPr>
  </w:style>
  <w:style w:type="character" w:customStyle="1" w:styleId="BalloonTextChar">
    <w:name w:val="Balloon Text Char"/>
    <w:link w:val="BalloonText"/>
    <w:rsid w:val="00A316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6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16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984</Words>
  <Characters>6455</Characters>
  <Application>Microsoft Office Word</Application>
  <DocSecurity>0</DocSecurity>
  <Lines>277</Lines>
  <Paragraphs>159</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FNSILA502A Evaluate collected information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2012-05-26T16:23:00Z</dcterms:created>
  <dcterms:modified xsi:type="dcterms:W3CDTF">2012-05-26T16:23:00Z</dcterms:modified>
</cp:coreProperties>
</file>