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48F0" w:rsidP="005F48F0">
      <w:pPr>
        <w:pStyle w:val="Title"/>
      </w:pPr>
      <w:bookmarkStart w:id="0" w:name="_GoBack"/>
      <w:bookmarkEnd w:id="0"/>
      <w:r>
        <w:fldChar w:fldCharType="begin"/>
      </w:r>
      <w:r>
        <w:instrText xml:space="preserve"> TITLE   \* MERGEFORMAT </w:instrText>
      </w:r>
      <w:r>
        <w:fldChar w:fldCharType="separate"/>
      </w:r>
      <w:r>
        <w:t>FNSFLT502A Facilitate customer awareness of the Australian financial system and markets</w:t>
      </w:r>
      <w:r>
        <w:fldChar w:fldCharType="end"/>
      </w:r>
    </w:p>
    <w:p w:rsidR="005F48F0" w:rsidP="005F48F0">
      <w:pPr>
        <w:pStyle w:val="Version"/>
        <w:sectPr w:rsidSect="00A934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34A3" w:rsidP="00A934A3">
      <w:pPr>
        <w:pStyle w:val="SuperHeading"/>
      </w:pPr>
      <w:r w:rsidRPr="00A934A3">
        <w:t>FNSFLT502A Facilitate customer awareness of the Australian financial system and markets</w:t>
      </w:r>
    </w:p>
    <w:p w:rsidR="00000000" w:rsidRPr="00A934A3" w:rsidP="00A934A3">
      <w:pPr>
        <w:pStyle w:val="Heading1"/>
      </w:pPr>
      <w:bookmarkStart w:id="1" w:name="O_78195"/>
      <w:bookmarkEnd w:id="1"/>
      <w:r w:rsidRPr="00A934A3">
        <w:t>Modification History</w:t>
      </w:r>
    </w:p>
    <w:p w:rsidR="00000000" w:rsidRPr="00A934A3" w:rsidP="00A934A3">
      <w:pPr>
        <w:pStyle w:val="BodyText"/>
      </w:pPr>
      <w:r w:rsidRPr="00A934A3">
        <w:t>Not applicable.</w:t>
      </w:r>
    </w:p>
    <w:p w:rsidR="00000000" w:rsidRPr="00A934A3" w:rsidP="00A934A3">
      <w:pPr>
        <w:pStyle w:val="AllowPageBreak"/>
      </w:pPr>
    </w:p>
    <w:p w:rsidR="00000000" w:rsidRPr="00A934A3" w:rsidP="00A934A3">
      <w:pPr>
        <w:pStyle w:val="Heading1"/>
      </w:pPr>
      <w:bookmarkStart w:id="2" w:name="O_78196"/>
      <w:bookmarkEnd w:id="2"/>
      <w:r w:rsidRPr="00A934A3">
        <w:t>Unit Descrip</w:t>
      </w:r>
      <w:r w:rsidRPr="00A934A3">
        <w:t>tor</w:t>
      </w:r>
    </w:p>
    <w:tbl>
      <w:tblPr>
        <w:tblW w:w="0" w:type="auto"/>
        <w:tblLayout w:type="fixed"/>
        <w:tblCellMar>
          <w:left w:w="62" w:type="dxa"/>
          <w:right w:w="62" w:type="dxa"/>
        </w:tblCellMar>
        <w:tblLook w:val="0000"/>
      </w:tblPr>
      <w:tblGrid>
        <w:gridCol w:w="2646"/>
        <w:gridCol w:w="5876"/>
      </w:tblGrid>
      <w:tr w:rsidTr="005F48F0">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A3">
            <w:pPr>
              <w:pStyle w:val="BodyText"/>
              <w:rPr>
                <w:lang w:val="en-NZ"/>
              </w:rPr>
            </w:pPr>
            <w:r w:rsidRPr="00A934A3">
              <w:rPr>
                <w:rStyle w:val="SpecialBold"/>
              </w:rPr>
              <w:t>Unit descriptor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A3" w:rsidP="00A934A3">
            <w:pPr>
              <w:pStyle w:val="BodyText"/>
            </w:pPr>
            <w:r w:rsidRPr="00A934A3">
              <w:t>This unit describes the performance outcomes, skills and knowledge required to develop customer awareness of how the monetary and financial systems and markets operate in Australia, with the aim of enhancing basic consumer financial lit</w:t>
            </w:r>
            <w:r w:rsidRPr="00A934A3">
              <w:t>eracy.</w:t>
            </w:r>
          </w:p>
          <w:p w:rsidR="00000000" w:rsidRPr="00A934A3" w:rsidP="00A934A3">
            <w:pPr>
              <w:pStyle w:val="BodyText"/>
            </w:pPr>
          </w:p>
          <w:p w:rsidR="00000000" w:rsidRPr="00A934A3" w:rsidP="00A934A3">
            <w:pPr>
              <w:pStyle w:val="BodyText"/>
            </w:pPr>
            <w:r w:rsidRPr="00A934A3">
              <w:t>No licensing, legislative, regulatory or certification requirements apply to this unit at the time of endorsement.</w:t>
            </w:r>
          </w:p>
        </w:tc>
      </w:tr>
    </w:tbl>
    <w:p w:rsidR="00000000" w:rsidRPr="00A934A3" w:rsidP="00A934A3">
      <w:pPr>
        <w:pStyle w:val="BodyText"/>
      </w:pPr>
    </w:p>
    <w:p w:rsidR="00000000" w:rsidRPr="00A934A3" w:rsidP="00A934A3">
      <w:pPr>
        <w:pStyle w:val="AllowPageBreak"/>
      </w:pPr>
    </w:p>
    <w:p w:rsidR="00000000" w:rsidRPr="00A934A3" w:rsidP="00A934A3">
      <w:pPr>
        <w:pStyle w:val="Heading1"/>
      </w:pPr>
      <w:bookmarkStart w:id="3" w:name="O_78197"/>
      <w:bookmarkEnd w:id="3"/>
      <w:r w:rsidRPr="00A934A3">
        <w:t>Application of the Unit</w:t>
      </w:r>
    </w:p>
    <w:tbl>
      <w:tblPr>
        <w:tblW w:w="0" w:type="auto"/>
        <w:tblLayout w:type="fixed"/>
        <w:tblCellMar>
          <w:left w:w="62" w:type="dxa"/>
          <w:right w:w="62" w:type="dxa"/>
        </w:tblCellMar>
        <w:tblLook w:val="0000"/>
      </w:tblPr>
      <w:tblGrid>
        <w:gridCol w:w="2723"/>
        <w:gridCol w:w="5799"/>
      </w:tblGrid>
      <w:tr w:rsidTr="005F48F0">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A3">
            <w:pPr>
              <w:pStyle w:val="BodyText"/>
              <w:rPr>
                <w:lang w:val="en-NZ"/>
              </w:rPr>
            </w:pPr>
            <w:r w:rsidRPr="00A934A3">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A3" w:rsidP="00A934A3">
            <w:pPr>
              <w:pStyle w:val="BodyText"/>
            </w:pPr>
            <w:r w:rsidRPr="00A934A3">
              <w:t>This unit may be applied within the context of a financial counselling role or within educational programs facilitated by financial counsellors or financial institutions within the context of improving consumer financial literacy.</w:t>
            </w:r>
          </w:p>
        </w:tc>
      </w:tr>
    </w:tbl>
    <w:p w:rsidR="00000000" w:rsidRPr="00A934A3" w:rsidP="00A934A3">
      <w:pPr>
        <w:pStyle w:val="BodyText"/>
      </w:pPr>
    </w:p>
    <w:p w:rsidR="00000000" w:rsidRPr="00A934A3" w:rsidP="00A934A3">
      <w:pPr>
        <w:pStyle w:val="AllowPageBreak"/>
      </w:pPr>
    </w:p>
    <w:p w:rsidR="00000000" w:rsidRPr="00A934A3" w:rsidP="00A934A3">
      <w:pPr>
        <w:pStyle w:val="Heading1"/>
      </w:pPr>
      <w:bookmarkStart w:id="4" w:name="O_78198"/>
      <w:bookmarkEnd w:id="4"/>
      <w:r w:rsidRPr="00A934A3">
        <w:t>Licensin</w:t>
      </w:r>
      <w:r w:rsidRPr="00A934A3">
        <w:t>g/Regulatory Information</w:t>
      </w:r>
    </w:p>
    <w:p w:rsidR="00000000" w:rsidRPr="00A934A3" w:rsidP="00A934A3">
      <w:pPr>
        <w:pStyle w:val="BodyText"/>
      </w:pPr>
      <w:r w:rsidRPr="00A934A3">
        <w:t>Not applicable.</w:t>
      </w:r>
    </w:p>
    <w:p w:rsidR="00000000" w:rsidRPr="00A934A3" w:rsidP="00A934A3">
      <w:pPr>
        <w:pStyle w:val="AllowPageBreak"/>
      </w:pPr>
    </w:p>
    <w:p w:rsidR="00000000" w:rsidRPr="00A934A3" w:rsidP="00A934A3">
      <w:pPr>
        <w:pStyle w:val="Heading1"/>
      </w:pPr>
      <w:bookmarkStart w:id="5" w:name="O_78200"/>
      <w:bookmarkEnd w:id="5"/>
      <w:r w:rsidRPr="00A934A3">
        <w:t>Pre-Requisites</w:t>
      </w:r>
    </w:p>
    <w:tbl>
      <w:tblPr>
        <w:tblW w:w="0" w:type="auto"/>
        <w:tblLayout w:type="fixed"/>
        <w:tblCellMar>
          <w:left w:w="62" w:type="dxa"/>
          <w:right w:w="62" w:type="dxa"/>
        </w:tblCellMar>
        <w:tblLook w:val="0000"/>
      </w:tblPr>
      <w:tblGrid>
        <w:gridCol w:w="2745"/>
        <w:gridCol w:w="1301"/>
        <w:gridCol w:w="4476"/>
      </w:tblGrid>
      <w:tr w:rsidTr="005F48F0">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A3">
            <w:pPr>
              <w:pStyle w:val="BodyText"/>
              <w:rPr>
                <w:lang w:val="en-NZ"/>
              </w:rPr>
            </w:pPr>
            <w:r w:rsidRPr="00A934A3">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A3">
            <w:pPr>
              <w:pStyle w:val="BodyText"/>
              <w:rPr>
                <w:lang w:val="en-NZ"/>
              </w:rPr>
            </w:pPr>
          </w:p>
        </w:tc>
      </w:tr>
      <w:tr w:rsidTr="005F48F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A3">
            <w:pPr>
              <w:pStyle w:val="BodyText"/>
              <w:rPr>
                <w:lang w:val="en-NZ"/>
              </w:rPr>
            </w:pPr>
          </w:p>
        </w:tc>
      </w:tr>
      <w:tr w:rsidTr="005F48F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A3" w:rsidP="00A934A3">
            <w:pPr>
              <w:pStyle w:val="BodyText"/>
            </w:pPr>
          </w:p>
        </w:tc>
      </w:tr>
    </w:tbl>
    <w:p w:rsidR="00000000" w:rsidRPr="00A934A3" w:rsidP="00A934A3">
      <w:pPr>
        <w:pStyle w:val="BodyText"/>
      </w:pPr>
    </w:p>
    <w:p w:rsidR="00000000" w:rsidRPr="00A934A3" w:rsidP="00A934A3">
      <w:pPr>
        <w:pStyle w:val="AllowPageBreak"/>
      </w:pPr>
    </w:p>
    <w:p w:rsidR="00000000" w:rsidRPr="00A934A3" w:rsidP="00A934A3">
      <w:pPr>
        <w:pStyle w:val="Heading1"/>
      </w:pPr>
      <w:bookmarkStart w:id="6" w:name="O_78199"/>
      <w:bookmarkEnd w:id="6"/>
      <w:r w:rsidRPr="00A934A3">
        <w:t>Employability Skills Information</w:t>
      </w:r>
    </w:p>
    <w:tbl>
      <w:tblPr>
        <w:tblW w:w="0" w:type="auto"/>
        <w:tblLayout w:type="fixed"/>
        <w:tblCellMar>
          <w:left w:w="62" w:type="dxa"/>
          <w:right w:w="62" w:type="dxa"/>
        </w:tblCellMar>
        <w:tblLook w:val="0000"/>
      </w:tblPr>
      <w:tblGrid>
        <w:gridCol w:w="2762"/>
        <w:gridCol w:w="5760"/>
      </w:tblGrid>
      <w:tr w:rsidTr="005F48F0">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A3">
            <w:pPr>
              <w:pStyle w:val="BodyText"/>
              <w:rPr>
                <w:lang w:val="en-NZ"/>
              </w:rPr>
            </w:pPr>
            <w:r w:rsidRPr="00A934A3">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A3" w:rsidP="00A934A3">
            <w:pPr>
              <w:pStyle w:val="BodyText"/>
            </w:pPr>
            <w:r w:rsidRPr="00A934A3">
              <w:t>This unit contains employability skills.</w:t>
            </w:r>
          </w:p>
        </w:tc>
      </w:tr>
    </w:tbl>
    <w:p w:rsidR="00000000" w:rsidRPr="00A934A3" w:rsidP="00A934A3">
      <w:pPr>
        <w:pStyle w:val="BodyText"/>
      </w:pPr>
    </w:p>
    <w:p w:rsidR="00000000" w:rsidRPr="00A934A3" w:rsidP="00A934A3">
      <w:pPr>
        <w:pStyle w:val="AllowPageBreak"/>
      </w:pPr>
    </w:p>
    <w:p w:rsidR="00000000" w:rsidRPr="00A934A3" w:rsidP="00A934A3">
      <w:pPr>
        <w:pStyle w:val="Heading1"/>
      </w:pPr>
      <w:bookmarkStart w:id="7" w:name="O_78201"/>
      <w:bookmarkEnd w:id="7"/>
      <w:r w:rsidRPr="00A934A3">
        <w:t>Elements and Performance Criteria Pre-Content</w:t>
      </w:r>
    </w:p>
    <w:tbl>
      <w:tblPr>
        <w:tblW w:w="0" w:type="auto"/>
        <w:tblLayout w:type="fixed"/>
        <w:tblCellMar>
          <w:left w:w="62" w:type="dxa"/>
          <w:right w:w="62" w:type="dxa"/>
        </w:tblCellMar>
        <w:tblLook w:val="0000"/>
      </w:tblPr>
      <w:tblGrid>
        <w:gridCol w:w="2550"/>
        <w:gridCol w:w="5972"/>
      </w:tblGrid>
      <w:tr w:rsidTr="005F48F0">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A3">
            <w:pPr>
              <w:pStyle w:val="BodyText"/>
              <w:rPr>
                <w:lang w:val="en-NZ"/>
              </w:rPr>
            </w:pPr>
            <w:r w:rsidRPr="00A934A3">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A3" w:rsidP="00A934A3">
            <w:pPr>
              <w:pStyle w:val="BodyText"/>
            </w:pPr>
            <w:r w:rsidRPr="00A934A3">
              <w:t>Performance criteria describe the performance needed to demonstrate achievement of the element. Where bold italicised text is used, further info</w:t>
            </w:r>
            <w:r w:rsidRPr="00A934A3">
              <w:t>rmation is detailed in the required skills and knowledge section and the range statement. Assessment of performance is to be consistent with the evidence guide.</w:t>
            </w:r>
          </w:p>
        </w:tc>
      </w:tr>
    </w:tbl>
    <w:p w:rsidR="00000000" w:rsidRPr="00A934A3" w:rsidP="00A934A3">
      <w:pPr>
        <w:pStyle w:val="BodyText"/>
      </w:pPr>
    </w:p>
    <w:p w:rsidR="00000000" w:rsidRPr="00A934A3" w:rsidP="00A934A3">
      <w:pPr>
        <w:pStyle w:val="AllowPageBreak"/>
      </w:pPr>
    </w:p>
    <w:p w:rsidR="00000000" w:rsidRPr="00A934A3" w:rsidP="00A934A3">
      <w:pPr>
        <w:pStyle w:val="Heading1"/>
      </w:pPr>
      <w:bookmarkStart w:id="8" w:name="O_78202"/>
      <w:bookmarkEnd w:id="8"/>
      <w:r w:rsidRPr="00A934A3">
        <w:t>Elements and Performance Criteria</w:t>
      </w:r>
    </w:p>
    <w:tbl>
      <w:tblPr>
        <w:tblW w:w="0" w:type="auto"/>
        <w:tblLayout w:type="fixed"/>
        <w:tblCellMar>
          <w:left w:w="62" w:type="dxa"/>
          <w:right w:w="62" w:type="dxa"/>
        </w:tblCellMar>
        <w:tblLook w:val="0000"/>
      </w:tblPr>
      <w:tblGrid>
        <w:gridCol w:w="2550"/>
        <w:gridCol w:w="5972"/>
      </w:tblGrid>
      <w:tr w:rsidTr="005F48F0">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A3" w:rsidP="00A934A3">
            <w:pPr>
              <w:pStyle w:val="BodyText"/>
            </w:pPr>
            <w:r w:rsidRPr="00A934A3">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A3">
            <w:pPr>
              <w:pStyle w:val="BodyText"/>
              <w:rPr>
                <w:lang w:val="en-NZ"/>
              </w:rPr>
            </w:pPr>
            <w:r w:rsidRPr="00A934A3">
              <w:rPr>
                <w:rStyle w:val="SpecialBold"/>
              </w:rPr>
              <w:t>PERFORMANCE CRITERIA</w:t>
            </w:r>
          </w:p>
        </w:tc>
      </w:tr>
      <w:tr w:rsidTr="005F48F0">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A3">
            <w:pPr>
              <w:pStyle w:val="List"/>
              <w:rPr>
                <w:lang w:val="en-NZ"/>
              </w:rPr>
            </w:pPr>
            <w:r w:rsidRPr="00A934A3">
              <w:t>1.</w:t>
            </w:r>
            <w:r w:rsidRPr="00A934A3">
              <w:tab/>
            </w:r>
            <w:r w:rsidRPr="00A934A3">
              <w:t>Explain to customers the function and role of the Reserve Bank of Australia (RBA)</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A3" w:rsidP="00A934A3">
            <w:pPr>
              <w:pStyle w:val="List2"/>
            </w:pPr>
            <w:r w:rsidRPr="00A934A3">
              <w:t>1.1.</w:t>
            </w:r>
            <w:r w:rsidRPr="00A934A3">
              <w:tab/>
              <w:t xml:space="preserve">The </w:t>
            </w:r>
            <w:r w:rsidRPr="00A934A3">
              <w:rPr>
                <w:rStyle w:val="BoldandItalics"/>
              </w:rPr>
              <w:t>role of the RBA</w:t>
            </w:r>
            <w:r w:rsidRPr="00A934A3">
              <w:t xml:space="preserve"> as Australia's central bank is and differences between the RBA and other banking institutions is communicated to the customer</w:t>
            </w:r>
          </w:p>
          <w:p w:rsidR="00000000" w:rsidRPr="00A934A3" w:rsidP="00A934A3">
            <w:pPr>
              <w:pStyle w:val="List2"/>
            </w:pPr>
            <w:r w:rsidRPr="00A934A3">
              <w:t>1.2.</w:t>
            </w:r>
            <w:r w:rsidRPr="00A934A3">
              <w:tab/>
              <w:t>The importance and</w:t>
            </w:r>
            <w:r w:rsidRPr="00A934A3">
              <w:t xml:space="preserve"> effect of the </w:t>
            </w:r>
            <w:r w:rsidRPr="00A934A3">
              <w:rPr>
                <w:rStyle w:val="BoldandItalics"/>
              </w:rPr>
              <w:t>RBA's monetary policy</w:t>
            </w:r>
            <w:r w:rsidRPr="00A934A3">
              <w:t xml:space="preserve"> on the Australian economy and consumer's personal finances is explained to the customer in plain language</w:t>
            </w:r>
          </w:p>
          <w:p w:rsidR="00000000" w:rsidP="00A934A3">
            <w:pPr>
              <w:pStyle w:val="List2"/>
              <w:rPr>
                <w:lang w:val="en-NZ"/>
              </w:rPr>
            </w:pPr>
            <w:r w:rsidRPr="00A934A3">
              <w:t>1.3.</w:t>
            </w:r>
            <w:r w:rsidRPr="00A934A3">
              <w:tab/>
              <w:t xml:space="preserve">The role of the bank in </w:t>
            </w:r>
            <w:r w:rsidRPr="00A934A3">
              <w:rPr>
                <w:rStyle w:val="BoldandItalics"/>
              </w:rPr>
              <w:t>maintaining financial stability</w:t>
            </w:r>
            <w:r w:rsidRPr="00A934A3">
              <w:t xml:space="preserve"> and </w:t>
            </w:r>
            <w:r w:rsidRPr="00A934A3">
              <w:rPr>
                <w:rStyle w:val="BoldandItalics"/>
              </w:rPr>
              <w:t>regulating the Australian Payments System</w:t>
            </w:r>
            <w:r w:rsidRPr="00A934A3">
              <w:t xml:space="preserve"> is exp</w:t>
            </w:r>
            <w:r w:rsidRPr="00A934A3">
              <w:t>lained to the customer</w:t>
            </w:r>
          </w:p>
        </w:tc>
      </w:tr>
      <w:tr w:rsidTr="005F48F0">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A3">
            <w:pPr>
              <w:pStyle w:val="List"/>
              <w:rPr>
                <w:lang w:val="en-NZ"/>
              </w:rPr>
            </w:pPr>
            <w:r w:rsidRPr="00A934A3">
              <w:t>2.</w:t>
            </w:r>
            <w:r w:rsidRPr="00A934A3">
              <w:tab/>
              <w:t>Outline the role of money and Australia's monetary base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A3" w:rsidP="00A934A3">
            <w:pPr>
              <w:pStyle w:val="List2"/>
            </w:pPr>
            <w:r w:rsidRPr="00A934A3">
              <w:t>2.1.</w:t>
            </w:r>
            <w:r w:rsidRPr="00A934A3">
              <w:tab/>
              <w:t xml:space="preserve">Society's </w:t>
            </w:r>
            <w:r w:rsidRPr="00A934A3">
              <w:rPr>
                <w:rStyle w:val="BoldandItalics"/>
              </w:rPr>
              <w:t>motivations for holding money</w:t>
            </w:r>
            <w:r w:rsidRPr="00A934A3">
              <w:t xml:space="preserve"> and the various </w:t>
            </w:r>
            <w:r w:rsidRPr="00A934A3">
              <w:rPr>
                <w:rStyle w:val="BoldandItalics"/>
              </w:rPr>
              <w:t>functions of money</w:t>
            </w:r>
            <w:r w:rsidRPr="00A934A3">
              <w:t xml:space="preserve"> are identified and discussed with the customer</w:t>
            </w:r>
          </w:p>
          <w:p w:rsidR="00000000" w:rsidP="00A934A3">
            <w:pPr>
              <w:pStyle w:val="List2"/>
              <w:rPr>
                <w:lang w:val="en-NZ"/>
              </w:rPr>
            </w:pPr>
            <w:r w:rsidRPr="00A934A3">
              <w:t>2.2.</w:t>
            </w:r>
            <w:r w:rsidRPr="00A934A3">
              <w:tab/>
              <w:t>The impact of changes in the supply of mo</w:t>
            </w:r>
            <w:r w:rsidRPr="00A934A3">
              <w:t>ney is explained to the customer in plain language</w:t>
            </w:r>
          </w:p>
        </w:tc>
      </w:tr>
      <w:tr w:rsidTr="005F48F0">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A3">
            <w:pPr>
              <w:pStyle w:val="List"/>
              <w:rPr>
                <w:lang w:val="en-NZ"/>
              </w:rPr>
            </w:pPr>
            <w:r w:rsidRPr="00A934A3">
              <w:t>3.</w:t>
            </w:r>
            <w:r w:rsidRPr="00A934A3">
              <w:tab/>
              <w:t>Outline the main features of the Australian financial markets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A3" w:rsidP="00A934A3">
            <w:pPr>
              <w:pStyle w:val="List2"/>
            </w:pPr>
            <w:r w:rsidRPr="00A934A3">
              <w:t>3.1.</w:t>
            </w:r>
            <w:r w:rsidRPr="00A934A3">
              <w:tab/>
              <w:t xml:space="preserve">The </w:t>
            </w:r>
            <w:r w:rsidRPr="00A934A3">
              <w:rPr>
                <w:rStyle w:val="BoldandItalics"/>
              </w:rPr>
              <w:t>purpose of financial markets</w:t>
            </w:r>
            <w:r w:rsidRPr="00A934A3">
              <w:t xml:space="preserve"> and the </w:t>
            </w:r>
            <w:r w:rsidRPr="00A934A3">
              <w:rPr>
                <w:rStyle w:val="BoldandItalics"/>
              </w:rPr>
              <w:t>major markets within the Australian financial markets</w:t>
            </w:r>
            <w:r w:rsidRPr="00A934A3">
              <w:t xml:space="preserve"> are identified and communicated to the </w:t>
            </w:r>
            <w:r w:rsidRPr="00A934A3">
              <w:t>customer</w:t>
            </w:r>
          </w:p>
          <w:p w:rsidR="00000000" w:rsidRPr="00A934A3" w:rsidP="00A934A3">
            <w:pPr>
              <w:pStyle w:val="List2"/>
            </w:pPr>
            <w:r w:rsidRPr="00A934A3">
              <w:t>3.2.</w:t>
            </w:r>
            <w:r w:rsidRPr="00A934A3">
              <w:tab/>
              <w:t>The role of banks and financial institutions as financial intermediaries is discussed with customer</w:t>
            </w:r>
          </w:p>
          <w:p w:rsidR="00000000" w:rsidP="00A934A3">
            <w:pPr>
              <w:pStyle w:val="List2"/>
              <w:rPr>
                <w:lang w:val="en-NZ"/>
              </w:rPr>
            </w:pPr>
            <w:r w:rsidRPr="00A934A3">
              <w:t>3.3.</w:t>
            </w:r>
            <w:r w:rsidRPr="00A934A3">
              <w:tab/>
              <w:t xml:space="preserve">The role and function of the </w:t>
            </w:r>
            <w:r w:rsidRPr="00A934A3">
              <w:rPr>
                <w:rStyle w:val="BoldandItalics"/>
              </w:rPr>
              <w:t>short term money market</w:t>
            </w:r>
            <w:r w:rsidRPr="00A934A3">
              <w:t xml:space="preserve"> and types of products it deals in, are outlined in basic language for the customer</w:t>
            </w:r>
          </w:p>
        </w:tc>
      </w:tr>
      <w:tr w:rsidTr="005F48F0">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A3">
            <w:pPr>
              <w:pStyle w:val="List"/>
              <w:rPr>
                <w:lang w:val="en-NZ"/>
              </w:rPr>
            </w:pPr>
            <w:r w:rsidRPr="00A934A3">
              <w:t>4.</w:t>
            </w:r>
            <w:r w:rsidRPr="00A934A3">
              <w:tab/>
              <w:t>Provide information to the customer about regulation of the financial system</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A3" w:rsidP="00A934A3">
            <w:pPr>
              <w:pStyle w:val="List2"/>
            </w:pPr>
            <w:r w:rsidRPr="00A934A3">
              <w:t>4.1.</w:t>
            </w:r>
            <w:r w:rsidRPr="00A934A3">
              <w:tab/>
              <w:t xml:space="preserve">The role of independent regulation in the financial system and the </w:t>
            </w:r>
            <w:r w:rsidRPr="00A934A3">
              <w:rPr>
                <w:rStyle w:val="BoldandItalics"/>
              </w:rPr>
              <w:t>main regulators of the financial system</w:t>
            </w:r>
            <w:r w:rsidRPr="00A934A3">
              <w:t xml:space="preserve"> are identified and their roles discussed with the customer</w:t>
            </w:r>
          </w:p>
          <w:p w:rsidR="00000000" w:rsidRPr="00A934A3" w:rsidP="00A934A3">
            <w:pPr>
              <w:pStyle w:val="List2"/>
            </w:pPr>
            <w:r w:rsidRPr="00A934A3">
              <w:t>4.2.</w:t>
            </w:r>
            <w:r w:rsidRPr="00A934A3">
              <w:tab/>
            </w:r>
            <w:r w:rsidRPr="00A934A3">
              <w:t>Examples of the protection afforded individuals by the regulators are provided to the customer</w:t>
            </w:r>
          </w:p>
        </w:tc>
      </w:tr>
    </w:tbl>
    <w:p w:rsidR="00000000" w:rsidRPr="00A934A3" w:rsidP="00A934A3">
      <w:pPr>
        <w:pStyle w:val="BodyText"/>
      </w:pPr>
    </w:p>
    <w:p w:rsidR="00000000" w:rsidRPr="00A934A3" w:rsidP="00A934A3">
      <w:pPr>
        <w:pStyle w:val="AllowPageBreak"/>
      </w:pPr>
    </w:p>
    <w:p w:rsidR="00000000" w:rsidRPr="00A934A3" w:rsidP="00A934A3">
      <w:pPr>
        <w:pStyle w:val="Heading1"/>
      </w:pPr>
      <w:bookmarkStart w:id="9" w:name="O_78203"/>
      <w:bookmarkEnd w:id="9"/>
      <w:r w:rsidRPr="00A934A3">
        <w:t>Required Skills and Knowledge</w:t>
      </w:r>
    </w:p>
    <w:tbl>
      <w:tblPr>
        <w:tblW w:w="0" w:type="auto"/>
        <w:tblLayout w:type="fixed"/>
        <w:tblCellMar>
          <w:left w:w="62" w:type="dxa"/>
          <w:right w:w="62" w:type="dxa"/>
        </w:tblCellMar>
        <w:tblLook w:val="0000"/>
      </w:tblPr>
      <w:tblGrid>
        <w:gridCol w:w="8522"/>
      </w:tblGrid>
      <w:tr w:rsidTr="005F48F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34A3">
            <w:pPr>
              <w:pStyle w:val="BodyText"/>
              <w:rPr>
                <w:lang w:val="en-NZ"/>
              </w:rPr>
            </w:pPr>
            <w:r w:rsidRPr="00A934A3">
              <w:rPr>
                <w:rStyle w:val="SpecialBold"/>
              </w:rPr>
              <w:t>REQUIRED SKILLS AND KNOWLEDGE</w:t>
            </w:r>
          </w:p>
        </w:tc>
      </w:tr>
      <w:tr w:rsidTr="005F48F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34A3">
            <w:pPr>
              <w:pStyle w:val="BodyText"/>
              <w:rPr>
                <w:lang w:val="en-NZ"/>
              </w:rPr>
            </w:pPr>
            <w:r w:rsidRPr="00A934A3">
              <w:t>This section describes the skills and knowledge required for this unit.</w:t>
            </w:r>
          </w:p>
        </w:tc>
      </w:tr>
      <w:tr w:rsidTr="005F48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A3">
            <w:pPr>
              <w:pStyle w:val="BodyText"/>
              <w:rPr>
                <w:lang w:val="en-NZ"/>
              </w:rPr>
            </w:pPr>
            <w:r w:rsidRPr="00A934A3">
              <w:rPr>
                <w:rStyle w:val="SpecialBold"/>
              </w:rPr>
              <w:t>Required skills</w:t>
            </w:r>
          </w:p>
        </w:tc>
      </w:tr>
      <w:tr w:rsidTr="005F48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A3" w:rsidP="00A934A3">
            <w:pPr>
              <w:pStyle w:val="ListBullet"/>
            </w:pPr>
            <w:r w:rsidRPr="00A934A3">
              <w:t>communication skills to:</w:t>
            </w:r>
          </w:p>
          <w:p w:rsidR="00000000" w:rsidRPr="00A934A3" w:rsidP="00A934A3">
            <w:pPr>
              <w:pStyle w:val="ListBullet2"/>
            </w:pPr>
            <w:r w:rsidRPr="00A934A3">
              <w:t>clearly explain the Australian financial system and markets tocustomers and customers, using questioning and active listening as required and respondingwith empathy in sensitive cases</w:t>
            </w:r>
          </w:p>
          <w:p w:rsidR="00000000" w:rsidRPr="00A934A3" w:rsidP="00A934A3">
            <w:pPr>
              <w:pStyle w:val="ListBullet2"/>
            </w:pPr>
            <w:r w:rsidRPr="00A934A3">
              <w:t>liaise with others, share information, listen and understand</w:t>
            </w:r>
          </w:p>
          <w:p w:rsidR="00000000" w:rsidRPr="00A934A3" w:rsidP="00A934A3">
            <w:pPr>
              <w:pStyle w:val="ListBullet2"/>
            </w:pPr>
            <w:r w:rsidRPr="00A934A3">
              <w:t>use language and concepts appropriate to cultural differences</w:t>
            </w:r>
          </w:p>
          <w:p w:rsidR="00000000" w:rsidRPr="00A934A3" w:rsidP="00A934A3">
            <w:pPr>
              <w:pStyle w:val="ListBullet"/>
            </w:pPr>
            <w:r w:rsidRPr="00A934A3">
              <w:t>IT skills touse internet information</w:t>
            </w:r>
          </w:p>
          <w:p w:rsidR="00000000" w:rsidRPr="00A934A3" w:rsidP="00A934A3">
            <w:pPr>
              <w:pStyle w:val="ListBullet"/>
            </w:pPr>
            <w:r w:rsidRPr="00A934A3">
              <w:t>literacy skills for:</w:t>
            </w:r>
          </w:p>
          <w:p w:rsidR="00000000" w:rsidRPr="00A934A3" w:rsidP="00A934A3">
            <w:pPr>
              <w:pStyle w:val="ListBullet2"/>
            </w:pPr>
            <w:r w:rsidRPr="00A934A3">
              <w:t>analysing information to ensure appropriateness to customer or customer ne</w:t>
            </w:r>
            <w:r w:rsidRPr="00A934A3">
              <w:t>eds, currency and accuracy</w:t>
            </w:r>
          </w:p>
          <w:p w:rsidR="00000000" w:rsidRPr="00A934A3" w:rsidP="00A934A3">
            <w:pPr>
              <w:pStyle w:val="ListBullet2"/>
            </w:pPr>
            <w:r w:rsidRPr="00A934A3">
              <w:t>drafting documents for customers and customers</w:t>
            </w:r>
          </w:p>
          <w:p w:rsidR="00000000" w:rsidRPr="00A934A3" w:rsidP="00A934A3">
            <w:pPr>
              <w:pStyle w:val="ListBullet"/>
            </w:pPr>
            <w:r w:rsidRPr="00A934A3">
              <w:t>problem solving skills to identify any issues that have the potential to impact on the customer's understanding and develop options</w:t>
            </w:r>
          </w:p>
          <w:p w:rsidR="00000000" w:rsidP="00A934A3">
            <w:pPr>
              <w:pStyle w:val="ListBullet"/>
              <w:rPr>
                <w:lang w:val="en-NZ"/>
              </w:rPr>
            </w:pPr>
            <w:r w:rsidRPr="00A934A3">
              <w:t>organisational skills, including the ability to pl</w:t>
            </w:r>
            <w:r w:rsidRPr="00A934A3">
              <w:t>an and sequence work</w:t>
            </w:r>
          </w:p>
        </w:tc>
      </w:tr>
      <w:tr w:rsidTr="005F48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A3">
            <w:pPr>
              <w:pStyle w:val="BodyText"/>
              <w:rPr>
                <w:lang w:val="en-NZ"/>
              </w:rPr>
            </w:pPr>
            <w:r w:rsidRPr="00A934A3">
              <w:rPr>
                <w:rStyle w:val="SpecialBold"/>
              </w:rPr>
              <w:t>Required knowledge</w:t>
            </w:r>
          </w:p>
        </w:tc>
      </w:tr>
      <w:tr w:rsidTr="005F48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A3" w:rsidP="00A934A3">
            <w:pPr>
              <w:pStyle w:val="ListBullet"/>
            </w:pPr>
            <w:r w:rsidRPr="00A934A3">
              <w:t>the Australian financial system and markets and State of the economic environment</w:t>
            </w:r>
          </w:p>
          <w:p w:rsidR="00000000" w:rsidRPr="00A934A3" w:rsidP="00A934A3">
            <w:pPr>
              <w:pStyle w:val="ListBullet"/>
            </w:pPr>
            <w:r w:rsidRPr="00A934A3">
              <w:t>relevant industry codes of practice including:</w:t>
            </w:r>
          </w:p>
          <w:p w:rsidR="00000000" w:rsidRPr="00A934A3" w:rsidP="00A934A3">
            <w:pPr>
              <w:pStyle w:val="ListBullet2"/>
            </w:pPr>
            <w:r w:rsidRPr="00A934A3">
              <w:t>Consumer Credit Code</w:t>
            </w:r>
          </w:p>
          <w:p w:rsidR="00000000" w:rsidRPr="00A934A3" w:rsidP="00A934A3">
            <w:pPr>
              <w:pStyle w:val="ListBullet2"/>
            </w:pPr>
            <w:r w:rsidRPr="00A934A3">
              <w:t>Privacy Act</w:t>
            </w:r>
          </w:p>
          <w:p w:rsidR="00000000" w:rsidRPr="00A934A3" w:rsidP="00A934A3">
            <w:pPr>
              <w:pStyle w:val="ListBullet2"/>
            </w:pPr>
            <w:r w:rsidRPr="00A934A3">
              <w:t>Credit Act</w:t>
            </w:r>
          </w:p>
          <w:p w:rsidR="00000000" w:rsidRPr="00A934A3" w:rsidP="00A934A3">
            <w:pPr>
              <w:pStyle w:val="ListBullet"/>
            </w:pPr>
            <w:r w:rsidRPr="00A934A3">
              <w:t>relevant State and Territory legislation regarding consumer credit issues and Judgement Debt Recovery Acts</w:t>
            </w:r>
          </w:p>
          <w:p w:rsidR="00000000" w:rsidRPr="00A934A3" w:rsidP="00A934A3">
            <w:pPr>
              <w:pStyle w:val="ListBullet"/>
            </w:pPr>
            <w:r w:rsidRPr="00A934A3">
              <w:t>roles and relationships between participants within the Australian financial services industry, including banks and other financial intermediaries</w:t>
            </w:r>
          </w:p>
        </w:tc>
      </w:tr>
    </w:tbl>
    <w:p w:rsidR="00000000" w:rsidRPr="00A934A3" w:rsidP="00A934A3">
      <w:pPr>
        <w:pStyle w:val="BodyText"/>
      </w:pPr>
    </w:p>
    <w:p w:rsidR="00000000" w:rsidRPr="00A934A3" w:rsidP="00A934A3">
      <w:pPr>
        <w:pStyle w:val="AllowPageBreak"/>
      </w:pPr>
    </w:p>
    <w:p w:rsidR="00000000" w:rsidRPr="00A934A3" w:rsidP="00A934A3">
      <w:pPr>
        <w:pStyle w:val="Heading1"/>
      </w:pPr>
      <w:bookmarkStart w:id="10" w:name="O_78204"/>
      <w:bookmarkEnd w:id="10"/>
      <w:r w:rsidRPr="00A934A3">
        <w:t>Evidence Guide</w:t>
      </w:r>
    </w:p>
    <w:tbl>
      <w:tblPr>
        <w:tblW w:w="9570" w:type="dxa"/>
        <w:tblLayout w:type="fixed"/>
        <w:tblCellMar>
          <w:left w:w="62" w:type="dxa"/>
          <w:right w:w="62" w:type="dxa"/>
        </w:tblCellMar>
        <w:tblLook w:val="0000"/>
      </w:tblPr>
      <w:tblGrid>
        <w:gridCol w:w="2808"/>
        <w:gridCol w:w="6762"/>
      </w:tblGrid>
      <w:tr w:rsidTr="005F48F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A3">
            <w:pPr>
              <w:pStyle w:val="BodyText"/>
              <w:rPr>
                <w:lang w:val="en-NZ"/>
              </w:rPr>
            </w:pPr>
            <w:r w:rsidRPr="00A934A3">
              <w:rPr>
                <w:rStyle w:val="SpecialBold"/>
              </w:rPr>
              <w:t>EVIDENCE GUIDE</w:t>
            </w:r>
          </w:p>
        </w:tc>
      </w:tr>
      <w:tr w:rsidTr="005F48F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A3">
            <w:pPr>
              <w:pStyle w:val="BodyText"/>
              <w:rPr>
                <w:lang w:val="en-NZ"/>
              </w:rPr>
            </w:pPr>
            <w:r w:rsidRPr="00A934A3">
              <w:t xml:space="preserve">The Evidence Guide provides advice on assessment and must be read in conjunction with the performance criteria, required skills and knowledge, </w:t>
            </w:r>
            <w:r w:rsidRPr="00A934A3">
              <w:t>range statement and the Assessment Guidelines for the Training Package.</w:t>
            </w:r>
          </w:p>
        </w:tc>
      </w:tr>
      <w:tr w:rsidTr="005F48F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A3">
            <w:pPr>
              <w:pStyle w:val="BodyText"/>
              <w:rPr>
                <w:lang w:val="en-NZ"/>
              </w:rPr>
            </w:pPr>
            <w:r w:rsidRPr="00A934A3">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A3">
            <w:pPr>
              <w:pStyle w:val="BodyText"/>
              <w:rPr>
                <w:lang w:val="en-NZ"/>
              </w:rPr>
            </w:pPr>
          </w:p>
        </w:tc>
      </w:tr>
      <w:tr w:rsidTr="005F48F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A3">
            <w:pPr>
              <w:pStyle w:val="BodyText"/>
              <w:rPr>
                <w:lang w:val="en-NZ"/>
              </w:rPr>
            </w:pPr>
            <w:r w:rsidRPr="00A934A3">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A3" w:rsidP="00A934A3">
            <w:pPr>
              <w:pStyle w:val="BodyText"/>
            </w:pPr>
            <w:r w:rsidRPr="00A934A3">
              <w:t>Evidence of the ability to:</w:t>
            </w:r>
          </w:p>
          <w:p w:rsidR="00000000" w:rsidRPr="00A934A3" w:rsidP="00A934A3">
            <w:pPr>
              <w:pStyle w:val="ListBullet"/>
            </w:pPr>
            <w:r w:rsidRPr="00A934A3">
              <w:t>develop customer awareness of the features and roles of the participants within the Australian financial system and markets</w:t>
            </w:r>
          </w:p>
          <w:p w:rsidR="00000000" w:rsidP="00A934A3">
            <w:pPr>
              <w:pStyle w:val="ListBullet"/>
              <w:rPr>
                <w:lang w:val="en-NZ"/>
              </w:rPr>
            </w:pPr>
            <w:r w:rsidRPr="00A934A3">
              <w:t>translate complex information into plain language that may be understood by a variety of people with minimal financial market knowle</w:t>
            </w:r>
            <w:r w:rsidRPr="00A934A3">
              <w:t>dge.</w:t>
            </w:r>
          </w:p>
        </w:tc>
      </w:tr>
      <w:tr w:rsidTr="005F48F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A3">
            <w:pPr>
              <w:pStyle w:val="BodyText"/>
              <w:rPr>
                <w:lang w:val="en-NZ"/>
              </w:rPr>
            </w:pPr>
            <w:r w:rsidRPr="00A934A3">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A3" w:rsidP="00A934A3">
            <w:pPr>
              <w:pStyle w:val="BodyText"/>
            </w:pPr>
            <w:r w:rsidRPr="00A934A3">
              <w:t>Assessment must ensure:</w:t>
            </w:r>
          </w:p>
          <w:p w:rsidR="00000000" w:rsidRPr="00A934A3" w:rsidP="00A934A3">
            <w:pPr>
              <w:pStyle w:val="ListBullet"/>
            </w:pPr>
            <w:r w:rsidRPr="00A934A3">
              <w:t xml:space="preserve">competency is demonstrated in the context of the financial services work environment and conditions specified in the range statement either in a relevant workplace or a closely </w:t>
            </w:r>
            <w:r w:rsidRPr="00A934A3">
              <w:t>simulated work environment</w:t>
            </w:r>
          </w:p>
          <w:p w:rsidR="00000000" w:rsidRPr="00A934A3" w:rsidP="00A934A3">
            <w:pPr>
              <w:pStyle w:val="ListBullet"/>
            </w:pPr>
            <w:r w:rsidRPr="00A934A3">
              <w:t>access to and the use of a range of common office equipment, technology, software and consumables</w:t>
            </w:r>
          </w:p>
          <w:p w:rsidR="00000000" w:rsidP="00A934A3">
            <w:pPr>
              <w:pStyle w:val="ListBullet"/>
              <w:rPr>
                <w:lang w:val="en-NZ"/>
              </w:rPr>
            </w:pPr>
            <w:r w:rsidRPr="00A934A3">
              <w:t>access to Australian financial systemand markets information.</w:t>
            </w:r>
          </w:p>
        </w:tc>
      </w:tr>
      <w:tr w:rsidTr="005F48F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A3">
            <w:pPr>
              <w:pStyle w:val="BodyText"/>
              <w:rPr>
                <w:lang w:val="en-NZ"/>
              </w:rPr>
            </w:pPr>
            <w:r w:rsidRPr="00A934A3">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A3" w:rsidP="00A934A3">
            <w:pPr>
              <w:pStyle w:val="BodyText"/>
            </w:pPr>
            <w:r w:rsidRPr="00A934A3">
              <w:t>A range of assessment methods should be used to</w:t>
            </w:r>
            <w:r w:rsidRPr="00A934A3">
              <w:t xml:space="preserve"> assess practical skills and knowledge. The following examples, in combination, are appropriate for this unit:</w:t>
            </w:r>
          </w:p>
          <w:p w:rsidR="00000000" w:rsidRPr="00A934A3" w:rsidP="00A934A3">
            <w:pPr>
              <w:pStyle w:val="ListBullet"/>
            </w:pPr>
            <w:r w:rsidRPr="00A934A3">
              <w:t>evaluating an integrated activity which combines the elements of competency for the unit or a cluster of related units of competency</w:t>
            </w:r>
          </w:p>
          <w:p w:rsidR="00000000" w:rsidRPr="00A934A3" w:rsidP="00A934A3">
            <w:pPr>
              <w:pStyle w:val="ListBullet"/>
            </w:pPr>
            <w:r w:rsidRPr="00A934A3">
              <w:t>observing pr</w:t>
            </w:r>
            <w:r w:rsidRPr="00A934A3">
              <w:t>ocesses and procedures in workplaces or role plays</w:t>
            </w:r>
          </w:p>
          <w:p w:rsidR="00000000" w:rsidRPr="00A934A3" w:rsidP="00A934A3">
            <w:pPr>
              <w:pStyle w:val="ListBullet"/>
            </w:pPr>
            <w:r w:rsidRPr="00A934A3">
              <w:t xml:space="preserve">verbal or written questioning on underpinning knowledge and skills </w:t>
            </w:r>
          </w:p>
          <w:p w:rsidR="00000000" w:rsidP="00A934A3">
            <w:pPr>
              <w:pStyle w:val="ListBullet"/>
              <w:rPr>
                <w:lang w:val="en-NZ"/>
              </w:rPr>
            </w:pPr>
            <w:r w:rsidRPr="00A934A3">
              <w:t>setting and reviewing workplace projects and business simulations or scenarios.</w:t>
            </w:r>
          </w:p>
        </w:tc>
      </w:tr>
      <w:tr w:rsidTr="005F48F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A3">
            <w:pPr>
              <w:pStyle w:val="BodyText"/>
              <w:rPr>
                <w:lang w:val="en-NZ"/>
              </w:rPr>
            </w:pPr>
            <w:r w:rsidRPr="00A934A3">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A3" w:rsidP="00A934A3">
            <w:pPr>
              <w:pStyle w:val="BodyText"/>
            </w:pPr>
          </w:p>
        </w:tc>
      </w:tr>
    </w:tbl>
    <w:p w:rsidR="00000000" w:rsidRPr="00A934A3" w:rsidP="00A934A3">
      <w:pPr>
        <w:pStyle w:val="BodyText"/>
      </w:pPr>
    </w:p>
    <w:p w:rsidR="00000000" w:rsidRPr="00A934A3" w:rsidP="00A934A3">
      <w:pPr>
        <w:pStyle w:val="AllowPageBreak"/>
      </w:pPr>
    </w:p>
    <w:p w:rsidR="00000000" w:rsidRPr="00A934A3" w:rsidP="00A934A3">
      <w:pPr>
        <w:pStyle w:val="Heading1"/>
      </w:pPr>
      <w:bookmarkStart w:id="11" w:name="O_78205"/>
      <w:bookmarkEnd w:id="11"/>
      <w:r w:rsidRPr="00A934A3">
        <w:t>Range Statement</w:t>
      </w:r>
    </w:p>
    <w:tbl>
      <w:tblPr>
        <w:tblW w:w="0" w:type="auto"/>
        <w:tblLayout w:type="fixed"/>
        <w:tblCellMar>
          <w:left w:w="62" w:type="dxa"/>
          <w:right w:w="62" w:type="dxa"/>
        </w:tblCellMar>
        <w:tblLook w:val="0000"/>
      </w:tblPr>
      <w:tblGrid>
        <w:gridCol w:w="2494"/>
        <w:gridCol w:w="6028"/>
      </w:tblGrid>
      <w:tr w:rsidTr="005F48F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A3">
            <w:pPr>
              <w:pStyle w:val="BodyText"/>
              <w:rPr>
                <w:lang w:val="en-NZ"/>
              </w:rPr>
            </w:pPr>
            <w:r w:rsidRPr="00A934A3">
              <w:rPr>
                <w:rStyle w:val="SpecialBold"/>
              </w:rPr>
              <w:t>RANGE STATEMENT</w:t>
            </w:r>
          </w:p>
        </w:tc>
      </w:tr>
      <w:tr w:rsidTr="005F48F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A3">
            <w:pPr>
              <w:pStyle w:val="BodyText"/>
              <w:rPr>
                <w:lang w:val="en-NZ"/>
              </w:rPr>
            </w:pPr>
            <w:r w:rsidRPr="00A934A3">
              <w:t>The range statement relates to the unit of competency as a whole. It allows for different work environments and situations that may affect performance. Bold italicised wording, if used in the performance criteria, is detai</w:t>
            </w:r>
            <w:r w:rsidRPr="00A934A3">
              <w:t>led below. Essential operating conditions that may be present with training and assessment (depending on the work situation, needs of the candidate, accessibility of the item, and local industry and regional contexts) may also be included.</w:t>
            </w:r>
          </w:p>
        </w:tc>
      </w:tr>
      <w:tr w:rsidTr="005F48F0">
        <w:tblPrEx>
          <w:tblW w:w="0" w:type="auto"/>
          <w:tblLayout w:type="fixed"/>
          <w:tblCellMar>
            <w:left w:w="62" w:type="dxa"/>
            <w:right w:w="62" w:type="dxa"/>
          </w:tblCellMar>
          <w:tblLook w:val="0000"/>
        </w:tblPrEx>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A3">
            <w:pPr>
              <w:pStyle w:val="BodyText"/>
              <w:rPr>
                <w:lang w:val="en-NZ"/>
              </w:rPr>
            </w:pPr>
            <w:r w:rsidRPr="00A934A3">
              <w:rPr>
                <w:rStyle w:val="BoldandItalics"/>
              </w:rPr>
              <w:t>The role of the RBA</w:t>
            </w:r>
            <w:r w:rsidRPr="00A934A3">
              <w:t xml:space="preserve"> includes:</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A3" w:rsidP="00A934A3">
            <w:pPr>
              <w:pStyle w:val="ListBullet"/>
            </w:pPr>
            <w:r w:rsidRPr="00A934A3">
              <w:t>banker to the Commonwealth government, banks and other financial institutions</w:t>
            </w:r>
          </w:p>
          <w:p w:rsidR="00000000" w:rsidRPr="00A934A3" w:rsidP="00A934A3">
            <w:pPr>
              <w:pStyle w:val="ListBullet"/>
            </w:pPr>
            <w:r w:rsidRPr="00A934A3">
              <w:t>managing government debt</w:t>
            </w:r>
          </w:p>
          <w:p w:rsidR="00000000" w:rsidRPr="00A934A3" w:rsidP="00A934A3">
            <w:pPr>
              <w:pStyle w:val="ListBullet"/>
            </w:pPr>
            <w:r w:rsidRPr="00A934A3">
              <w:t>regulating the payments system</w:t>
            </w:r>
          </w:p>
          <w:p w:rsidR="00000000" w:rsidP="00A934A3">
            <w:pPr>
              <w:pStyle w:val="ListBullet"/>
              <w:rPr>
                <w:lang w:val="en-NZ"/>
              </w:rPr>
            </w:pPr>
            <w:r w:rsidRPr="00A934A3">
              <w:t>setting and implementing monetary policy.</w:t>
            </w:r>
          </w:p>
        </w:tc>
      </w:tr>
      <w:tr w:rsidTr="005F48F0">
        <w:tblPrEx>
          <w:tblW w:w="0" w:type="auto"/>
          <w:tblLayout w:type="fixed"/>
          <w:tblCellMar>
            <w:left w:w="62" w:type="dxa"/>
            <w:right w:w="62" w:type="dxa"/>
          </w:tblCellMar>
          <w:tblLook w:val="0000"/>
        </w:tblPrEx>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A3">
            <w:pPr>
              <w:pStyle w:val="BodyText"/>
              <w:rPr>
                <w:lang w:val="en-NZ"/>
              </w:rPr>
            </w:pPr>
            <w:r w:rsidRPr="00A934A3">
              <w:t xml:space="preserve">The effect of the </w:t>
            </w:r>
            <w:r w:rsidRPr="00A934A3">
              <w:rPr>
                <w:rStyle w:val="BoldandItalics"/>
              </w:rPr>
              <w:t>RBA's monetary policy</w:t>
            </w:r>
            <w:r w:rsidRPr="00A934A3">
              <w:t xml:space="preserve"> may inclu</w:t>
            </w:r>
            <w:r w:rsidRPr="00A934A3">
              <w:t>de:</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A3" w:rsidP="00A934A3">
            <w:pPr>
              <w:pStyle w:val="ListBullet"/>
            </w:pPr>
            <w:r w:rsidRPr="00A934A3">
              <w:t>changes in interest rates</w:t>
            </w:r>
          </w:p>
          <w:p w:rsidR="00000000" w:rsidRPr="00A934A3" w:rsidP="00A934A3">
            <w:pPr>
              <w:pStyle w:val="ListBullet"/>
            </w:pPr>
            <w:r w:rsidRPr="00A934A3">
              <w:t>flow on changes to employment, prices and production levels</w:t>
            </w:r>
          </w:p>
          <w:p w:rsidR="00000000" w:rsidP="00A934A3">
            <w:pPr>
              <w:pStyle w:val="ListBullet"/>
              <w:rPr>
                <w:lang w:val="en-NZ"/>
              </w:rPr>
            </w:pPr>
            <w:r w:rsidRPr="00A934A3">
              <w:t>increases or decreases in the supply of money in the Australian economy.</w:t>
            </w:r>
          </w:p>
        </w:tc>
      </w:tr>
      <w:tr w:rsidTr="005F48F0">
        <w:tblPrEx>
          <w:tblW w:w="0" w:type="auto"/>
          <w:tblLayout w:type="fixed"/>
          <w:tblCellMar>
            <w:left w:w="62" w:type="dxa"/>
            <w:right w:w="62" w:type="dxa"/>
          </w:tblCellMar>
          <w:tblLook w:val="0000"/>
        </w:tblPrEx>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A3">
            <w:pPr>
              <w:pStyle w:val="BodyText"/>
              <w:rPr>
                <w:lang w:val="en-NZ"/>
              </w:rPr>
            </w:pPr>
            <w:r w:rsidRPr="00A934A3">
              <w:rPr>
                <w:rStyle w:val="BoldandItalics"/>
              </w:rPr>
              <w:t>Maintaining financial stability</w:t>
            </w:r>
            <w:r w:rsidRPr="00A934A3">
              <w:t xml:space="preserve"> refers to:</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A3">
            <w:pPr>
              <w:pStyle w:val="ListBullet"/>
              <w:rPr>
                <w:lang w:val="en-NZ"/>
              </w:rPr>
            </w:pPr>
            <w:r w:rsidRPr="00A934A3">
              <w:t>acting to avoid or minimise a systemic collapse o</w:t>
            </w:r>
            <w:r w:rsidRPr="00A934A3">
              <w:t>f financial institutions.</w:t>
            </w:r>
          </w:p>
        </w:tc>
      </w:tr>
      <w:tr w:rsidTr="005F48F0">
        <w:tblPrEx>
          <w:tblW w:w="0" w:type="auto"/>
          <w:tblLayout w:type="fixed"/>
          <w:tblCellMar>
            <w:left w:w="62" w:type="dxa"/>
            <w:right w:w="62" w:type="dxa"/>
          </w:tblCellMar>
          <w:tblLook w:val="0000"/>
        </w:tblPrEx>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A3">
            <w:pPr>
              <w:pStyle w:val="BodyText"/>
              <w:rPr>
                <w:lang w:val="en-NZ"/>
              </w:rPr>
            </w:pPr>
            <w:r w:rsidRPr="00A934A3">
              <w:t xml:space="preserve">The role of the RBA in </w:t>
            </w:r>
            <w:r w:rsidRPr="00A934A3">
              <w:rPr>
                <w:rStyle w:val="BoldandItalics"/>
              </w:rPr>
              <w:t>regulating the Australian Payments System</w:t>
            </w:r>
            <w:r w:rsidRPr="00A934A3">
              <w:t xml:space="preserve"> may include:</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A3" w:rsidP="00A934A3">
            <w:pPr>
              <w:pStyle w:val="ListBullet"/>
            </w:pPr>
            <w:r w:rsidRPr="00A934A3">
              <w:t>fulfilling its regulatory responsibilities by controlling risks and promoting efficiencies</w:t>
            </w:r>
          </w:p>
          <w:p w:rsidR="00000000" w:rsidRPr="00A934A3" w:rsidP="00A934A3">
            <w:pPr>
              <w:pStyle w:val="ListBullet"/>
            </w:pPr>
            <w:r w:rsidRPr="00A934A3">
              <w:t>participating in the financial system as banker to the Commonwealth government</w:t>
            </w:r>
          </w:p>
          <w:p w:rsidR="00000000" w:rsidP="00A934A3">
            <w:pPr>
              <w:pStyle w:val="ListBullet"/>
              <w:rPr>
                <w:lang w:val="en-NZ"/>
              </w:rPr>
            </w:pPr>
            <w:r w:rsidRPr="00A934A3">
              <w:t>providing facilities for final settlement of transactions.</w:t>
            </w:r>
          </w:p>
        </w:tc>
      </w:tr>
      <w:tr w:rsidTr="005F48F0">
        <w:tblPrEx>
          <w:tblW w:w="0" w:type="auto"/>
          <w:tblLayout w:type="fixed"/>
          <w:tblCellMar>
            <w:left w:w="62" w:type="dxa"/>
            <w:right w:w="62" w:type="dxa"/>
          </w:tblCellMar>
          <w:tblLook w:val="0000"/>
        </w:tblPrEx>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A3">
            <w:pPr>
              <w:pStyle w:val="BodyText"/>
              <w:rPr>
                <w:lang w:val="en-NZ"/>
              </w:rPr>
            </w:pPr>
            <w:r w:rsidRPr="00A934A3">
              <w:rPr>
                <w:rStyle w:val="BoldandItalics"/>
              </w:rPr>
              <w:t>Motivations for holding money</w:t>
            </w:r>
            <w:r w:rsidRPr="00A934A3">
              <w:t xml:space="preserve"> may include:</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A3" w:rsidP="00A934A3">
            <w:pPr>
              <w:pStyle w:val="ListBullet"/>
            </w:pPr>
            <w:r w:rsidRPr="00A934A3">
              <w:t>precautionary demand for money to pay future expenses which may not be ant</w:t>
            </w:r>
            <w:r w:rsidRPr="00A934A3">
              <w:t>icipated</w:t>
            </w:r>
          </w:p>
          <w:p w:rsidR="00000000" w:rsidRPr="00A934A3" w:rsidP="00A934A3">
            <w:pPr>
              <w:pStyle w:val="ListBullet"/>
            </w:pPr>
            <w:r w:rsidRPr="00A934A3">
              <w:t>speculative demand for money to be able to take advantage of future price changes in favour of the purchaser</w:t>
            </w:r>
          </w:p>
          <w:p w:rsidR="00000000" w:rsidP="00A934A3">
            <w:pPr>
              <w:pStyle w:val="ListBullet"/>
              <w:rPr>
                <w:lang w:val="en-NZ"/>
              </w:rPr>
            </w:pPr>
            <w:r w:rsidRPr="00A934A3">
              <w:t>transactions demand for money to pay every day predictable expenses.</w:t>
            </w:r>
          </w:p>
        </w:tc>
      </w:tr>
      <w:tr w:rsidTr="005F48F0">
        <w:tblPrEx>
          <w:tblW w:w="0" w:type="auto"/>
          <w:tblLayout w:type="fixed"/>
          <w:tblCellMar>
            <w:left w:w="62" w:type="dxa"/>
            <w:right w:w="62" w:type="dxa"/>
          </w:tblCellMar>
          <w:tblLook w:val="0000"/>
        </w:tblPrEx>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A3">
            <w:pPr>
              <w:pStyle w:val="BodyText"/>
              <w:rPr>
                <w:lang w:val="en-NZ"/>
              </w:rPr>
            </w:pPr>
            <w:r w:rsidRPr="00A934A3">
              <w:t xml:space="preserve">The </w:t>
            </w:r>
            <w:r w:rsidRPr="00A934A3">
              <w:rPr>
                <w:rStyle w:val="BoldandItalics"/>
              </w:rPr>
              <w:t>functions of money</w:t>
            </w:r>
            <w:r w:rsidRPr="00A934A3">
              <w:t xml:space="preserve"> may include:</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A3" w:rsidP="00A934A3">
            <w:pPr>
              <w:pStyle w:val="ListBullet"/>
            </w:pPr>
            <w:r w:rsidRPr="00A934A3">
              <w:t>as a means of exchange for acqui</w:t>
            </w:r>
            <w:r w:rsidRPr="00A934A3">
              <w:t>ring goods and services</w:t>
            </w:r>
          </w:p>
          <w:p w:rsidR="00000000" w:rsidRPr="00A934A3" w:rsidP="00A934A3">
            <w:pPr>
              <w:pStyle w:val="ListBullet"/>
            </w:pPr>
            <w:r w:rsidRPr="00A934A3">
              <w:t>indications of relative values between goods and services</w:t>
            </w:r>
          </w:p>
          <w:p w:rsidR="00000000" w:rsidP="00A934A3">
            <w:pPr>
              <w:pStyle w:val="ListBullet"/>
              <w:rPr>
                <w:lang w:val="en-NZ"/>
              </w:rPr>
            </w:pPr>
            <w:r w:rsidRPr="00A934A3">
              <w:t>measure of liquidity.</w:t>
            </w:r>
          </w:p>
        </w:tc>
      </w:tr>
      <w:tr w:rsidTr="005F48F0">
        <w:tblPrEx>
          <w:tblW w:w="0" w:type="auto"/>
          <w:tblLayout w:type="fixed"/>
          <w:tblCellMar>
            <w:left w:w="62" w:type="dxa"/>
            <w:right w:w="62" w:type="dxa"/>
          </w:tblCellMar>
          <w:tblLook w:val="0000"/>
        </w:tblPrEx>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A3">
            <w:pPr>
              <w:pStyle w:val="BodyText"/>
              <w:rPr>
                <w:lang w:val="en-NZ"/>
              </w:rPr>
            </w:pPr>
            <w:r w:rsidRPr="00A934A3">
              <w:rPr>
                <w:rStyle w:val="Emphasis"/>
              </w:rPr>
              <w:t>The</w:t>
            </w:r>
            <w:r w:rsidRPr="00A934A3">
              <w:t xml:space="preserve"> </w:t>
            </w:r>
            <w:r w:rsidRPr="00A934A3">
              <w:rPr>
                <w:rStyle w:val="BoldandItalics"/>
              </w:rPr>
              <w:t>purpose of financial markets</w:t>
            </w:r>
            <w:r w:rsidRPr="00A934A3">
              <w:t xml:space="preserve"> includes:</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A3" w:rsidP="00A934A3">
            <w:pPr>
              <w:pStyle w:val="ListBullet"/>
            </w:pPr>
            <w:r w:rsidRPr="00A934A3">
              <w:t>enabling participants to invest surplus funds by buying securities</w:t>
            </w:r>
          </w:p>
          <w:p w:rsidR="00000000" w:rsidP="00A934A3">
            <w:pPr>
              <w:pStyle w:val="ListBullet"/>
              <w:rPr>
                <w:lang w:val="en-NZ"/>
              </w:rPr>
            </w:pPr>
            <w:r w:rsidRPr="00A934A3">
              <w:t>enabling participants to raise required funds by issuing securities.</w:t>
            </w:r>
          </w:p>
        </w:tc>
      </w:tr>
      <w:tr w:rsidTr="005F48F0">
        <w:tblPrEx>
          <w:tblW w:w="0" w:type="auto"/>
          <w:tblLayout w:type="fixed"/>
          <w:tblCellMar>
            <w:left w:w="62" w:type="dxa"/>
            <w:right w:w="62" w:type="dxa"/>
          </w:tblCellMar>
          <w:tblLook w:val="0000"/>
        </w:tblPrEx>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A3">
            <w:pPr>
              <w:pStyle w:val="BodyText"/>
              <w:rPr>
                <w:lang w:val="en-NZ"/>
              </w:rPr>
            </w:pPr>
            <w:r w:rsidRPr="00A934A3">
              <w:rPr>
                <w:rStyle w:val="BoldandItalics"/>
              </w:rPr>
              <w:t>The major markets within the Australian financial system</w:t>
            </w:r>
            <w:r w:rsidRPr="00A934A3">
              <w:t xml:space="preserve"> include:</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A3" w:rsidP="00A934A3">
            <w:pPr>
              <w:pStyle w:val="ListBullet"/>
            </w:pPr>
            <w:r w:rsidRPr="00A934A3">
              <w:t>bond market</w:t>
            </w:r>
          </w:p>
          <w:p w:rsidR="00000000" w:rsidRPr="00A934A3" w:rsidP="00A934A3">
            <w:pPr>
              <w:pStyle w:val="ListBullet"/>
            </w:pPr>
            <w:r w:rsidRPr="00A934A3">
              <w:t>derivatives markets</w:t>
            </w:r>
          </w:p>
          <w:p w:rsidR="00000000" w:rsidRPr="00A934A3" w:rsidP="00A934A3">
            <w:pPr>
              <w:pStyle w:val="ListBullet"/>
            </w:pPr>
            <w:r w:rsidRPr="00A934A3">
              <w:t>equity or share market as traded on the Australian Securities Exchange (ASX)</w:t>
            </w:r>
          </w:p>
          <w:p w:rsidR="00000000" w:rsidRPr="00A934A3" w:rsidP="00A934A3">
            <w:pPr>
              <w:pStyle w:val="ListBullet"/>
            </w:pPr>
            <w:r w:rsidRPr="00A934A3">
              <w:t>financial futures market</w:t>
            </w:r>
          </w:p>
          <w:p w:rsidR="00000000" w:rsidRPr="00A934A3" w:rsidP="00A934A3">
            <w:pPr>
              <w:pStyle w:val="ListBullet"/>
            </w:pPr>
            <w:r w:rsidRPr="00A934A3">
              <w:t>foreign exchange market</w:t>
            </w:r>
          </w:p>
          <w:p w:rsidR="00000000" w:rsidRPr="00A934A3" w:rsidP="00A934A3">
            <w:pPr>
              <w:pStyle w:val="ListBullet"/>
            </w:pPr>
            <w:r w:rsidRPr="00A934A3">
              <w:t>money market</w:t>
            </w:r>
          </w:p>
          <w:p w:rsidR="00000000" w:rsidP="00A934A3">
            <w:pPr>
              <w:pStyle w:val="ListBullet"/>
              <w:rPr>
                <w:lang w:val="en-NZ"/>
              </w:rPr>
            </w:pPr>
            <w:r w:rsidRPr="00A934A3">
              <w:t>options market.</w:t>
            </w:r>
          </w:p>
        </w:tc>
      </w:tr>
      <w:tr w:rsidTr="005F48F0">
        <w:tblPrEx>
          <w:tblW w:w="0" w:type="auto"/>
          <w:tblLayout w:type="fixed"/>
          <w:tblCellMar>
            <w:left w:w="62" w:type="dxa"/>
            <w:right w:w="62" w:type="dxa"/>
          </w:tblCellMar>
          <w:tblLook w:val="0000"/>
        </w:tblPrEx>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A3">
            <w:pPr>
              <w:pStyle w:val="BodyText"/>
              <w:rPr>
                <w:lang w:val="en-NZ"/>
              </w:rPr>
            </w:pPr>
            <w:r w:rsidRPr="00A934A3">
              <w:t xml:space="preserve">Instruments traded on the </w:t>
            </w:r>
            <w:r w:rsidRPr="00A934A3">
              <w:rPr>
                <w:rStyle w:val="BoldandItalics"/>
              </w:rPr>
              <w:t>short term money market</w:t>
            </w:r>
            <w:r w:rsidRPr="00A934A3">
              <w:t xml:space="preserve"> include:</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A3" w:rsidP="00A934A3">
            <w:pPr>
              <w:pStyle w:val="ListBullet"/>
            </w:pPr>
            <w:r w:rsidRPr="00A934A3">
              <w:t>bills of exchange</w:t>
            </w:r>
          </w:p>
          <w:p w:rsidR="00000000" w:rsidRPr="00A934A3" w:rsidP="00A934A3">
            <w:pPr>
              <w:pStyle w:val="ListBullet"/>
            </w:pPr>
            <w:r w:rsidRPr="00A934A3">
              <w:t>commercial bills</w:t>
            </w:r>
          </w:p>
          <w:p w:rsidR="00000000" w:rsidRPr="00A934A3" w:rsidP="00A934A3">
            <w:pPr>
              <w:pStyle w:val="ListBullet"/>
            </w:pPr>
            <w:r w:rsidRPr="00A934A3">
              <w:t>government bills</w:t>
            </w:r>
          </w:p>
          <w:p w:rsidR="00000000" w:rsidRPr="00A934A3" w:rsidP="00A934A3">
            <w:pPr>
              <w:pStyle w:val="ListBullet"/>
            </w:pPr>
            <w:r w:rsidRPr="00A934A3">
              <w:t>promissory notes</w:t>
            </w:r>
          </w:p>
          <w:p w:rsidR="00000000" w:rsidP="00A934A3">
            <w:pPr>
              <w:pStyle w:val="ListBullet"/>
              <w:rPr>
                <w:lang w:val="en-NZ"/>
              </w:rPr>
            </w:pPr>
            <w:r w:rsidRPr="00A934A3">
              <w:t>treasury notes.</w:t>
            </w:r>
          </w:p>
        </w:tc>
      </w:tr>
      <w:tr w:rsidTr="005F48F0">
        <w:tblPrEx>
          <w:tblW w:w="0" w:type="auto"/>
          <w:tblLayout w:type="fixed"/>
          <w:tblCellMar>
            <w:left w:w="62" w:type="dxa"/>
            <w:right w:w="62" w:type="dxa"/>
          </w:tblCellMar>
          <w:tblLook w:val="0000"/>
        </w:tblPrEx>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A3">
            <w:pPr>
              <w:pStyle w:val="BodyText"/>
              <w:rPr>
                <w:lang w:val="en-NZ"/>
              </w:rPr>
            </w:pPr>
            <w:r w:rsidRPr="00A934A3">
              <w:rPr>
                <w:rStyle w:val="BoldandItalics"/>
              </w:rPr>
              <w:t>Main regulators in the financial</w:t>
            </w:r>
            <w:r w:rsidRPr="00A934A3">
              <w:rPr>
                <w:rStyle w:val="BoldandItalics"/>
              </w:rPr>
              <w:t xml:space="preserve"> system</w:t>
            </w:r>
            <w:r w:rsidRPr="00A934A3">
              <w:t xml:space="preserve"> may include:</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A3" w:rsidP="00A934A3">
            <w:pPr>
              <w:pStyle w:val="ListBullet"/>
            </w:pPr>
            <w:r w:rsidRPr="00A934A3">
              <w:t>Australian Prudential Regulation Authority (APRA)</w:t>
            </w:r>
          </w:p>
          <w:p w:rsidR="00000000" w:rsidRPr="00A934A3" w:rsidP="00A934A3">
            <w:pPr>
              <w:pStyle w:val="ListBullet"/>
            </w:pPr>
            <w:r w:rsidRPr="00A934A3">
              <w:t>Australian Securities and Investments Commission (ASIC).</w:t>
            </w:r>
          </w:p>
        </w:tc>
      </w:tr>
    </w:tbl>
    <w:p w:rsidR="005F48F0" w:rsidP="00A934A3">
      <w:pPr>
        <w:pStyle w:val="BodyText"/>
      </w:pPr>
    </w:p>
    <w:p w:rsidR="005F48F0" w:rsidP="00A934A3">
      <w:pPr>
        <w:pStyle w:val="BodyText"/>
      </w:pPr>
    </w:p>
    <w:p w:rsidR="00000000" w:rsidRPr="00A934A3" w:rsidP="00A934A3">
      <w:pPr>
        <w:pStyle w:val="Heading1"/>
      </w:pPr>
      <w:bookmarkStart w:id="12" w:name="O_78206"/>
      <w:bookmarkEnd w:id="12"/>
      <w:r w:rsidRPr="00A934A3">
        <w:t>Unit Sector(s)</w:t>
      </w:r>
    </w:p>
    <w:tbl>
      <w:tblPr>
        <w:tblW w:w="0" w:type="auto"/>
        <w:tblLayout w:type="fixed"/>
        <w:tblCellMar>
          <w:left w:w="62" w:type="dxa"/>
          <w:right w:w="62" w:type="dxa"/>
        </w:tblCellMar>
        <w:tblLook w:val="0000"/>
      </w:tblPr>
      <w:tblGrid>
        <w:gridCol w:w="2597"/>
        <w:gridCol w:w="5925"/>
      </w:tblGrid>
      <w:tr w:rsidTr="005F48F0">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A3">
            <w:pPr>
              <w:pStyle w:val="BodyText"/>
              <w:rPr>
                <w:lang w:val="en-NZ"/>
              </w:rPr>
            </w:pPr>
            <w:r w:rsidRPr="00A934A3">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A3" w:rsidP="00A934A3">
            <w:pPr>
              <w:pStyle w:val="BodyText"/>
            </w:pPr>
            <w:r w:rsidRPr="00A934A3">
              <w:t>Financial literacy</w:t>
            </w:r>
          </w:p>
        </w:tc>
      </w:tr>
    </w:tbl>
    <w:p w:rsidR="00000000" w:rsidRPr="00A934A3" w:rsidP="00A934A3">
      <w:pPr>
        <w:pStyle w:val="BodyText"/>
      </w:pPr>
    </w:p>
    <w:p w:rsidR="00000000" w:rsidRPr="00A934A3" w:rsidP="00A934A3">
      <w:pPr>
        <w:pStyle w:val="AllowPageBreak"/>
      </w:pPr>
    </w:p>
    <w:p w:rsidR="00000000" w:rsidRPr="00A934A3" w:rsidP="00A934A3">
      <w:pPr>
        <w:pStyle w:val="Heading1"/>
      </w:pPr>
      <w:bookmarkStart w:id="13" w:name="O_156267"/>
      <w:bookmarkEnd w:id="13"/>
      <w:r w:rsidRPr="00A934A3">
        <w:t>Competency field</w:t>
      </w:r>
    </w:p>
    <w:tbl>
      <w:tblPr>
        <w:tblW w:w="0" w:type="auto"/>
        <w:tblLayout w:type="fixed"/>
        <w:tblCellMar>
          <w:left w:w="62" w:type="dxa"/>
          <w:right w:w="62" w:type="dxa"/>
        </w:tblCellMar>
        <w:tblLook w:val="0000"/>
      </w:tblPr>
      <w:tblGrid>
        <w:gridCol w:w="2754"/>
        <w:gridCol w:w="5768"/>
      </w:tblGrid>
      <w:tr w:rsidTr="005F48F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A3">
            <w:pPr>
              <w:pStyle w:val="BodyText"/>
              <w:rPr>
                <w:lang w:val="en-NZ"/>
              </w:rPr>
            </w:pPr>
            <w:r w:rsidRPr="00A934A3">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A3" w:rsidP="00A934A3">
            <w:pPr>
              <w:pStyle w:val="BodyText"/>
            </w:pPr>
          </w:p>
        </w:tc>
      </w:tr>
    </w:tbl>
    <w:p w:rsidR="00000000" w:rsidRPr="00A934A3" w:rsidP="00A934A3">
      <w:pPr>
        <w:pStyle w:val="BodyText"/>
      </w:pPr>
    </w:p>
    <w:p w:rsidR="00000000" w:rsidRPr="00A934A3" w:rsidP="00A934A3">
      <w:pPr>
        <w:pStyle w:val="AllowPageBreak"/>
      </w:pPr>
    </w:p>
    <w:p w:rsidR="00000000" w:rsidRPr="00A934A3" w:rsidP="00A934A3">
      <w:pPr>
        <w:pStyle w:val="Heading1"/>
      </w:pPr>
      <w:bookmarkStart w:id="14" w:name="O_156266"/>
      <w:bookmarkEnd w:id="14"/>
      <w:r w:rsidRPr="00A934A3">
        <w:t>Co-requisite units</w:t>
      </w:r>
    </w:p>
    <w:tbl>
      <w:tblPr>
        <w:tblW w:w="0" w:type="auto"/>
        <w:tblLayout w:type="fixed"/>
        <w:tblCellMar>
          <w:left w:w="62" w:type="dxa"/>
          <w:right w:w="62" w:type="dxa"/>
        </w:tblCellMar>
        <w:tblLook w:val="0000"/>
      </w:tblPr>
      <w:tblGrid>
        <w:gridCol w:w="2629"/>
        <w:gridCol w:w="1324"/>
        <w:gridCol w:w="4569"/>
      </w:tblGrid>
      <w:tr w:rsidTr="005F48F0">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A3">
            <w:pPr>
              <w:pStyle w:val="BodyText"/>
              <w:rPr>
                <w:lang w:val="en-NZ"/>
              </w:rPr>
            </w:pPr>
            <w:r w:rsidRPr="00A934A3">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A3">
            <w:pPr>
              <w:pStyle w:val="BodyText"/>
              <w:rPr>
                <w:lang w:val="en-NZ"/>
              </w:rPr>
            </w:pPr>
          </w:p>
        </w:tc>
      </w:tr>
      <w:tr w:rsidTr="005F48F0">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A3" w:rsidP="00A934A3">
            <w:pPr>
              <w:pStyle w:val="BodyText"/>
            </w:pPr>
          </w:p>
        </w:tc>
      </w:tr>
    </w:tbl>
    <w:p w:rsidR="00000000" w:rsidRPr="00A934A3" w:rsidP="00A934A3">
      <w:pPr>
        <w:pStyle w:val="BodyText"/>
      </w:pPr>
    </w:p>
    <w:p w:rsidR="00000000" w:rsidRPr="00A934A3" w:rsidP="00A934A3"/>
    <w:sectPr w:rsidSect="00A934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4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48F0" w:rsidP="005F48F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4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8F0" w:rsidP="00A934A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F48F0" w:rsidP="00A934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F48F0" w:rsidP="00A934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4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4A3" w:rsidRPr="005F48F0" w:rsidP="005F48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4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8F0" w:rsidRPr="002D2AF8" w:rsidP="00A934A3">
    <w:pPr>
      <w:pStyle w:val="Header"/>
      <w:framePr w:wrap="around"/>
    </w:pPr>
    <w:r>
      <w:fldChar w:fldCharType="begin"/>
    </w:r>
    <w:r>
      <w:instrText xml:space="preserve"> TITLE   \* MERGEFORMAT </w:instrText>
    </w:r>
    <w:r>
      <w:fldChar w:fldCharType="separate"/>
    </w:r>
    <w:r>
      <w:t>FNSFLT502A Facilitate customer awareness of the Australian financial system and markets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F48F0" w:rsidP="00A934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6818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7251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0E8D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4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34A3"/>
    <w:pPr>
      <w:spacing w:before="360" w:after="60"/>
      <w:outlineLvl w:val="0"/>
    </w:pPr>
    <w:rPr>
      <w:sz w:val="32"/>
    </w:rPr>
  </w:style>
  <w:style w:type="paragraph" w:styleId="Heading2">
    <w:name w:val="heading 2"/>
    <w:basedOn w:val="HeadingBase"/>
    <w:next w:val="BodyText"/>
    <w:link w:val="Heading2Char"/>
    <w:qFormat/>
    <w:rsid w:val="00A934A3"/>
    <w:pPr>
      <w:keepLines/>
      <w:spacing w:before="240" w:after="120"/>
      <w:outlineLvl w:val="1"/>
    </w:pPr>
    <w:rPr>
      <w:sz w:val="28"/>
      <w:szCs w:val="40"/>
    </w:rPr>
  </w:style>
  <w:style w:type="paragraph" w:styleId="Heading3">
    <w:name w:val="heading 3"/>
    <w:basedOn w:val="HeadingBase"/>
    <w:next w:val="BodyText"/>
    <w:link w:val="Heading3Char"/>
    <w:qFormat/>
    <w:rsid w:val="00A934A3"/>
    <w:pPr>
      <w:spacing w:before="180" w:after="120"/>
      <w:outlineLvl w:val="2"/>
    </w:pPr>
    <w:rPr>
      <w:spacing w:val="-10"/>
      <w:kern w:val="32"/>
    </w:rPr>
  </w:style>
  <w:style w:type="paragraph" w:styleId="Heading4">
    <w:name w:val="heading 4"/>
    <w:basedOn w:val="HeadingBase"/>
    <w:next w:val="BodyText"/>
    <w:link w:val="Heading4Char"/>
    <w:qFormat/>
    <w:rsid w:val="00A934A3"/>
    <w:pPr>
      <w:spacing w:before="160" w:after="120"/>
      <w:outlineLvl w:val="3"/>
    </w:pPr>
    <w:rPr>
      <w:sz w:val="22"/>
    </w:rPr>
  </w:style>
  <w:style w:type="paragraph" w:styleId="Heading5">
    <w:name w:val="heading 5"/>
    <w:basedOn w:val="HeadingBase"/>
    <w:next w:val="Normal"/>
    <w:link w:val="Heading5Char"/>
    <w:qFormat/>
    <w:rsid w:val="00A934A3"/>
    <w:pPr>
      <w:spacing w:before="80"/>
      <w:outlineLvl w:val="4"/>
    </w:pPr>
    <w:rPr>
      <w:color w:val="918585"/>
      <w:sz w:val="20"/>
    </w:rPr>
  </w:style>
  <w:style w:type="paragraph" w:styleId="Heading6">
    <w:name w:val="heading 6"/>
    <w:basedOn w:val="HeadingBase"/>
    <w:next w:val="Normal"/>
    <w:link w:val="Heading6Char"/>
    <w:qFormat/>
    <w:rsid w:val="00A934A3"/>
    <w:pPr>
      <w:spacing w:before="60"/>
      <w:outlineLvl w:val="5"/>
    </w:pPr>
    <w:rPr>
      <w:color w:val="918585"/>
      <w:sz w:val="20"/>
    </w:rPr>
  </w:style>
  <w:style w:type="paragraph" w:styleId="Heading7">
    <w:name w:val="heading 7"/>
    <w:basedOn w:val="Normal"/>
    <w:next w:val="Normal"/>
    <w:link w:val="Heading7Char"/>
    <w:qFormat/>
    <w:rsid w:val="00A934A3"/>
    <w:pPr>
      <w:ind w:left="720"/>
      <w:outlineLvl w:val="6"/>
    </w:pPr>
    <w:rPr>
      <w:i/>
    </w:rPr>
  </w:style>
  <w:style w:type="paragraph" w:styleId="Heading8">
    <w:name w:val="heading 8"/>
    <w:basedOn w:val="Normal"/>
    <w:next w:val="Normal"/>
    <w:link w:val="Heading8Char"/>
    <w:qFormat/>
    <w:rsid w:val="00A934A3"/>
    <w:pPr>
      <w:ind w:left="720"/>
      <w:outlineLvl w:val="7"/>
    </w:pPr>
    <w:rPr>
      <w:i/>
    </w:rPr>
  </w:style>
  <w:style w:type="paragraph" w:styleId="Heading9">
    <w:name w:val="heading 9"/>
    <w:basedOn w:val="Normal"/>
    <w:next w:val="Normal"/>
    <w:link w:val="Heading9Char"/>
    <w:qFormat/>
    <w:rsid w:val="00A934A3"/>
    <w:pPr>
      <w:ind w:left="720"/>
      <w:outlineLvl w:val="8"/>
    </w:pPr>
    <w:rPr>
      <w:i/>
    </w:rPr>
  </w:style>
  <w:style w:type="character" w:default="1" w:styleId="DefaultParagraphFont">
    <w:name w:val="Default Paragraph Font"/>
    <w:uiPriority w:val="1"/>
    <w:unhideWhenUsed/>
    <w:rsid w:val="00A934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34A3"/>
  </w:style>
  <w:style w:type="character" w:customStyle="1" w:styleId="Heading1Char">
    <w:name w:val="Heading 1 Char"/>
    <w:basedOn w:val="DefaultParagraphFont"/>
    <w:link w:val="Heading1"/>
    <w:rsid w:val="00A934A3"/>
    <w:rPr>
      <w:rFonts w:ascii="Times New Roman" w:eastAsia="Times New Roman" w:hAnsi="Times New Roman" w:cs="Times New Roman"/>
      <w:b/>
      <w:sz w:val="32"/>
      <w:szCs w:val="20"/>
      <w:lang w:eastAsia="en-US"/>
    </w:rPr>
  </w:style>
  <w:style w:type="paragraph" w:styleId="BodyText">
    <w:name w:val="Body Text"/>
    <w:basedOn w:val="Normal"/>
    <w:link w:val="BodyTextChar"/>
    <w:rsid w:val="00A934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34A3"/>
    <w:rPr>
      <w:rFonts w:ascii="Times New Roman" w:eastAsia="Times New Roman" w:hAnsi="Times New Roman" w:cs="Times New Roman"/>
      <w:sz w:val="24"/>
      <w:lang w:eastAsia="en-US"/>
    </w:rPr>
  </w:style>
  <w:style w:type="paragraph" w:styleId="Footer">
    <w:name w:val="footer"/>
    <w:basedOn w:val="Normal"/>
    <w:link w:val="FooterChar"/>
    <w:rsid w:val="00A934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34A3"/>
    <w:rPr>
      <w:rFonts w:ascii="Times New Roman" w:eastAsia="Times New Roman" w:hAnsi="Times New Roman" w:cs="Times New Roman"/>
      <w:sz w:val="16"/>
      <w:lang w:eastAsia="en-US"/>
    </w:rPr>
  </w:style>
  <w:style w:type="paragraph" w:styleId="List">
    <w:name w:val="List"/>
    <w:basedOn w:val="BodyText"/>
    <w:next w:val="BodyText"/>
    <w:rsid w:val="00A934A3"/>
    <w:pPr>
      <w:tabs>
        <w:tab w:val="left" w:pos="340"/>
      </w:tabs>
      <w:spacing w:before="60" w:after="60"/>
      <w:ind w:left="340" w:hanging="340"/>
    </w:pPr>
  </w:style>
  <w:style w:type="paragraph" w:styleId="ListBullet">
    <w:name w:val="List Bullet"/>
    <w:basedOn w:val="List"/>
    <w:rsid w:val="00A934A3"/>
    <w:pPr>
      <w:numPr>
        <w:numId w:val="13"/>
      </w:numPr>
      <w:tabs>
        <w:tab w:val="clear" w:pos="340"/>
      </w:tabs>
      <w:spacing w:before="40" w:after="40"/>
    </w:pPr>
  </w:style>
  <w:style w:type="character" w:customStyle="1" w:styleId="SpecialBold">
    <w:name w:val="Special Bold"/>
    <w:basedOn w:val="DefaultParagraphFont"/>
    <w:rsid w:val="00A934A3"/>
    <w:rPr>
      <w:b/>
      <w:spacing w:val="0"/>
    </w:rPr>
  </w:style>
  <w:style w:type="paragraph" w:styleId="ListBullet2">
    <w:name w:val="List Bullet 2"/>
    <w:basedOn w:val="List2"/>
    <w:rsid w:val="00A934A3"/>
    <w:pPr>
      <w:numPr>
        <w:numId w:val="14"/>
      </w:numPr>
      <w:tabs>
        <w:tab w:val="clear" w:pos="680"/>
      </w:tabs>
    </w:pPr>
  </w:style>
  <w:style w:type="character" w:styleId="Emphasis">
    <w:name w:val="Emphasis"/>
    <w:basedOn w:val="DefaultParagraphFont"/>
    <w:qFormat/>
    <w:rsid w:val="00A934A3"/>
    <w:rPr>
      <w:i/>
    </w:rPr>
  </w:style>
  <w:style w:type="paragraph" w:customStyle="1" w:styleId="SuperHeading">
    <w:name w:val="SuperHeading"/>
    <w:basedOn w:val="Normal"/>
    <w:rsid w:val="00A934A3"/>
    <w:pPr>
      <w:spacing w:before="240" w:after="120"/>
      <w:outlineLvl w:val="0"/>
    </w:pPr>
    <w:rPr>
      <w:rFonts w:ascii="Times New Roman" w:hAnsi="Times New Roman"/>
      <w:b/>
      <w:sz w:val="28"/>
    </w:rPr>
  </w:style>
  <w:style w:type="paragraph" w:customStyle="1" w:styleId="AllowPageBreak">
    <w:name w:val="AllowPageBreak"/>
    <w:rsid w:val="00A934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34A3"/>
    <w:pPr>
      <w:tabs>
        <w:tab w:val="left" w:pos="680"/>
      </w:tabs>
      <w:spacing w:before="60" w:after="60"/>
      <w:ind w:left="680" w:hanging="340"/>
    </w:pPr>
  </w:style>
  <w:style w:type="character" w:customStyle="1" w:styleId="BoldandItalics">
    <w:name w:val="Bold and Italics"/>
    <w:qFormat/>
    <w:rsid w:val="00A934A3"/>
    <w:rPr>
      <w:b/>
      <w:i/>
      <w:u w:val="none"/>
    </w:rPr>
  </w:style>
  <w:style w:type="character" w:customStyle="1" w:styleId="Heading2Char">
    <w:name w:val="Heading 2 Char"/>
    <w:basedOn w:val="DefaultParagraphFont"/>
    <w:link w:val="Heading2"/>
    <w:rsid w:val="00A934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34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34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34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34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34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34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34A3"/>
    <w:rPr>
      <w:rFonts w:ascii="Courier New" w:eastAsia="Times New Roman" w:hAnsi="Courier New" w:cs="Times New Roman"/>
      <w:i/>
      <w:szCs w:val="20"/>
      <w:lang w:eastAsia="en-US"/>
    </w:rPr>
  </w:style>
  <w:style w:type="paragraph" w:customStyle="1" w:styleId="HeadingBase">
    <w:name w:val="Heading Base"/>
    <w:rsid w:val="00A934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34A3"/>
    <w:pPr>
      <w:tabs>
        <w:tab w:val="right" w:leader="dot" w:pos="9072"/>
      </w:tabs>
      <w:ind w:left="567"/>
    </w:pPr>
    <w:rPr>
      <w:szCs w:val="22"/>
    </w:rPr>
  </w:style>
  <w:style w:type="paragraph" w:customStyle="1" w:styleId="TOCBase">
    <w:name w:val="TOC Base"/>
    <w:rsid w:val="00A934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34A3"/>
    <w:pPr>
      <w:tabs>
        <w:tab w:val="right" w:leader="dot" w:pos="9072"/>
      </w:tabs>
      <w:spacing w:before="40" w:after="40"/>
      <w:ind w:left="284"/>
    </w:pPr>
    <w:rPr>
      <w:rFonts w:ascii="Times New Roman" w:hAnsi="Times New Roman"/>
    </w:rPr>
  </w:style>
  <w:style w:type="paragraph" w:styleId="TOC1">
    <w:name w:val="toc 1"/>
    <w:basedOn w:val="TOCBase"/>
    <w:next w:val="Normal"/>
    <w:rsid w:val="00A934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34A3"/>
    <w:pPr>
      <w:spacing w:before="5040"/>
      <w:jc w:val="center"/>
    </w:pPr>
    <w:rPr>
      <w:sz w:val="48"/>
      <w:szCs w:val="72"/>
      <w:lang w:val="en-US"/>
    </w:rPr>
  </w:style>
  <w:style w:type="character" w:customStyle="1" w:styleId="TitleChar">
    <w:name w:val="Title Char"/>
    <w:basedOn w:val="DefaultParagraphFont"/>
    <w:link w:val="Title"/>
    <w:rsid w:val="00A934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34A3"/>
    <w:pPr>
      <w:tabs>
        <w:tab w:val="left" w:pos="3600"/>
        <w:tab w:val="left" w:pos="3958"/>
      </w:tabs>
    </w:pPr>
  </w:style>
  <w:style w:type="paragraph" w:customStyle="1" w:styleId="Note">
    <w:name w:val="Note"/>
    <w:basedOn w:val="BodyText"/>
    <w:rsid w:val="00A934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34A3"/>
    <w:pPr>
      <w:framePr w:wrap="auto" w:hAnchor="text" w:y="6049"/>
    </w:pPr>
    <w:rPr>
      <w:color w:val="000000"/>
      <w:sz w:val="40"/>
    </w:rPr>
  </w:style>
  <w:style w:type="paragraph" w:customStyle="1" w:styleId="TOCTitle">
    <w:name w:val="TOCTitle"/>
    <w:basedOn w:val="Heading1"/>
    <w:rsid w:val="00A934A3"/>
    <w:pPr>
      <w:spacing w:after="240"/>
      <w:jc w:val="center"/>
      <w:outlineLvl w:val="9"/>
    </w:pPr>
    <w:rPr>
      <w:caps/>
    </w:rPr>
  </w:style>
  <w:style w:type="paragraph" w:customStyle="1" w:styleId="Version">
    <w:name w:val="Version"/>
    <w:rsid w:val="00A934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34A3"/>
    <w:pPr>
      <w:keepNext w:val="0"/>
      <w:tabs>
        <w:tab w:val="right" w:pos="4176"/>
      </w:tabs>
      <w:ind w:left="198" w:hanging="198"/>
    </w:pPr>
    <w:rPr>
      <w:rFonts w:ascii="Garamond" w:hAnsi="Garamond"/>
    </w:rPr>
  </w:style>
  <w:style w:type="paragraph" w:styleId="IndexHeading">
    <w:name w:val="index heading"/>
    <w:basedOn w:val="Normal"/>
    <w:next w:val="Index1"/>
    <w:semiHidden/>
    <w:rsid w:val="00A934A3"/>
    <w:pPr>
      <w:spacing w:before="120" w:after="120"/>
    </w:pPr>
    <w:rPr>
      <w:rFonts w:ascii="Arial" w:hAnsi="Arial"/>
      <w:b/>
      <w:color w:val="918585"/>
      <w:sz w:val="24"/>
    </w:rPr>
  </w:style>
  <w:style w:type="paragraph" w:styleId="Header">
    <w:name w:val="header"/>
    <w:basedOn w:val="Normal"/>
    <w:link w:val="HeaderChar"/>
    <w:rsid w:val="00A934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34A3"/>
    <w:rPr>
      <w:rFonts w:ascii="Times New Roman" w:eastAsia="Times New Roman" w:hAnsi="Times New Roman" w:cs="Times New Roman"/>
      <w:sz w:val="16"/>
      <w:szCs w:val="20"/>
      <w:lang w:val="en-GB" w:eastAsia="en-US"/>
    </w:rPr>
  </w:style>
  <w:style w:type="paragraph" w:customStyle="1" w:styleId="Chapter">
    <w:name w:val="Chapter"/>
    <w:basedOn w:val="Normal"/>
    <w:rsid w:val="00A934A3"/>
    <w:pPr>
      <w:spacing w:before="240"/>
    </w:pPr>
    <w:rPr>
      <w:rFonts w:ascii="Times New Roman" w:hAnsi="Times New Roman"/>
      <w:smallCaps/>
      <w:spacing w:val="80"/>
      <w:sz w:val="28"/>
    </w:rPr>
  </w:style>
  <w:style w:type="paragraph" w:customStyle="1" w:styleId="InChapter">
    <w:name w:val="InChapter"/>
    <w:basedOn w:val="Heading3"/>
    <w:rsid w:val="00A934A3"/>
    <w:pPr>
      <w:spacing w:after="240"/>
      <w:outlineLvl w:val="9"/>
    </w:pPr>
    <w:rPr>
      <w:noProof/>
    </w:rPr>
  </w:style>
  <w:style w:type="paragraph" w:styleId="Index2">
    <w:name w:val="index 2"/>
    <w:basedOn w:val="Normal"/>
    <w:next w:val="Normal"/>
    <w:semiHidden/>
    <w:rsid w:val="00A934A3"/>
    <w:pPr>
      <w:tabs>
        <w:tab w:val="right" w:pos="4176"/>
      </w:tabs>
      <w:ind w:left="568" w:hanging="284"/>
    </w:pPr>
    <w:rPr>
      <w:rFonts w:ascii="Garamond" w:hAnsi="Garamond"/>
    </w:rPr>
  </w:style>
  <w:style w:type="paragraph" w:customStyle="1" w:styleId="Byline">
    <w:name w:val="Byline"/>
    <w:rsid w:val="00A934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34A3"/>
    <w:pPr>
      <w:tabs>
        <w:tab w:val="clear" w:pos="3600"/>
        <w:tab w:val="clear" w:pos="3958"/>
      </w:tabs>
      <w:jc w:val="right"/>
    </w:pPr>
  </w:style>
  <w:style w:type="paragraph" w:styleId="Caption">
    <w:name w:val="caption"/>
    <w:basedOn w:val="BodyText"/>
    <w:next w:val="Normal"/>
    <w:qFormat/>
    <w:rsid w:val="00A934A3"/>
    <w:pPr>
      <w:framePr w:w="2268" w:hSpace="181" w:vSpace="181" w:wrap="around" w:vAnchor="text" w:hAnchor="page" w:x="1135" w:y="285" w:anchorLock="1"/>
    </w:pPr>
    <w:rPr>
      <w:i/>
    </w:rPr>
  </w:style>
  <w:style w:type="paragraph" w:customStyle="1" w:styleId="MiniTOCTitle">
    <w:name w:val="MiniTOCTitle"/>
    <w:basedOn w:val="Heading4"/>
    <w:rsid w:val="00A934A3"/>
    <w:pPr>
      <w:spacing w:before="240"/>
      <w:outlineLvl w:val="9"/>
    </w:pPr>
    <w:rPr>
      <w:noProof/>
      <w:sz w:val="24"/>
    </w:rPr>
  </w:style>
  <w:style w:type="paragraph" w:customStyle="1" w:styleId="MiniTOCItem">
    <w:name w:val="MiniTOCItem"/>
    <w:basedOn w:val="ListBullet"/>
    <w:rsid w:val="00A934A3"/>
    <w:pPr>
      <w:numPr>
        <w:numId w:val="0"/>
      </w:numPr>
      <w:tabs>
        <w:tab w:val="right" w:leader="dot" w:pos="6521"/>
      </w:tabs>
      <w:spacing w:before="0" w:after="0"/>
    </w:pPr>
  </w:style>
  <w:style w:type="paragraph" w:customStyle="1" w:styleId="TOFTitle">
    <w:name w:val="TOFTitle"/>
    <w:basedOn w:val="TOCTitle"/>
    <w:rsid w:val="00A934A3"/>
  </w:style>
  <w:style w:type="paragraph" w:styleId="TableofFigures">
    <w:name w:val="table of figures"/>
    <w:basedOn w:val="Normal"/>
    <w:next w:val="Normal"/>
    <w:semiHidden/>
    <w:rsid w:val="00A934A3"/>
    <w:pPr>
      <w:tabs>
        <w:tab w:val="right" w:leader="dot" w:pos="9072"/>
      </w:tabs>
      <w:ind w:left="970" w:hanging="403"/>
    </w:pPr>
    <w:rPr>
      <w:rFonts w:ascii="Times New Roman" w:hAnsi="Times New Roman"/>
      <w:b/>
    </w:rPr>
  </w:style>
  <w:style w:type="paragraph" w:styleId="ListNumber">
    <w:name w:val="List Number"/>
    <w:basedOn w:val="List"/>
    <w:rsid w:val="00A934A3"/>
    <w:pPr>
      <w:numPr>
        <w:numId w:val="11"/>
      </w:numPr>
    </w:pPr>
  </w:style>
  <w:style w:type="character" w:customStyle="1" w:styleId="WingdingSymbols">
    <w:name w:val="Wingding Symbols"/>
    <w:rsid w:val="00A934A3"/>
    <w:rPr>
      <w:rFonts w:ascii="Wingdings" w:hAnsi="Wingdings"/>
    </w:rPr>
  </w:style>
  <w:style w:type="paragraph" w:customStyle="1" w:styleId="TableHeading">
    <w:name w:val="Table Heading"/>
    <w:basedOn w:val="HeadingBase"/>
    <w:rsid w:val="00A934A3"/>
    <w:pPr>
      <w:keepLines/>
      <w:pBdr>
        <w:bottom w:val="single" w:sz="6" w:space="1" w:color="918585"/>
      </w:pBdr>
      <w:spacing w:before="240"/>
    </w:pPr>
  </w:style>
  <w:style w:type="character" w:customStyle="1" w:styleId="HotSpot">
    <w:name w:val="HotSpot"/>
    <w:rsid w:val="00A934A3"/>
    <w:rPr>
      <w:color w:val="0033CC"/>
      <w:u w:val="none"/>
    </w:rPr>
  </w:style>
  <w:style w:type="paragraph" w:customStyle="1" w:styleId="BodyTextRight">
    <w:name w:val="Body Text Right"/>
    <w:basedOn w:val="BodyText"/>
    <w:rsid w:val="00A934A3"/>
    <w:pPr>
      <w:spacing w:before="0" w:after="0"/>
      <w:jc w:val="right"/>
    </w:pPr>
  </w:style>
  <w:style w:type="paragraph" w:styleId="Index3">
    <w:name w:val="index 3"/>
    <w:basedOn w:val="ListNumber2"/>
    <w:next w:val="Normal"/>
    <w:semiHidden/>
    <w:rsid w:val="00A934A3"/>
    <w:pPr>
      <w:numPr>
        <w:numId w:val="0"/>
      </w:numPr>
      <w:tabs>
        <w:tab w:val="right" w:leader="dot" w:pos="4176"/>
      </w:tabs>
    </w:pPr>
  </w:style>
  <w:style w:type="paragraph" w:styleId="ListNumber2">
    <w:name w:val="List Number 2"/>
    <w:basedOn w:val="List2"/>
    <w:rsid w:val="00A934A3"/>
    <w:pPr>
      <w:numPr>
        <w:numId w:val="10"/>
      </w:numPr>
      <w:tabs>
        <w:tab w:val="clear" w:pos="1060"/>
      </w:tabs>
    </w:pPr>
  </w:style>
  <w:style w:type="paragraph" w:customStyle="1" w:styleId="MarginNote">
    <w:name w:val="Margin Note"/>
    <w:basedOn w:val="BodyText"/>
    <w:rsid w:val="00A934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34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34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34A3"/>
    <w:rPr>
      <w:sz w:val="32"/>
    </w:rPr>
  </w:style>
  <w:style w:type="paragraph" w:customStyle="1" w:styleId="HeadingProcedure">
    <w:name w:val="Heading Procedure"/>
    <w:basedOn w:val="HeadingBase"/>
    <w:next w:val="Normal"/>
    <w:rsid w:val="00A934A3"/>
    <w:pPr>
      <w:tabs>
        <w:tab w:val="left" w:pos="0"/>
      </w:tabs>
      <w:spacing w:before="120" w:after="60"/>
    </w:pPr>
    <w:rPr>
      <w:i/>
      <w:color w:val="918585"/>
      <w:sz w:val="22"/>
    </w:rPr>
  </w:style>
  <w:style w:type="paragraph" w:customStyle="1" w:styleId="TableBodyText">
    <w:name w:val="Table Body Text"/>
    <w:basedOn w:val="BodyText"/>
    <w:rsid w:val="00A934A3"/>
    <w:pPr>
      <w:spacing w:before="60" w:after="60"/>
    </w:pPr>
  </w:style>
  <w:style w:type="paragraph" w:styleId="ListContinue">
    <w:name w:val="List Continue"/>
    <w:basedOn w:val="List"/>
    <w:rsid w:val="00A934A3"/>
    <w:pPr>
      <w:ind w:firstLine="0"/>
    </w:pPr>
  </w:style>
  <w:style w:type="paragraph" w:customStyle="1" w:styleId="ListNote">
    <w:name w:val="List Note"/>
    <w:basedOn w:val="List"/>
    <w:rsid w:val="00A934A3"/>
    <w:pPr>
      <w:pBdr>
        <w:top w:val="single" w:sz="6" w:space="2" w:color="918585"/>
        <w:bottom w:val="single" w:sz="6" w:space="2" w:color="918585"/>
      </w:pBdr>
      <w:tabs>
        <w:tab w:val="left" w:pos="1021"/>
      </w:tabs>
      <w:ind w:firstLine="0"/>
    </w:pPr>
  </w:style>
  <w:style w:type="paragraph" w:customStyle="1" w:styleId="Warning">
    <w:name w:val="Warning"/>
    <w:basedOn w:val="BodyText"/>
    <w:rsid w:val="00A934A3"/>
    <w:pPr>
      <w:shd w:val="clear" w:color="auto" w:fill="D9D9D9"/>
      <w:tabs>
        <w:tab w:val="left" w:pos="992"/>
      </w:tabs>
      <w:ind w:left="119" w:right="119"/>
    </w:pPr>
    <w:rPr>
      <w:sz w:val="20"/>
    </w:rPr>
  </w:style>
  <w:style w:type="paragraph" w:customStyle="1" w:styleId="MarginIcons">
    <w:name w:val="Margin Icons"/>
    <w:basedOn w:val="BodyText"/>
    <w:rsid w:val="00A934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34A3"/>
    <w:rPr>
      <w:rFonts w:ascii="Courier New" w:hAnsi="Courier New"/>
    </w:rPr>
  </w:style>
  <w:style w:type="paragraph" w:customStyle="1" w:styleId="NoteBullet">
    <w:name w:val="Note Bullet"/>
    <w:basedOn w:val="Note"/>
    <w:rsid w:val="00A934A3"/>
    <w:pPr>
      <w:tabs>
        <w:tab w:val="clear" w:pos="680"/>
      </w:tabs>
      <w:spacing w:before="60" w:after="60"/>
    </w:pPr>
  </w:style>
  <w:style w:type="paragraph" w:customStyle="1" w:styleId="SubHeading2">
    <w:name w:val="SubHeading2"/>
    <w:basedOn w:val="HeadingBase"/>
    <w:rsid w:val="00A934A3"/>
    <w:pPr>
      <w:spacing w:before="240" w:after="60"/>
    </w:pPr>
    <w:rPr>
      <w:sz w:val="20"/>
    </w:rPr>
  </w:style>
  <w:style w:type="paragraph" w:customStyle="1" w:styleId="SubHeading1">
    <w:name w:val="SubHeading1"/>
    <w:basedOn w:val="HeadingBase"/>
    <w:rsid w:val="00A934A3"/>
    <w:pPr>
      <w:spacing w:before="240" w:after="60"/>
    </w:pPr>
    <w:rPr>
      <w:color w:val="918585"/>
      <w:sz w:val="22"/>
    </w:rPr>
  </w:style>
  <w:style w:type="paragraph" w:customStyle="1" w:styleId="SideHeading">
    <w:name w:val="Side Heading"/>
    <w:basedOn w:val="HeadingBase"/>
    <w:rsid w:val="00A934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34A3"/>
    <w:pPr>
      <w:numPr>
        <w:numId w:val="12"/>
      </w:numPr>
    </w:pPr>
  </w:style>
  <w:style w:type="paragraph" w:styleId="PlainText">
    <w:name w:val="Plain Text"/>
    <w:basedOn w:val="Normal"/>
    <w:link w:val="PlainTextChar"/>
    <w:rsid w:val="00A934A3"/>
    <w:rPr>
      <w:sz w:val="20"/>
    </w:rPr>
  </w:style>
  <w:style w:type="character" w:customStyle="1" w:styleId="PlainTextChar">
    <w:name w:val="Plain Text Char"/>
    <w:basedOn w:val="DefaultParagraphFont"/>
    <w:link w:val="PlainText"/>
    <w:rsid w:val="00A934A3"/>
    <w:rPr>
      <w:rFonts w:ascii="Courier New" w:eastAsia="Times New Roman" w:hAnsi="Courier New" w:cs="Times New Roman"/>
      <w:sz w:val="20"/>
      <w:szCs w:val="20"/>
      <w:lang w:eastAsia="en-US"/>
    </w:rPr>
  </w:style>
  <w:style w:type="character" w:customStyle="1" w:styleId="MenuOption">
    <w:name w:val="Menu Option"/>
    <w:basedOn w:val="DefaultParagraphFont"/>
    <w:rsid w:val="00A934A3"/>
    <w:rPr>
      <w:b/>
      <w:smallCaps/>
    </w:rPr>
  </w:style>
  <w:style w:type="paragraph" w:customStyle="1" w:styleId="TableListNumber">
    <w:name w:val="Table List Number"/>
    <w:basedOn w:val="ListNumber"/>
    <w:rsid w:val="00A934A3"/>
    <w:pPr>
      <w:numPr>
        <w:numId w:val="0"/>
      </w:numPr>
    </w:pPr>
  </w:style>
  <w:style w:type="paragraph" w:styleId="TOC4">
    <w:name w:val="toc 4"/>
    <w:basedOn w:val="TOCBase"/>
    <w:next w:val="Normal"/>
    <w:semiHidden/>
    <w:rsid w:val="00A934A3"/>
    <w:pPr>
      <w:tabs>
        <w:tab w:val="right" w:leader="dot" w:pos="9071"/>
      </w:tabs>
      <w:ind w:left="1701"/>
    </w:pPr>
  </w:style>
  <w:style w:type="paragraph" w:customStyle="1" w:styleId="ListAlpha">
    <w:name w:val="List Alpha"/>
    <w:basedOn w:val="List"/>
    <w:rsid w:val="00A934A3"/>
    <w:pPr>
      <w:numPr>
        <w:numId w:val="9"/>
      </w:numPr>
    </w:pPr>
  </w:style>
  <w:style w:type="paragraph" w:customStyle="1" w:styleId="ListAlpha2">
    <w:name w:val="List Alpha 2"/>
    <w:basedOn w:val="List2"/>
    <w:rsid w:val="00A934A3"/>
    <w:pPr>
      <w:numPr>
        <w:numId w:val="8"/>
      </w:numPr>
    </w:pPr>
  </w:style>
  <w:style w:type="paragraph" w:styleId="List3">
    <w:name w:val="List 3"/>
    <w:basedOn w:val="BodyText"/>
    <w:rsid w:val="00A934A3"/>
    <w:pPr>
      <w:tabs>
        <w:tab w:val="left" w:pos="1021"/>
      </w:tabs>
      <w:spacing w:before="60" w:after="60"/>
      <w:ind w:left="1020" w:hanging="340"/>
    </w:pPr>
  </w:style>
  <w:style w:type="paragraph" w:styleId="List4">
    <w:name w:val="List 4"/>
    <w:basedOn w:val="BodyText"/>
    <w:rsid w:val="00A934A3"/>
    <w:pPr>
      <w:tabs>
        <w:tab w:val="left" w:pos="1361"/>
      </w:tabs>
      <w:spacing w:before="60" w:after="60"/>
      <w:ind w:left="1361" w:hanging="340"/>
    </w:pPr>
  </w:style>
  <w:style w:type="paragraph" w:styleId="List5">
    <w:name w:val="List 5"/>
    <w:basedOn w:val="BodyText"/>
    <w:rsid w:val="00A934A3"/>
    <w:pPr>
      <w:tabs>
        <w:tab w:val="left" w:pos="1701"/>
      </w:tabs>
      <w:spacing w:before="60" w:after="60"/>
      <w:ind w:left="1701" w:hanging="340"/>
    </w:pPr>
  </w:style>
  <w:style w:type="paragraph" w:styleId="ListBullet3">
    <w:name w:val="List Bullet 3"/>
    <w:basedOn w:val="List3"/>
    <w:rsid w:val="00A934A3"/>
    <w:pPr>
      <w:numPr>
        <w:numId w:val="15"/>
      </w:numPr>
      <w:tabs>
        <w:tab w:val="clear" w:pos="1021"/>
      </w:tabs>
      <w:ind w:left="1037" w:hanging="357"/>
    </w:pPr>
  </w:style>
  <w:style w:type="paragraph" w:styleId="ListBullet4">
    <w:name w:val="List Bullet 4"/>
    <w:basedOn w:val="List4"/>
    <w:rsid w:val="00A934A3"/>
    <w:pPr>
      <w:numPr>
        <w:numId w:val="3"/>
      </w:numPr>
    </w:pPr>
  </w:style>
  <w:style w:type="paragraph" w:styleId="ListBullet5">
    <w:name w:val="List Bullet 5"/>
    <w:basedOn w:val="List5"/>
    <w:rsid w:val="00A934A3"/>
    <w:pPr>
      <w:numPr>
        <w:numId w:val="4"/>
      </w:numPr>
    </w:pPr>
  </w:style>
  <w:style w:type="paragraph" w:styleId="ListContinue2">
    <w:name w:val="List Continue 2"/>
    <w:basedOn w:val="List2"/>
    <w:rsid w:val="00A934A3"/>
    <w:pPr>
      <w:ind w:firstLine="0"/>
    </w:pPr>
  </w:style>
  <w:style w:type="paragraph" w:styleId="ListContinue3">
    <w:name w:val="List Continue 3"/>
    <w:basedOn w:val="List3"/>
    <w:rsid w:val="00A934A3"/>
    <w:pPr>
      <w:ind w:left="1021" w:firstLine="0"/>
    </w:pPr>
  </w:style>
  <w:style w:type="paragraph" w:styleId="ListContinue4">
    <w:name w:val="List Continue 4"/>
    <w:basedOn w:val="List4"/>
    <w:rsid w:val="00A934A3"/>
    <w:pPr>
      <w:ind w:firstLine="0"/>
    </w:pPr>
  </w:style>
  <w:style w:type="paragraph" w:styleId="ListContinue5">
    <w:name w:val="List Continue 5"/>
    <w:basedOn w:val="List5"/>
    <w:rsid w:val="00A934A3"/>
    <w:pPr>
      <w:ind w:firstLine="0"/>
    </w:pPr>
  </w:style>
  <w:style w:type="paragraph" w:styleId="ListNumber3">
    <w:name w:val="List Number 3"/>
    <w:basedOn w:val="List3"/>
    <w:rsid w:val="00A934A3"/>
    <w:pPr>
      <w:numPr>
        <w:numId w:val="5"/>
      </w:numPr>
    </w:pPr>
  </w:style>
  <w:style w:type="paragraph" w:styleId="ListNumber4">
    <w:name w:val="List Number 4"/>
    <w:basedOn w:val="List4"/>
    <w:rsid w:val="00A934A3"/>
    <w:pPr>
      <w:numPr>
        <w:numId w:val="6"/>
      </w:numPr>
    </w:pPr>
  </w:style>
  <w:style w:type="paragraph" w:styleId="ListNumber5">
    <w:name w:val="List Number 5"/>
    <w:basedOn w:val="List5"/>
    <w:rsid w:val="00A934A3"/>
    <w:pPr>
      <w:numPr>
        <w:numId w:val="7"/>
      </w:numPr>
    </w:pPr>
  </w:style>
  <w:style w:type="paragraph" w:styleId="BlockText">
    <w:name w:val="Block Text"/>
    <w:basedOn w:val="Normal"/>
    <w:rsid w:val="00A934A3"/>
    <w:pPr>
      <w:spacing w:after="120"/>
      <w:ind w:left="1440" w:right="1440"/>
    </w:pPr>
  </w:style>
  <w:style w:type="character" w:customStyle="1" w:styleId="Subscript">
    <w:name w:val="Subscript"/>
    <w:basedOn w:val="DefaultParagraphFont"/>
    <w:rsid w:val="00A934A3"/>
    <w:rPr>
      <w:sz w:val="16"/>
      <w:vertAlign w:val="subscript"/>
    </w:rPr>
  </w:style>
  <w:style w:type="character" w:customStyle="1" w:styleId="Superscript">
    <w:name w:val="Superscript"/>
    <w:basedOn w:val="DefaultParagraphFont"/>
    <w:rsid w:val="00A934A3"/>
    <w:rPr>
      <w:sz w:val="16"/>
      <w:vertAlign w:val="superscript"/>
    </w:rPr>
  </w:style>
  <w:style w:type="character" w:customStyle="1" w:styleId="Symbols">
    <w:name w:val="Symbols"/>
    <w:basedOn w:val="DefaultParagraphFont"/>
    <w:rsid w:val="00A934A3"/>
    <w:rPr>
      <w:rFonts w:ascii="Symbol" w:hAnsi="Symbol"/>
    </w:rPr>
  </w:style>
  <w:style w:type="character" w:customStyle="1" w:styleId="MenuOptions">
    <w:name w:val="Menu Options"/>
    <w:basedOn w:val="DefaultParagraphFont"/>
    <w:rsid w:val="00A934A3"/>
    <w:rPr>
      <w:rFonts w:ascii="Arial Narrow" w:hAnsi="Arial Narrow"/>
      <w:smallCaps/>
    </w:rPr>
  </w:style>
  <w:style w:type="character" w:customStyle="1" w:styleId="Buttons">
    <w:name w:val="Buttons"/>
    <w:basedOn w:val="DefaultParagraphFont"/>
    <w:rsid w:val="00A934A3"/>
    <w:rPr>
      <w:b/>
    </w:rPr>
  </w:style>
  <w:style w:type="character" w:customStyle="1" w:styleId="Underlined">
    <w:name w:val="Underlined"/>
    <w:basedOn w:val="DefaultParagraphFont"/>
    <w:rsid w:val="00A934A3"/>
    <w:rPr>
      <w:u w:val="single"/>
    </w:rPr>
  </w:style>
  <w:style w:type="paragraph" w:customStyle="1" w:styleId="TableBodyTextRight">
    <w:name w:val="Table Body Text Right"/>
    <w:basedOn w:val="TableBodyText"/>
    <w:rsid w:val="00A934A3"/>
    <w:pPr>
      <w:widowControl w:val="0"/>
      <w:autoSpaceDE w:val="0"/>
      <w:autoSpaceDN w:val="0"/>
      <w:adjustRightInd w:val="0"/>
      <w:jc w:val="right"/>
    </w:pPr>
    <w:rPr>
      <w:rFonts w:cs="Arial"/>
      <w:szCs w:val="18"/>
    </w:rPr>
  </w:style>
  <w:style w:type="paragraph" w:customStyle="1" w:styleId="CopyrightText">
    <w:name w:val="Copyright Text"/>
    <w:basedOn w:val="BodyText"/>
    <w:rsid w:val="00A934A3"/>
    <w:rPr>
      <w:sz w:val="18"/>
    </w:rPr>
  </w:style>
  <w:style w:type="paragraph" w:customStyle="1" w:styleId="BodySmallRight">
    <w:name w:val="Body Small Right"/>
    <w:basedOn w:val="BodyTextRight"/>
    <w:rsid w:val="00A934A3"/>
    <w:rPr>
      <w:sz w:val="18"/>
      <w:szCs w:val="18"/>
    </w:rPr>
  </w:style>
  <w:style w:type="paragraph" w:customStyle="1" w:styleId="MarginEdition">
    <w:name w:val="Margin Edition"/>
    <w:basedOn w:val="MarginNote"/>
    <w:rsid w:val="00A934A3"/>
    <w:pPr>
      <w:spacing w:before="0" w:after="0"/>
    </w:pPr>
    <w:rPr>
      <w:rFonts w:ascii="Times New Roman" w:hAnsi="Times New Roman"/>
      <w:color w:val="999999"/>
    </w:rPr>
  </w:style>
  <w:style w:type="paragraph" w:customStyle="1" w:styleId="Spacer">
    <w:name w:val="Spacer"/>
    <w:basedOn w:val="Normal"/>
    <w:rsid w:val="00A934A3"/>
    <w:rPr>
      <w:sz w:val="2"/>
      <w:szCs w:val="2"/>
    </w:rPr>
  </w:style>
  <w:style w:type="character" w:customStyle="1" w:styleId="Small">
    <w:name w:val="Small"/>
    <w:basedOn w:val="DefaultParagraphFont"/>
    <w:rsid w:val="00A934A3"/>
    <w:rPr>
      <w:sz w:val="16"/>
    </w:rPr>
  </w:style>
  <w:style w:type="paragraph" w:customStyle="1" w:styleId="WideTable">
    <w:name w:val="Wide Table"/>
    <w:basedOn w:val="Normal"/>
    <w:rsid w:val="00A934A3"/>
    <w:pPr>
      <w:ind w:left="-1418"/>
    </w:pPr>
    <w:rPr>
      <w:sz w:val="2"/>
      <w:szCs w:val="2"/>
    </w:rPr>
  </w:style>
  <w:style w:type="character" w:styleId="PageNumber">
    <w:name w:val="page number"/>
    <w:basedOn w:val="DefaultParagraphFont"/>
    <w:rsid w:val="00A934A3"/>
  </w:style>
  <w:style w:type="paragraph" w:styleId="Quote">
    <w:name w:val="Quote"/>
    <w:basedOn w:val="Heading1"/>
    <w:link w:val="QuoteChar"/>
    <w:qFormat/>
    <w:rsid w:val="00A934A3"/>
    <w:rPr>
      <w:b w:val="0"/>
      <w:sz w:val="72"/>
      <w:szCs w:val="72"/>
      <w:lang w:val="en-NZ"/>
    </w:rPr>
  </w:style>
  <w:style w:type="character" w:customStyle="1" w:styleId="QuoteChar">
    <w:name w:val="Quote Char"/>
    <w:basedOn w:val="DefaultParagraphFont"/>
    <w:link w:val="Quote"/>
    <w:rsid w:val="00A934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34A3"/>
    <w:pPr>
      <w:pageBreakBefore/>
    </w:pPr>
  </w:style>
  <w:style w:type="paragraph" w:customStyle="1" w:styleId="Border">
    <w:name w:val="Border"/>
    <w:basedOn w:val="Normal"/>
    <w:qFormat/>
    <w:rsid w:val="00A934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34A3"/>
    <w:rPr>
      <w:b/>
      <w:bCs/>
      <w:i/>
      <w:iCs/>
      <w:color w:val="auto"/>
    </w:rPr>
  </w:style>
  <w:style w:type="paragraph" w:styleId="IntenseQuote">
    <w:name w:val="Intense Quote"/>
    <w:basedOn w:val="Normal"/>
    <w:next w:val="Normal"/>
    <w:link w:val="IntenseQuoteChar"/>
    <w:uiPriority w:val="30"/>
    <w:qFormat/>
    <w:rsid w:val="00A934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34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34A3"/>
    <w:rPr>
      <w:smallCaps/>
      <w:color w:val="auto"/>
      <w:u w:val="single"/>
    </w:rPr>
  </w:style>
  <w:style w:type="character" w:styleId="IntenseReference">
    <w:name w:val="Intense Reference"/>
    <w:basedOn w:val="DefaultParagraphFont"/>
    <w:uiPriority w:val="32"/>
    <w:qFormat/>
    <w:rsid w:val="00A934A3"/>
    <w:rPr>
      <w:b/>
      <w:bCs/>
      <w:smallCaps/>
      <w:color w:val="auto"/>
      <w:spacing w:val="5"/>
      <w:u w:val="single"/>
    </w:rPr>
  </w:style>
  <w:style w:type="paragraph" w:customStyle="1" w:styleId="2ColumnHeading">
    <w:name w:val="2Column Heading"/>
    <w:basedOn w:val="BodyText"/>
    <w:qFormat/>
    <w:rsid w:val="00A934A3"/>
    <w:pPr>
      <w:spacing w:after="60"/>
      <w:ind w:left="-2268"/>
    </w:pPr>
    <w:rPr>
      <w:b/>
    </w:rPr>
  </w:style>
  <w:style w:type="paragraph" w:customStyle="1" w:styleId="Heading1TOC">
    <w:name w:val="Heading1 TOC"/>
    <w:basedOn w:val="Normal"/>
    <w:qFormat/>
    <w:rsid w:val="00A934A3"/>
    <w:pPr>
      <w:spacing w:before="240" w:after="120"/>
    </w:pPr>
    <w:rPr>
      <w:rFonts w:ascii="Times New Roman" w:hAnsi="Times New Roman"/>
      <w:b/>
      <w:sz w:val="32"/>
    </w:rPr>
  </w:style>
  <w:style w:type="paragraph" w:customStyle="1" w:styleId="Heading2TOC">
    <w:name w:val="Heading2 TOC"/>
    <w:basedOn w:val="Normal"/>
    <w:qFormat/>
    <w:rsid w:val="00A934A3"/>
    <w:pPr>
      <w:spacing w:before="240" w:after="60"/>
    </w:pPr>
    <w:rPr>
      <w:rFonts w:ascii="Times New Roman" w:hAnsi="Times New Roman"/>
      <w:b/>
      <w:sz w:val="28"/>
    </w:rPr>
  </w:style>
  <w:style w:type="character" w:customStyle="1" w:styleId="Underline">
    <w:name w:val="Underline"/>
    <w:basedOn w:val="DefaultParagraphFont"/>
    <w:qFormat/>
    <w:rsid w:val="00A934A3"/>
    <w:rPr>
      <w:u w:val="single"/>
    </w:rPr>
  </w:style>
  <w:style w:type="paragraph" w:styleId="BalloonText">
    <w:name w:val="Balloon Text"/>
    <w:basedOn w:val="Normal"/>
    <w:link w:val="BalloonTextChar"/>
    <w:rsid w:val="00A934A3"/>
    <w:rPr>
      <w:rFonts w:ascii="Tahoma" w:hAnsi="Tahoma" w:cs="Tahoma"/>
      <w:sz w:val="16"/>
      <w:szCs w:val="16"/>
    </w:rPr>
  </w:style>
  <w:style w:type="character" w:customStyle="1" w:styleId="BalloonTextChar">
    <w:name w:val="Balloon Text Char"/>
    <w:basedOn w:val="DefaultParagraphFont"/>
    <w:link w:val="BalloonText"/>
    <w:rsid w:val="00A934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34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34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34A3"/>
    <w:rPr>
      <w:b/>
      <w:color w:val="660033"/>
      <w:spacing w:val="0"/>
    </w:rPr>
  </w:style>
  <w:style w:type="paragraph" w:customStyle="1" w:styleId="Nameditemlist">
    <w:name w:val="Named item list"/>
    <w:basedOn w:val="BodyText"/>
    <w:qFormat/>
    <w:rsid w:val="00A934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1263</Words>
  <Characters>7625</Characters>
  <Application>Microsoft Office Word</Application>
  <DocSecurity>0</DocSecurity>
  <Lines>288</Lines>
  <Paragraphs>134</Paragraphs>
  <ScaleCrop>false</ScaleCrop>
  <Company>Author-it Software Corporation Ltd.</Company>
  <LinksUpToDate>false</LinksUpToDate>
  <CharactersWithSpaces>8813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FNSFLT502A Facilitate customer awareness of the Australian financial system and markets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2012-10-05T13:56:00Z</dcterms:created>
  <dcterms:modified xsi:type="dcterms:W3CDTF">2012-10-05T13:56:00Z</dcterms:modified>
</cp:coreProperties>
</file>