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013" w:rsidP="00403013">
      <w:pPr>
        <w:pStyle w:val="Title"/>
      </w:pPr>
      <w:r>
        <w:fldChar w:fldCharType="begin"/>
      </w:r>
      <w:r>
        <w:instrText xml:space="preserve"> TITLE   \* MERGEFORMAT </w:instrText>
      </w:r>
      <w:r>
        <w:fldChar w:fldCharType="separate"/>
      </w:r>
      <w:r>
        <w:t>FNSFLT206A Develop understanding of taxation</w:t>
      </w:r>
      <w:r>
        <w:fldChar w:fldCharType="end"/>
      </w:r>
    </w:p>
    <w:p w:rsidR="00403013" w:rsidP="00403013">
      <w:pPr>
        <w:pStyle w:val="Version"/>
        <w:sectPr w:rsidSect="003D1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1216" w:rsidP="003D1216">
      <w:pPr>
        <w:pStyle w:val="SuperHeading"/>
      </w:pPr>
      <w:r w:rsidRPr="003D1216">
        <w:t>FNSFLT206A Develop understanding of taxation</w:t>
      </w:r>
    </w:p>
    <w:p w:rsidR="00000000" w:rsidRPr="003D1216" w:rsidP="003D1216">
      <w:pPr>
        <w:pStyle w:val="SuperHeading"/>
      </w:pPr>
    </w:p>
    <w:p w:rsidR="00000000" w:rsidRPr="003D1216" w:rsidP="003D1216">
      <w:pPr>
        <w:pStyle w:val="Heading1"/>
      </w:pPr>
      <w:bookmarkStart w:id="1" w:name="O_78171"/>
      <w:bookmarkEnd w:id="1"/>
      <w:r w:rsidRPr="003D1216">
        <w:t>Modification History</w:t>
      </w:r>
    </w:p>
    <w:p w:rsidR="00000000" w:rsidRPr="003D1216" w:rsidP="003D1216">
      <w:pPr>
        <w:pStyle w:val="BodyText"/>
      </w:pPr>
      <w:r w:rsidRPr="003D1216">
        <w:t>Not applicable.</w:t>
      </w:r>
    </w:p>
    <w:p w:rsidR="00000000" w:rsidRPr="003D1216" w:rsidP="003D1216">
      <w:pPr>
        <w:pStyle w:val="AllowPageBreak"/>
      </w:pPr>
    </w:p>
    <w:p w:rsidR="00000000" w:rsidRPr="003D1216" w:rsidP="003D1216">
      <w:pPr>
        <w:pStyle w:val="Heading1"/>
      </w:pPr>
      <w:bookmarkStart w:id="2" w:name="O_78172"/>
      <w:bookmarkEnd w:id="2"/>
      <w:r w:rsidRPr="003D1216">
        <w:t>Unit Descriptor</w:t>
      </w:r>
    </w:p>
    <w:tbl>
      <w:tblPr>
        <w:tblW w:w="0" w:type="auto"/>
        <w:tblLayout w:type="fixed"/>
        <w:tblCellMar>
          <w:left w:w="62" w:type="dxa"/>
          <w:right w:w="62" w:type="dxa"/>
        </w:tblCellMar>
        <w:tblLook w:val="0000"/>
      </w:tblPr>
      <w:tblGrid>
        <w:gridCol w:w="2646"/>
        <w:gridCol w:w="5876"/>
      </w:tblGrid>
      <w:tr w:rsidTr="00403013">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This unit describes the performance outcomes, skills and knowledge required to understand the role of taxati</w:t>
            </w:r>
            <w:r w:rsidRPr="003D1216">
              <w:t>on in the Australian economy, including why and how tax is levied and collected, types of taxes paid by business and individuals and its impact on investment choices.</w:t>
            </w:r>
          </w:p>
          <w:p w:rsidR="00000000" w:rsidRPr="003D1216" w:rsidP="003D1216">
            <w:pPr>
              <w:pStyle w:val="BodyText"/>
            </w:pPr>
          </w:p>
          <w:p w:rsidR="00000000" w:rsidRPr="003D1216" w:rsidP="003D1216">
            <w:pPr>
              <w:pStyle w:val="BodyText"/>
            </w:pPr>
            <w:r w:rsidRPr="003D1216">
              <w:t>No licensing, legislative, regulatory or certification requirements apply to this unit a</w:t>
            </w:r>
            <w:r w:rsidRPr="003D1216">
              <w:t>t the time of endorsement.</w:t>
            </w: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3" w:name="O_78173"/>
      <w:bookmarkEnd w:id="3"/>
      <w:r w:rsidRPr="003D1216">
        <w:t>Application of the Unit</w:t>
      </w:r>
    </w:p>
    <w:tbl>
      <w:tblPr>
        <w:tblW w:w="0" w:type="auto"/>
        <w:tblLayout w:type="fixed"/>
        <w:tblCellMar>
          <w:left w:w="62" w:type="dxa"/>
          <w:right w:w="62" w:type="dxa"/>
        </w:tblCellMar>
        <w:tblLook w:val="0000"/>
      </w:tblPr>
      <w:tblGrid>
        <w:gridCol w:w="2719"/>
        <w:gridCol w:w="5803"/>
      </w:tblGrid>
      <w:tr w:rsidTr="0040301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 xml:space="preserve">This unit has wide application and may be used in workplaces, schools, adult and community learning organisations or Registered Training Organisations </w:t>
            </w:r>
            <w:r w:rsidRPr="003D1216">
              <w:t>(RTOs) in order to build the financial literacy of learners. The unit may also be used as part of pre-vocational or new apprenticeship programs or as part of services provided by counselling or advisory organisations.</w:t>
            </w: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4" w:name="O_78174"/>
      <w:bookmarkEnd w:id="4"/>
      <w:r w:rsidRPr="003D1216">
        <w:t xml:space="preserve">Licensing/Regulatory </w:t>
      </w:r>
      <w:r w:rsidRPr="003D1216">
        <w:t>Information</w:t>
      </w:r>
    </w:p>
    <w:p w:rsidR="00000000" w:rsidRPr="003D1216" w:rsidP="003D1216">
      <w:pPr>
        <w:pStyle w:val="BodyText"/>
      </w:pPr>
      <w:r w:rsidRPr="003D1216">
        <w:t>Not applicable.</w:t>
      </w:r>
    </w:p>
    <w:p w:rsidR="00000000" w:rsidRPr="003D1216" w:rsidP="003D1216">
      <w:pPr>
        <w:pStyle w:val="AllowPageBreak"/>
      </w:pPr>
    </w:p>
    <w:p w:rsidR="00000000" w:rsidRPr="003D1216" w:rsidP="003D1216">
      <w:pPr>
        <w:pStyle w:val="Heading1"/>
      </w:pPr>
      <w:bookmarkStart w:id="5" w:name="O_78176"/>
      <w:bookmarkEnd w:id="5"/>
      <w:r w:rsidRPr="003D1216">
        <w:t>Pre-Requisites</w:t>
      </w:r>
    </w:p>
    <w:tbl>
      <w:tblPr>
        <w:tblW w:w="0" w:type="auto"/>
        <w:tblLayout w:type="fixed"/>
        <w:tblCellMar>
          <w:left w:w="62" w:type="dxa"/>
          <w:right w:w="62" w:type="dxa"/>
        </w:tblCellMar>
        <w:tblLook w:val="0000"/>
      </w:tblPr>
      <w:tblGrid>
        <w:gridCol w:w="2745"/>
        <w:gridCol w:w="1301"/>
        <w:gridCol w:w="4476"/>
      </w:tblGrid>
      <w:tr w:rsidTr="0040301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p>
        </w:tc>
      </w:tr>
      <w:tr w:rsidTr="0040301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p>
        </w:tc>
      </w:tr>
      <w:tr w:rsidTr="0040301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6" w:name="O_78175"/>
      <w:bookmarkEnd w:id="6"/>
      <w:r w:rsidRPr="003D1216">
        <w:t>Employability Skills Information</w:t>
      </w:r>
    </w:p>
    <w:tbl>
      <w:tblPr>
        <w:tblW w:w="0" w:type="auto"/>
        <w:tblLayout w:type="fixed"/>
        <w:tblCellMar>
          <w:left w:w="62" w:type="dxa"/>
          <w:right w:w="62" w:type="dxa"/>
        </w:tblCellMar>
        <w:tblLook w:val="0000"/>
      </w:tblPr>
      <w:tblGrid>
        <w:gridCol w:w="2762"/>
        <w:gridCol w:w="5760"/>
      </w:tblGrid>
      <w:tr w:rsidTr="0040301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This unit contains employability skills.</w:t>
            </w: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7" w:name="O_78177"/>
      <w:bookmarkEnd w:id="7"/>
      <w:r w:rsidRPr="003D1216">
        <w:t>Elements and Performance Criteria Pre-Content</w:t>
      </w:r>
    </w:p>
    <w:tbl>
      <w:tblPr>
        <w:tblW w:w="0" w:type="auto"/>
        <w:tblLayout w:type="fixed"/>
        <w:tblCellMar>
          <w:left w:w="62" w:type="dxa"/>
          <w:right w:w="62" w:type="dxa"/>
        </w:tblCellMar>
        <w:tblLook w:val="0000"/>
      </w:tblPr>
      <w:tblGrid>
        <w:gridCol w:w="2555"/>
        <w:gridCol w:w="5967"/>
      </w:tblGrid>
      <w:tr w:rsidTr="0040301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Performance criteria describe the performance needed to demonstrate achievement of the element. Where bold italicised text is used, further info</w:t>
            </w:r>
            <w:r w:rsidRPr="003D1216">
              <w:t>rmation is detailed in the required skills and knowledge section and the range statement. Assessment of performance is to be consistent with the evidence guide.</w:t>
            </w: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8" w:name="O_78178"/>
      <w:bookmarkEnd w:id="8"/>
      <w:r w:rsidRPr="003D1216">
        <w:t>Elements and Performance Criteria</w:t>
      </w:r>
    </w:p>
    <w:tbl>
      <w:tblPr>
        <w:tblW w:w="0" w:type="auto"/>
        <w:tblLayout w:type="fixed"/>
        <w:tblCellMar>
          <w:left w:w="62" w:type="dxa"/>
          <w:right w:w="62" w:type="dxa"/>
        </w:tblCellMar>
        <w:tblLook w:val="0000"/>
      </w:tblPr>
      <w:tblGrid>
        <w:gridCol w:w="2555"/>
        <w:gridCol w:w="5967"/>
      </w:tblGrid>
      <w:tr w:rsidTr="00403013">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PERFORMANCE CRITERIA</w:t>
            </w:r>
          </w:p>
        </w:tc>
      </w:tr>
      <w:tr w:rsidTr="0040301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List"/>
              <w:rPr>
                <w:lang w:val="en-NZ"/>
              </w:rPr>
            </w:pPr>
            <w:r w:rsidRPr="003D1216">
              <w:t>1.</w:t>
            </w:r>
            <w:r w:rsidRPr="003D1216">
              <w:tab/>
            </w:r>
            <w:r w:rsidRPr="003D1216">
              <w:t>Identify and discuss the role of taxation in the Australian economy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2"/>
            </w:pPr>
            <w:r w:rsidRPr="003D1216">
              <w:t>1.1.</w:t>
            </w:r>
            <w:r w:rsidRPr="003D1216">
              <w:tab/>
              <w:t xml:space="preserve">The </w:t>
            </w:r>
            <w:r w:rsidRPr="003D1216">
              <w:rPr>
                <w:rStyle w:val="BoldandItalics"/>
              </w:rPr>
              <w:t>purpose of taxation</w:t>
            </w:r>
            <w:r w:rsidRPr="003D1216">
              <w:t xml:space="preserve"> in the Australian economy at the local, State and federal level and how this compares with other countries is explored and discussed</w:t>
            </w:r>
          </w:p>
          <w:p w:rsidR="00000000" w:rsidRPr="003D1216" w:rsidP="003D1216">
            <w:pPr>
              <w:pStyle w:val="List2"/>
            </w:pPr>
            <w:r w:rsidRPr="003D1216">
              <w:t>1.2.</w:t>
            </w:r>
            <w:r w:rsidRPr="003D1216">
              <w:tab/>
              <w:t>The various ways that</w:t>
            </w:r>
            <w:r w:rsidRPr="003D1216">
              <w:t xml:space="preserve"> </w:t>
            </w:r>
            <w:r w:rsidRPr="003D1216">
              <w:rPr>
                <w:rStyle w:val="BoldandItalics"/>
              </w:rPr>
              <w:t>tax is collected</w:t>
            </w:r>
            <w:r w:rsidRPr="003D1216">
              <w:t xml:space="preserve"> and from who is analysed and discussed</w:t>
            </w:r>
          </w:p>
          <w:p w:rsidR="00000000" w:rsidRPr="003D1216" w:rsidP="003D1216">
            <w:pPr>
              <w:pStyle w:val="List2"/>
            </w:pPr>
            <w:r w:rsidRPr="003D1216">
              <w:t>1.3.</w:t>
            </w:r>
            <w:r w:rsidRPr="003D1216">
              <w:tab/>
              <w:t xml:space="preserve">The role of the </w:t>
            </w:r>
            <w:r w:rsidRPr="003D1216">
              <w:rPr>
                <w:rStyle w:val="BoldandItalics"/>
              </w:rPr>
              <w:t>Australian Taxation Office</w:t>
            </w:r>
            <w:r w:rsidRPr="003D1216">
              <w:t xml:space="preserve"> (</w:t>
            </w:r>
            <w:r w:rsidRPr="003D1216">
              <w:rPr>
                <w:rStyle w:val="BoldandItalics"/>
              </w:rPr>
              <w:t>ATO</w:t>
            </w:r>
            <w:r w:rsidRPr="003D1216">
              <w:t>) is identified and discussed</w:t>
            </w:r>
          </w:p>
          <w:p w:rsidR="00000000" w:rsidP="003D1216">
            <w:pPr>
              <w:pStyle w:val="List2"/>
              <w:rPr>
                <w:lang w:val="en-NZ"/>
              </w:rPr>
            </w:pPr>
            <w:r w:rsidRPr="003D1216">
              <w:t>1.4.</w:t>
            </w:r>
            <w:r w:rsidRPr="003D1216">
              <w:tab/>
              <w:t xml:space="preserve">What </w:t>
            </w:r>
            <w:r w:rsidRPr="003D1216">
              <w:rPr>
                <w:rStyle w:val="BoldandItalics"/>
              </w:rPr>
              <w:t>taxation revenue</w:t>
            </w:r>
            <w:r w:rsidRPr="003D1216">
              <w:t xml:space="preserve"> is used for is explained and related to the wellbeing and lifestyle of Australian citizens</w:t>
            </w:r>
          </w:p>
        </w:tc>
      </w:tr>
      <w:tr w:rsidTr="0040301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List"/>
              <w:rPr>
                <w:lang w:val="en-NZ"/>
              </w:rPr>
            </w:pPr>
            <w:r w:rsidRPr="003D1216">
              <w:t>2.</w:t>
            </w:r>
            <w:r w:rsidRPr="003D1216">
              <w:tab/>
              <w:t>Identify and discuss personal tax</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2"/>
            </w:pPr>
            <w:r w:rsidRPr="003D1216">
              <w:t>2.1.</w:t>
            </w:r>
            <w:r w:rsidRPr="003D1216">
              <w:tab/>
              <w:t xml:space="preserve">Key </w:t>
            </w:r>
            <w:r w:rsidRPr="003D1216">
              <w:rPr>
                <w:rStyle w:val="BoldandItalics"/>
              </w:rPr>
              <w:t>terminology</w:t>
            </w:r>
            <w:r w:rsidRPr="003D1216">
              <w:t xml:space="preserve"> used in personal taxation is identified and discussed</w:t>
            </w:r>
          </w:p>
          <w:p w:rsidR="00000000" w:rsidRPr="003D1216" w:rsidP="003D1216">
            <w:pPr>
              <w:pStyle w:val="List2"/>
            </w:pPr>
            <w:r w:rsidRPr="003D1216">
              <w:t>2.2.</w:t>
            </w:r>
            <w:r w:rsidRPr="003D1216">
              <w:tab/>
              <w:t xml:space="preserve">Tax declaration forms, Tax File Number (TFN) requirements and </w:t>
            </w:r>
            <w:r w:rsidRPr="003D1216">
              <w:rPr>
                <w:rStyle w:val="BoldandItalics"/>
              </w:rPr>
              <w:t>rates of personal tax</w:t>
            </w:r>
            <w:r w:rsidRPr="003D1216">
              <w:t xml:space="preserve"> are identified and analysed </w:t>
            </w:r>
          </w:p>
          <w:p w:rsidR="00000000" w:rsidRPr="003D1216" w:rsidP="003D1216">
            <w:pPr>
              <w:pStyle w:val="List2"/>
            </w:pPr>
            <w:r w:rsidRPr="003D1216">
              <w:t>2.3.</w:t>
            </w:r>
            <w:r w:rsidRPr="003D1216">
              <w:tab/>
              <w:t>How personal tax is</w:t>
            </w:r>
            <w:r w:rsidRPr="003D1216">
              <w:t xml:space="preserve"> assessed, </w:t>
            </w:r>
            <w:r w:rsidRPr="003D1216">
              <w:rPr>
                <w:rStyle w:val="BoldandItalics"/>
              </w:rPr>
              <w:t>tax returns</w:t>
            </w:r>
            <w:r w:rsidRPr="003D1216">
              <w:t xml:space="preserve"> completed and paid is considered and discussed</w:t>
            </w:r>
          </w:p>
          <w:p w:rsidR="00000000" w:rsidP="003D1216">
            <w:pPr>
              <w:pStyle w:val="List2"/>
              <w:rPr>
                <w:lang w:val="en-NZ"/>
              </w:rPr>
            </w:pPr>
            <w:r w:rsidRPr="003D1216">
              <w:t>2.4.</w:t>
            </w:r>
            <w:r w:rsidRPr="003D1216">
              <w:tab/>
            </w:r>
            <w:r w:rsidRPr="003D1216">
              <w:rPr>
                <w:rStyle w:val="BoldandItalics"/>
              </w:rPr>
              <w:t>Sources of ongoing information</w:t>
            </w:r>
            <w:r w:rsidRPr="003D1216">
              <w:t xml:space="preserve"> about personal tax in Australia are identified, accessed and discussed</w:t>
            </w:r>
          </w:p>
        </w:tc>
      </w:tr>
      <w:tr w:rsidTr="0040301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List"/>
              <w:rPr>
                <w:lang w:val="en-NZ"/>
              </w:rPr>
            </w:pPr>
            <w:r w:rsidRPr="003D1216">
              <w:t>3.</w:t>
            </w:r>
            <w:r w:rsidRPr="003D1216">
              <w:tab/>
              <w:t>Identify and discuss business tax</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2"/>
            </w:pPr>
            <w:r w:rsidRPr="003D1216">
              <w:t>3.1.</w:t>
            </w:r>
            <w:r w:rsidRPr="003D1216">
              <w:tab/>
              <w:t>Key terminology used in business tax</w:t>
            </w:r>
            <w:r w:rsidRPr="003D1216">
              <w:t>ation is identified and discussed</w:t>
            </w:r>
          </w:p>
          <w:p w:rsidR="00000000" w:rsidRPr="003D1216" w:rsidP="003D1216">
            <w:pPr>
              <w:pStyle w:val="List2"/>
            </w:pPr>
            <w:r w:rsidRPr="003D1216">
              <w:t>3.2.</w:t>
            </w:r>
            <w:r w:rsidRPr="003D1216">
              <w:tab/>
              <w:t xml:space="preserve">The </w:t>
            </w:r>
            <w:r w:rsidRPr="003D1216">
              <w:rPr>
                <w:rStyle w:val="BoldandItalics"/>
              </w:rPr>
              <w:t>structure of business</w:t>
            </w:r>
            <w:r w:rsidRPr="003D1216">
              <w:t xml:space="preserve"> and how this affects taxation is analysed and discussed</w:t>
            </w:r>
          </w:p>
          <w:p w:rsidR="00000000" w:rsidRPr="003D1216" w:rsidP="003D1216">
            <w:pPr>
              <w:pStyle w:val="List2"/>
            </w:pPr>
            <w:r w:rsidRPr="003D1216">
              <w:t>3.3.</w:t>
            </w:r>
            <w:r w:rsidRPr="003D1216">
              <w:tab/>
              <w:t xml:space="preserve">How </w:t>
            </w:r>
            <w:r w:rsidRPr="003D1216">
              <w:rPr>
                <w:rStyle w:val="BoldandItalics"/>
              </w:rPr>
              <w:t>business tax is assessed</w:t>
            </w:r>
            <w:r w:rsidRPr="003D1216">
              <w:t xml:space="preserve"> and paid is considered and discussed</w:t>
            </w:r>
          </w:p>
          <w:p w:rsidR="00000000" w:rsidRPr="003D1216" w:rsidP="003D1216">
            <w:pPr>
              <w:pStyle w:val="List2"/>
            </w:pPr>
            <w:r w:rsidRPr="003D1216">
              <w:t>3.4.</w:t>
            </w:r>
            <w:r w:rsidRPr="003D1216">
              <w:tab/>
            </w:r>
            <w:r w:rsidRPr="003D1216">
              <w:t>How superannuation contributions for employees are assessed and paid is considered and discussed</w:t>
            </w:r>
          </w:p>
          <w:p w:rsidR="00000000" w:rsidP="003D1216">
            <w:pPr>
              <w:pStyle w:val="List2"/>
              <w:rPr>
                <w:lang w:val="en-NZ"/>
              </w:rPr>
            </w:pPr>
            <w:r w:rsidRPr="003D1216">
              <w:t>3.5.</w:t>
            </w:r>
            <w:r w:rsidRPr="003D1216">
              <w:tab/>
              <w:t>Sources of ongoing information about business tax in Australia are identified, accessed and discussed</w:t>
            </w:r>
          </w:p>
        </w:tc>
      </w:tr>
      <w:tr w:rsidTr="0040301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List"/>
              <w:rPr>
                <w:lang w:val="en-NZ"/>
              </w:rPr>
            </w:pPr>
            <w:r w:rsidRPr="003D1216">
              <w:t>4.</w:t>
            </w:r>
            <w:r w:rsidRPr="003D1216">
              <w:tab/>
              <w:t>Manage tax liability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2"/>
            </w:pPr>
            <w:r w:rsidRPr="003D1216">
              <w:t>4.1.</w:t>
            </w:r>
            <w:r w:rsidRPr="003D1216">
              <w:tab/>
              <w:t xml:space="preserve">How </w:t>
            </w:r>
            <w:r w:rsidRPr="003D1216">
              <w:rPr>
                <w:rStyle w:val="BoldandItalics"/>
              </w:rPr>
              <w:t>individuals</w:t>
            </w:r>
            <w:r w:rsidRPr="003D1216">
              <w:t xml:space="preserve"> </w:t>
            </w:r>
            <w:r w:rsidRPr="003D1216">
              <w:rPr>
                <w:rStyle w:val="BoldandItalics"/>
              </w:rPr>
              <w:t>can de</w:t>
            </w:r>
            <w:r w:rsidRPr="003D1216">
              <w:rPr>
                <w:rStyle w:val="BoldandItalics"/>
              </w:rPr>
              <w:t>termine their tax liability</w:t>
            </w:r>
            <w:r w:rsidRPr="003D1216">
              <w:t xml:space="preserve"> is identified and discussed</w:t>
            </w:r>
          </w:p>
          <w:p w:rsidR="00000000" w:rsidRPr="003D1216" w:rsidP="003D1216">
            <w:pPr>
              <w:pStyle w:val="List2"/>
            </w:pPr>
            <w:r w:rsidRPr="003D1216">
              <w:t>4.2.</w:t>
            </w:r>
            <w:r w:rsidRPr="003D1216">
              <w:tab/>
              <w:t xml:space="preserve">How </w:t>
            </w:r>
            <w:r w:rsidRPr="003D1216">
              <w:rPr>
                <w:rStyle w:val="BoldandItalics"/>
              </w:rPr>
              <w:t>small business operators</w:t>
            </w:r>
            <w:r w:rsidRPr="003D1216">
              <w:t xml:space="preserve"> </w:t>
            </w:r>
            <w:r w:rsidRPr="003D1216">
              <w:rPr>
                <w:rStyle w:val="BoldandItalics"/>
              </w:rPr>
              <w:t>pay tax</w:t>
            </w:r>
            <w:r w:rsidRPr="003D1216">
              <w:t xml:space="preserve"> is identified and discussed</w:t>
            </w:r>
          </w:p>
          <w:p w:rsidR="00000000" w:rsidRPr="003D1216" w:rsidP="003D1216">
            <w:pPr>
              <w:pStyle w:val="List2"/>
            </w:pPr>
            <w:r w:rsidRPr="003D1216">
              <w:t>4.3.</w:t>
            </w:r>
            <w:r w:rsidRPr="003D1216">
              <w:tab/>
            </w:r>
            <w:r w:rsidRPr="003D1216">
              <w:rPr>
                <w:rStyle w:val="BoldandItalics"/>
              </w:rPr>
              <w:t>Under or overpayment of tax</w:t>
            </w:r>
            <w:r w:rsidRPr="003D1216">
              <w:t xml:space="preserve"> and its implications is analysed and discussed</w:t>
            </w: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9" w:name="O_78179"/>
      <w:bookmarkEnd w:id="9"/>
      <w:r w:rsidRPr="003D1216">
        <w:t>Required Skills and Knowledge</w:t>
      </w:r>
    </w:p>
    <w:tbl>
      <w:tblPr>
        <w:tblW w:w="0" w:type="auto"/>
        <w:tblLayout w:type="fixed"/>
        <w:tblCellMar>
          <w:left w:w="62" w:type="dxa"/>
          <w:right w:w="62" w:type="dxa"/>
        </w:tblCellMar>
        <w:tblLook w:val="0000"/>
      </w:tblPr>
      <w:tblGrid>
        <w:gridCol w:w="8522"/>
      </w:tblGrid>
      <w:tr w:rsidTr="004030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REQ</w:t>
            </w:r>
            <w:r w:rsidRPr="003D1216">
              <w:rPr>
                <w:rStyle w:val="SpecialBold"/>
              </w:rPr>
              <w:t>UIRED SKILLS AND KNOWLEDGE</w:t>
            </w:r>
          </w:p>
        </w:tc>
      </w:tr>
      <w:tr w:rsidTr="004030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This section describes the skills and knowledge required for this unit.</w:t>
            </w:r>
          </w:p>
        </w:tc>
      </w:tr>
      <w:tr w:rsidTr="00403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Required skills</w:t>
            </w:r>
          </w:p>
        </w:tc>
      </w:tr>
      <w:tr w:rsidTr="00403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communication skills to:</w:t>
            </w:r>
          </w:p>
          <w:p w:rsidR="00000000" w:rsidRPr="003D1216" w:rsidP="003D1216">
            <w:pPr>
              <w:pStyle w:val="ListBullet2"/>
            </w:pPr>
            <w:r w:rsidRPr="003D1216">
              <w:t xml:space="preserve">determine and confirm taxation purpose, application and individual and business responsibilities, </w:t>
            </w:r>
            <w:r w:rsidRPr="003D1216">
              <w:t>using questioning and active listening as required</w:t>
            </w:r>
          </w:p>
          <w:p w:rsidR="00000000" w:rsidRPr="003D1216" w:rsidP="003D1216">
            <w:pPr>
              <w:pStyle w:val="ListBullet2"/>
            </w:pPr>
            <w:r w:rsidRPr="003D1216">
              <w:t>share information, listen and understand</w:t>
            </w:r>
          </w:p>
          <w:p w:rsidR="00000000" w:rsidRPr="003D1216" w:rsidP="003D1216">
            <w:pPr>
              <w:pStyle w:val="ListBullet2"/>
            </w:pPr>
            <w:r w:rsidRPr="003D1216">
              <w:t>use language and concepts appropriate to cultural differences</w:t>
            </w:r>
          </w:p>
          <w:p w:rsidR="00000000" w:rsidRPr="003D1216" w:rsidP="003D1216">
            <w:pPr>
              <w:pStyle w:val="ListBullet"/>
            </w:pPr>
            <w:r w:rsidRPr="003D1216">
              <w:t>numeracy and IT skills to:</w:t>
            </w:r>
          </w:p>
          <w:p w:rsidR="00000000" w:rsidRPr="003D1216" w:rsidP="003D1216">
            <w:pPr>
              <w:pStyle w:val="ListBullet2"/>
            </w:pPr>
            <w:r w:rsidRPr="003D1216">
              <w:t>make basic personal income tax calculations</w:t>
            </w:r>
          </w:p>
          <w:p w:rsidR="00000000" w:rsidRPr="003D1216" w:rsidP="003D1216">
            <w:pPr>
              <w:pStyle w:val="ListBullet2"/>
            </w:pPr>
            <w:r w:rsidRPr="003D1216">
              <w:t>use a calculator</w:t>
            </w:r>
          </w:p>
          <w:p w:rsidR="00000000" w:rsidRPr="003D1216" w:rsidP="003D1216">
            <w:pPr>
              <w:pStyle w:val="ListBullet2"/>
            </w:pPr>
            <w:r w:rsidRPr="003D1216">
              <w:t>use internet</w:t>
            </w:r>
            <w:r w:rsidRPr="003D1216">
              <w:t xml:space="preserve"> information</w:t>
            </w:r>
          </w:p>
          <w:p w:rsidR="00000000" w:rsidRPr="003D1216" w:rsidP="003D1216">
            <w:pPr>
              <w:pStyle w:val="ListBullet"/>
            </w:pPr>
            <w:r w:rsidRPr="003D1216">
              <w:t>literacy skills to read and interpret information from a variety of sources</w:t>
            </w:r>
          </w:p>
          <w:p w:rsidR="00000000" w:rsidRPr="003D1216" w:rsidP="003D1216">
            <w:pPr>
              <w:pStyle w:val="ListBullet"/>
            </w:pPr>
            <w:r w:rsidRPr="003D1216">
              <w:t>research and analysis for accessing, interpreting and managing information and determining where to find professional financial services</w:t>
            </w:r>
          </w:p>
          <w:p w:rsidR="00000000" w:rsidP="003D1216">
            <w:pPr>
              <w:pStyle w:val="ListBullet"/>
              <w:rPr>
                <w:lang w:val="en-NZ"/>
              </w:rPr>
            </w:pPr>
            <w:r w:rsidRPr="003D1216">
              <w:t>learning skills to maintain k</w:t>
            </w:r>
            <w:r w:rsidRPr="003D1216">
              <w:t>nowledge of taxation issues and requirements</w:t>
            </w:r>
          </w:p>
        </w:tc>
      </w:tr>
      <w:tr w:rsidTr="00403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Required knowledge</w:t>
            </w:r>
          </w:p>
        </w:tc>
      </w:tr>
      <w:tr w:rsidTr="004030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relevant government legislation relating to taxation</w:t>
            </w:r>
          </w:p>
          <w:p w:rsidR="00000000" w:rsidRPr="003D1216" w:rsidP="003D1216">
            <w:pPr>
              <w:pStyle w:val="ListBullet"/>
            </w:pPr>
            <w:r w:rsidRPr="003D1216">
              <w:t>roles and relationships between government agencies responsible for taxation, individuals and business</w:t>
            </w:r>
          </w:p>
          <w:p w:rsidR="00000000" w:rsidRPr="003D1216" w:rsidP="003D1216">
            <w:pPr>
              <w:pStyle w:val="ListBullet"/>
            </w:pPr>
            <w:r w:rsidRPr="003D1216">
              <w:t>sound knowledge of issues relating to taxation information</w:t>
            </w: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10" w:name="O_78180"/>
      <w:bookmarkEnd w:id="10"/>
      <w:r w:rsidRPr="003D1216">
        <w:t>Evidence Guide</w:t>
      </w:r>
    </w:p>
    <w:tbl>
      <w:tblPr>
        <w:tblW w:w="9570" w:type="dxa"/>
        <w:tblLayout w:type="fixed"/>
        <w:tblCellMar>
          <w:left w:w="62" w:type="dxa"/>
          <w:right w:w="62" w:type="dxa"/>
        </w:tblCellMar>
        <w:tblLook w:val="0000"/>
      </w:tblPr>
      <w:tblGrid>
        <w:gridCol w:w="2808"/>
        <w:gridCol w:w="6762"/>
      </w:tblGrid>
      <w:tr w:rsidTr="004030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EVIDENCE GUIDE</w:t>
            </w:r>
          </w:p>
        </w:tc>
      </w:tr>
      <w:tr w:rsidTr="004030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 xml:space="preserve">The Evidence Guide provides advice on assessment and must be read in conjunction with the performance criteria, required skills and knowledge, </w:t>
            </w:r>
            <w:r w:rsidRPr="003D1216">
              <w:t>range statement and the Assessment Guidelines for the Training Package.</w:t>
            </w:r>
          </w:p>
        </w:tc>
      </w:tr>
      <w:tr w:rsidTr="004030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p>
        </w:tc>
      </w:tr>
      <w:tr w:rsidTr="004030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Evidence of the ability to:</w:t>
            </w:r>
          </w:p>
          <w:p w:rsidR="00000000" w:rsidRPr="003D1216" w:rsidP="003D1216">
            <w:pPr>
              <w:pStyle w:val="ListBullet"/>
            </w:pPr>
            <w:r w:rsidRPr="003D1216">
              <w:t>analyse and clearly explain the rol</w:t>
            </w:r>
            <w:r w:rsidRPr="003D1216">
              <w:t>e of taxation for individuals and small business in Australia</w:t>
            </w:r>
          </w:p>
          <w:p w:rsidR="00000000" w:rsidRPr="003D1216" w:rsidP="003D1216">
            <w:pPr>
              <w:pStyle w:val="ListBullet"/>
            </w:pPr>
            <w:r w:rsidRPr="003D1216">
              <w:t>analyse and critically evaluate taxation responsibilities and their impact on personal financial management</w:t>
            </w:r>
          </w:p>
          <w:p w:rsidR="00000000" w:rsidP="003D1216">
            <w:pPr>
              <w:pStyle w:val="ListBullet"/>
              <w:rPr>
                <w:lang w:val="en-NZ"/>
              </w:rPr>
            </w:pPr>
            <w:r w:rsidRPr="003D1216">
              <w:t>understand and apply the skills necessary to actively monitor and assess taxation liabilities.</w:t>
            </w:r>
          </w:p>
        </w:tc>
      </w:tr>
      <w:tr w:rsidTr="004030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Assessment must ensure:</w:t>
            </w:r>
          </w:p>
          <w:p w:rsidR="00000000" w:rsidRPr="003D1216" w:rsidP="003D1216">
            <w:pPr>
              <w:pStyle w:val="ListBullet"/>
            </w:pPr>
            <w:r w:rsidRPr="003D1216">
              <w:t xml:space="preserve">competency is demonstrated in the context of the the range statement </w:t>
            </w:r>
          </w:p>
          <w:p w:rsidR="00000000" w:rsidRPr="003D1216" w:rsidP="003D1216">
            <w:pPr>
              <w:pStyle w:val="ListBullet"/>
            </w:pPr>
            <w:r w:rsidRPr="003D1216">
              <w:t>access to the in</w:t>
            </w:r>
            <w:r w:rsidRPr="003D1216">
              <w:t>ternet</w:t>
            </w:r>
          </w:p>
          <w:p w:rsidR="00000000" w:rsidP="003D1216">
            <w:pPr>
              <w:pStyle w:val="ListBullet"/>
              <w:rPr>
                <w:lang w:val="en-NZ"/>
              </w:rPr>
            </w:pPr>
            <w:r w:rsidRPr="003D1216">
              <w:t>access to current information about Australia's taxation system.</w:t>
            </w:r>
          </w:p>
        </w:tc>
      </w:tr>
      <w:tr w:rsidTr="004030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A range of assessment methods should be used to assess practical skills and knowledge. The following examples, in combination, are appropriate for this unit:</w:t>
            </w:r>
          </w:p>
          <w:p w:rsidR="00000000" w:rsidRPr="003D1216" w:rsidP="003D1216">
            <w:pPr>
              <w:pStyle w:val="ListBullet"/>
            </w:pPr>
            <w:r w:rsidRPr="003D1216">
              <w:t>eva</w:t>
            </w:r>
            <w:r w:rsidRPr="003D1216">
              <w:t>luating an integrated activity which combines the elements of competency for the unit or a cluster of related units of competency</w:t>
            </w:r>
          </w:p>
          <w:p w:rsidR="00000000" w:rsidRPr="003D1216" w:rsidP="003D1216">
            <w:pPr>
              <w:pStyle w:val="ListBullet"/>
            </w:pPr>
            <w:r w:rsidRPr="003D1216">
              <w:t xml:space="preserve">verbal or written questioning on underpinning knowledge and skills </w:t>
            </w:r>
          </w:p>
          <w:p w:rsidR="00000000" w:rsidRPr="003D1216" w:rsidP="003D1216">
            <w:pPr>
              <w:pStyle w:val="ListBullet"/>
            </w:pPr>
            <w:r w:rsidRPr="003D1216">
              <w:t>setting and reviewing simulations or scenarios</w:t>
            </w:r>
          </w:p>
          <w:p w:rsidR="00000000" w:rsidP="003D1216">
            <w:pPr>
              <w:pStyle w:val="ListBullet"/>
              <w:rPr>
                <w:lang w:val="en-NZ"/>
              </w:rPr>
            </w:pPr>
            <w:r w:rsidRPr="003D1216">
              <w:t>group discu</w:t>
            </w:r>
            <w:r w:rsidRPr="003D1216">
              <w:t>ssion to determine and confirm understanding.</w:t>
            </w:r>
          </w:p>
        </w:tc>
      </w:tr>
      <w:tr w:rsidTr="0040301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11" w:name="O_78181"/>
      <w:bookmarkEnd w:id="11"/>
      <w:r w:rsidRPr="003D1216">
        <w:t>Range Statement</w:t>
      </w:r>
    </w:p>
    <w:tbl>
      <w:tblPr>
        <w:tblW w:w="0" w:type="auto"/>
        <w:tblLayout w:type="fixed"/>
        <w:tblCellMar>
          <w:left w:w="62" w:type="dxa"/>
          <w:right w:w="62" w:type="dxa"/>
        </w:tblCellMar>
        <w:tblLook w:val="0000"/>
      </w:tblPr>
      <w:tblGrid>
        <w:gridCol w:w="2444"/>
        <w:gridCol w:w="6078"/>
      </w:tblGrid>
      <w:tr w:rsidTr="004030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RANGE STATEMENT</w:t>
            </w:r>
          </w:p>
        </w:tc>
      </w:tr>
      <w:tr w:rsidTr="004030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The range statement relates to the unit of competency as a whole. It allows for different work enviro</w:t>
            </w:r>
            <w:r w:rsidRPr="003D1216">
              <w:t>nments and situations that may affect performance. Bold italicised wording, if used in the performance criteria, is detailed below. Essential operating conditions that may be present with training and assessment (depending on the work situation, needs of t</w:t>
            </w:r>
            <w:r w:rsidRPr="003D1216">
              <w:t>he candidate, accessibility of the item, and local industry and regional contexts) may also be included.</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 xml:space="preserve">The </w:t>
            </w:r>
            <w:r w:rsidRPr="003D1216">
              <w:rPr>
                <w:rStyle w:val="BoldandItalics"/>
              </w:rPr>
              <w:t>purpose of taxation</w:t>
            </w:r>
            <w:r w:rsidRPr="003D1216">
              <w:t xml:space="preserve"> includes but is not limited to:</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financing government activity</w:t>
            </w:r>
          </w:p>
          <w:p w:rsidR="00000000" w:rsidRPr="003D1216" w:rsidP="003D1216">
            <w:pPr>
              <w:pStyle w:val="ListBullet"/>
            </w:pPr>
            <w:r w:rsidRPr="003D1216">
              <w:t>maintaining equity in the national economy</w:t>
            </w:r>
          </w:p>
          <w:p w:rsidR="00000000" w:rsidRPr="003D1216" w:rsidP="003D1216">
            <w:pPr>
              <w:pStyle w:val="ListBullet"/>
            </w:pPr>
            <w:r w:rsidRPr="003D1216">
              <w:t>promoting efficienc</w:t>
            </w:r>
            <w:r w:rsidRPr="003D1216">
              <w:t>y where markets fail to control pollution or health dangers</w:t>
            </w:r>
          </w:p>
          <w:p w:rsidR="00000000" w:rsidRPr="003D1216" w:rsidP="003D1216">
            <w:pPr>
              <w:pStyle w:val="ListBullet"/>
            </w:pPr>
            <w:r w:rsidRPr="003D1216">
              <w:t>social infrastructure</w:t>
            </w:r>
          </w:p>
          <w:p w:rsidR="00000000" w:rsidP="003D1216">
            <w:pPr>
              <w:pStyle w:val="ListBullet"/>
              <w:rPr>
                <w:lang w:val="en-NZ"/>
              </w:rPr>
            </w:pPr>
            <w:r w:rsidRPr="003D1216">
              <w:t>social services.</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 xml:space="preserve">Ways that </w:t>
            </w:r>
            <w:r w:rsidRPr="003D1216">
              <w:rPr>
                <w:rStyle w:val="BoldandItalics"/>
              </w:rPr>
              <w:t>tax is collected</w:t>
            </w:r>
            <w:r w:rsidRPr="003D1216">
              <w:t xml:space="preserve"> include: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through federal taxes including:</w:t>
            </w:r>
          </w:p>
          <w:p w:rsidR="00000000" w:rsidRPr="003D1216" w:rsidP="003D1216">
            <w:pPr>
              <w:pStyle w:val="ListBullet2"/>
            </w:pPr>
            <w:r w:rsidRPr="003D1216">
              <w:t>personal income tax</w:t>
            </w:r>
          </w:p>
          <w:p w:rsidR="00000000" w:rsidRPr="003D1216" w:rsidP="003D1216">
            <w:pPr>
              <w:pStyle w:val="ListBullet3"/>
            </w:pPr>
            <w:r w:rsidRPr="003D1216">
              <w:t>salary</w:t>
            </w:r>
          </w:p>
          <w:p w:rsidR="00000000" w:rsidRPr="003D1216" w:rsidP="003D1216">
            <w:pPr>
              <w:pStyle w:val="ListBullet3"/>
            </w:pPr>
            <w:r w:rsidRPr="003D1216">
              <w:t>self-employment</w:t>
            </w:r>
          </w:p>
          <w:p w:rsidR="00000000" w:rsidRPr="003D1216" w:rsidP="003D1216">
            <w:pPr>
              <w:pStyle w:val="ListBullet3"/>
            </w:pPr>
            <w:r w:rsidRPr="003D1216">
              <w:t>investment income</w:t>
            </w:r>
          </w:p>
          <w:p w:rsidR="00000000" w:rsidRPr="003D1216" w:rsidP="003D1216">
            <w:pPr>
              <w:pStyle w:val="ListBullet3"/>
            </w:pPr>
            <w:r w:rsidRPr="003D1216">
              <w:t>superannuation contributions</w:t>
            </w:r>
          </w:p>
          <w:p w:rsidR="00000000" w:rsidRPr="003D1216" w:rsidP="003D1216">
            <w:pPr>
              <w:pStyle w:val="ListBullet2"/>
            </w:pPr>
            <w:r w:rsidRPr="003D1216">
              <w:t>business income tax</w:t>
            </w:r>
          </w:p>
          <w:p w:rsidR="00000000" w:rsidRPr="003D1216" w:rsidP="003D1216">
            <w:pPr>
              <w:pStyle w:val="ListBullet2"/>
            </w:pPr>
            <w:r w:rsidRPr="003D1216">
              <w:t>Capital Gains Tax (CGT)</w:t>
            </w:r>
          </w:p>
          <w:p w:rsidR="00000000" w:rsidRPr="003D1216" w:rsidP="003D1216">
            <w:pPr>
              <w:pStyle w:val="ListBullet2"/>
            </w:pPr>
            <w:r w:rsidRPr="003D1216">
              <w:t>customs and excise duties</w:t>
            </w:r>
          </w:p>
          <w:p w:rsidR="00000000" w:rsidRPr="003D1216" w:rsidP="003D1216">
            <w:pPr>
              <w:pStyle w:val="ListBullet2"/>
            </w:pPr>
            <w:r w:rsidRPr="003D1216">
              <w:t>foreign income or investment taxes</w:t>
            </w:r>
          </w:p>
          <w:p w:rsidR="00000000" w:rsidRPr="003D1216" w:rsidP="003D1216">
            <w:pPr>
              <w:pStyle w:val="ListBullet2"/>
            </w:pPr>
            <w:r w:rsidRPr="003D1216">
              <w:t xml:space="preserve">Fringe Benefits Tax (FBT) </w:t>
            </w:r>
          </w:p>
          <w:p w:rsidR="00000000" w:rsidRPr="003D1216" w:rsidP="003D1216">
            <w:pPr>
              <w:pStyle w:val="ListBullet2"/>
            </w:pPr>
            <w:r w:rsidRPr="003D1216">
              <w:t xml:space="preserve">Good and Services Tax (GST) </w:t>
            </w:r>
          </w:p>
          <w:p w:rsidR="00000000" w:rsidRPr="003D1216" w:rsidP="003D1216">
            <w:pPr>
              <w:pStyle w:val="ListBullet2"/>
            </w:pPr>
            <w:r w:rsidRPr="003D1216">
              <w:t>luxury car tax</w:t>
            </w:r>
          </w:p>
          <w:p w:rsidR="00000000" w:rsidRPr="003D1216" w:rsidP="003D1216">
            <w:pPr>
              <w:pStyle w:val="ListBullet"/>
            </w:pPr>
            <w:r w:rsidRPr="003D1216">
              <w:t>Medicare levy</w:t>
            </w:r>
          </w:p>
          <w:p w:rsidR="00000000" w:rsidRPr="003D1216" w:rsidP="003D1216">
            <w:pPr>
              <w:pStyle w:val="ListBullet"/>
            </w:pPr>
            <w:r w:rsidRPr="003D1216">
              <w:t>wine equalisation tax</w:t>
            </w:r>
          </w:p>
          <w:p w:rsidR="00000000" w:rsidRPr="003D1216" w:rsidP="003D1216">
            <w:pPr>
              <w:pStyle w:val="ListBullet"/>
            </w:pPr>
            <w:r w:rsidRPr="003D1216">
              <w:t>through State and Territory taxes, including:</w:t>
            </w:r>
          </w:p>
          <w:p w:rsidR="00000000" w:rsidRPr="003D1216" w:rsidP="003D1216">
            <w:pPr>
              <w:pStyle w:val="ListBullet2"/>
            </w:pPr>
            <w:r w:rsidRPr="003D1216">
              <w:t>debits tax</w:t>
            </w:r>
          </w:p>
          <w:p w:rsidR="00000000" w:rsidRPr="003D1216" w:rsidP="003D1216">
            <w:pPr>
              <w:pStyle w:val="ListBullet2"/>
            </w:pPr>
            <w:r w:rsidRPr="003D1216">
              <w:t>land tax</w:t>
            </w:r>
          </w:p>
          <w:p w:rsidR="00000000" w:rsidRPr="003D1216" w:rsidP="003D1216">
            <w:pPr>
              <w:pStyle w:val="ListBullet2"/>
            </w:pPr>
            <w:r w:rsidRPr="003D1216">
              <w:t>payroll tax</w:t>
            </w:r>
          </w:p>
          <w:p w:rsidR="00000000" w:rsidP="003D1216">
            <w:pPr>
              <w:pStyle w:val="ListBullet2"/>
              <w:rPr>
                <w:lang w:val="en-NZ"/>
              </w:rPr>
            </w:pPr>
            <w:r w:rsidRPr="003D1216">
              <w:t>stamp duty.</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 xml:space="preserve">The </w:t>
            </w:r>
            <w:r w:rsidRPr="003D1216">
              <w:rPr>
                <w:rStyle w:val="BoldandItalics"/>
              </w:rPr>
              <w:t>Australian Tax Office</w:t>
            </w:r>
            <w:r w:rsidRPr="003D1216">
              <w:t xml:space="preserve"> (</w:t>
            </w:r>
            <w:r w:rsidRPr="003D1216">
              <w:rPr>
                <w:rStyle w:val="BoldandItalics"/>
              </w:rPr>
              <w:t>ATO</w:t>
            </w:r>
            <w:r w:rsidRPr="003D1216">
              <w:t>) roles include: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managing and shaping tax, excise and superannuation systems that fund services for Australians</w:t>
            </w:r>
          </w:p>
          <w:p w:rsidR="00000000" w:rsidRPr="003D1216" w:rsidP="003D1216">
            <w:pPr>
              <w:pStyle w:val="ListBullet"/>
            </w:pPr>
            <w:r w:rsidRPr="003D1216">
              <w:t>managing and shaping the revenue systems that sustain social and economic policy and fund services for Australians</w:t>
            </w:r>
          </w:p>
          <w:p w:rsidR="00000000" w:rsidRPr="003D1216" w:rsidP="003D1216">
            <w:pPr>
              <w:pStyle w:val="ListBullet"/>
            </w:pPr>
            <w:r w:rsidRPr="003D1216">
              <w:t>administering legislation for taxes, superannuation and excise</w:t>
            </w:r>
          </w:p>
          <w:p w:rsidR="00000000" w:rsidRPr="003D1216" w:rsidP="003D1216">
            <w:pPr>
              <w:pStyle w:val="ListBullet"/>
            </w:pPr>
            <w:r w:rsidRPr="003D1216">
              <w:t xml:space="preserve">addressing broader issues affecting Australia's revenue systems, such as: </w:t>
            </w:r>
          </w:p>
          <w:p w:rsidR="00000000" w:rsidRPr="003D1216" w:rsidP="003D1216">
            <w:pPr>
              <w:pStyle w:val="ListBullet2"/>
            </w:pPr>
            <w:r w:rsidRPr="003D1216">
              <w:t>ag</w:t>
            </w:r>
            <w:r w:rsidRPr="003D1216">
              <w:t xml:space="preserve">gressive tax planning </w:t>
            </w:r>
          </w:p>
          <w:p w:rsidR="00000000" w:rsidRPr="003D1216" w:rsidP="003D1216">
            <w:pPr>
              <w:pStyle w:val="ListBullet2"/>
            </w:pPr>
            <w:r w:rsidRPr="003D1216">
              <w:t xml:space="preserve">persistent tax debtors </w:t>
            </w:r>
          </w:p>
          <w:p w:rsidR="00000000" w:rsidRPr="003D1216" w:rsidP="003D1216">
            <w:pPr>
              <w:pStyle w:val="ListBullet2"/>
            </w:pPr>
            <w:r w:rsidRPr="003D1216">
              <w:t xml:space="preserve">globalisation </w:t>
            </w:r>
          </w:p>
          <w:p w:rsidR="00000000" w:rsidP="003D1216">
            <w:pPr>
              <w:pStyle w:val="ListBullet2"/>
              <w:rPr>
                <w:lang w:val="en-NZ"/>
              </w:rPr>
            </w:pPr>
            <w:r w:rsidRPr="003D1216">
              <w:t>the cash economy.</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Taxation revenue</w:t>
            </w:r>
            <w:r w:rsidRPr="003D1216">
              <w:t xml:space="preserve"> may be used to provide: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assistance to business and farming</w:t>
            </w:r>
          </w:p>
          <w:p w:rsidR="00000000" w:rsidRPr="003D1216" w:rsidP="003D1216">
            <w:pPr>
              <w:pStyle w:val="ListBullet"/>
            </w:pPr>
            <w:r w:rsidRPr="003D1216">
              <w:t>cultural and artistic resources and support</w:t>
            </w:r>
          </w:p>
          <w:p w:rsidR="00000000" w:rsidRPr="003D1216" w:rsidP="003D1216">
            <w:pPr>
              <w:pStyle w:val="ListBullet"/>
            </w:pPr>
            <w:r w:rsidRPr="003D1216">
              <w:t>defence and border protection</w:t>
            </w:r>
          </w:p>
          <w:p w:rsidR="00000000" w:rsidRPr="003D1216" w:rsidP="003D1216">
            <w:pPr>
              <w:pStyle w:val="ListBullet"/>
            </w:pPr>
            <w:r w:rsidRPr="003D1216">
              <w:t>education</w:t>
            </w:r>
          </w:p>
          <w:p w:rsidR="00000000" w:rsidRPr="003D1216" w:rsidP="003D1216">
            <w:pPr>
              <w:pStyle w:val="ListBullet"/>
            </w:pPr>
            <w:r w:rsidRPr="003D1216">
              <w:t>environmental protection</w:t>
            </w:r>
          </w:p>
          <w:p w:rsidR="00000000" w:rsidRPr="003D1216" w:rsidP="003D1216">
            <w:pPr>
              <w:pStyle w:val="ListBullet"/>
            </w:pPr>
            <w:r w:rsidRPr="003D1216">
              <w:t xml:space="preserve">essential infrastructure such as: </w:t>
            </w:r>
          </w:p>
          <w:p w:rsidR="00000000" w:rsidRPr="003D1216" w:rsidP="003D1216">
            <w:pPr>
              <w:pStyle w:val="ListBullet2"/>
            </w:pPr>
            <w:r w:rsidRPr="003D1216">
              <w:t xml:space="preserve">roads </w:t>
            </w:r>
          </w:p>
          <w:p w:rsidR="00000000" w:rsidRPr="003D1216" w:rsidP="003D1216">
            <w:pPr>
              <w:pStyle w:val="ListBullet2"/>
            </w:pPr>
            <w:r w:rsidRPr="003D1216">
              <w:t xml:space="preserve">transport systems </w:t>
            </w:r>
          </w:p>
          <w:p w:rsidR="00000000" w:rsidRPr="003D1216" w:rsidP="003D1216">
            <w:pPr>
              <w:pStyle w:val="ListBullet2"/>
            </w:pPr>
            <w:r w:rsidRPr="003D1216">
              <w:t xml:space="preserve">public building </w:t>
            </w:r>
          </w:p>
          <w:p w:rsidR="00000000" w:rsidRPr="003D1216" w:rsidP="003D1216">
            <w:pPr>
              <w:pStyle w:val="ListBullet2"/>
            </w:pPr>
            <w:r w:rsidRPr="003D1216">
              <w:t>sport and recreation amenities</w:t>
            </w:r>
          </w:p>
          <w:p w:rsidR="00000000" w:rsidRPr="003D1216" w:rsidP="003D1216">
            <w:pPr>
              <w:pStyle w:val="ListBullet2"/>
            </w:pPr>
            <w:r w:rsidRPr="003D1216">
              <w:t>public housing</w:t>
            </w:r>
          </w:p>
          <w:p w:rsidR="00000000" w:rsidRPr="003D1216" w:rsidP="003D1216">
            <w:pPr>
              <w:pStyle w:val="ListBullet"/>
            </w:pPr>
            <w:r w:rsidRPr="003D1216">
              <w:t>foreign representation and trade promotion for Australia</w:t>
            </w:r>
          </w:p>
          <w:p w:rsidR="00000000" w:rsidRPr="003D1216" w:rsidP="003D1216">
            <w:pPr>
              <w:pStyle w:val="ListBullet"/>
            </w:pPr>
            <w:r w:rsidRPr="003D1216">
              <w:t>health care</w:t>
            </w:r>
          </w:p>
          <w:p w:rsidR="00000000" w:rsidRPr="003D1216" w:rsidP="003D1216">
            <w:pPr>
              <w:pStyle w:val="ListBullet"/>
            </w:pPr>
            <w:r w:rsidRPr="003D1216">
              <w:t>justice systems</w:t>
            </w:r>
          </w:p>
          <w:p w:rsidR="00000000" w:rsidRPr="003D1216" w:rsidP="003D1216">
            <w:pPr>
              <w:pStyle w:val="ListBullet"/>
            </w:pPr>
            <w:r w:rsidRPr="003D1216">
              <w:t>public safety</w:t>
            </w:r>
          </w:p>
          <w:p w:rsidR="00000000" w:rsidRPr="003D1216" w:rsidP="003D1216">
            <w:pPr>
              <w:pStyle w:val="ListBullet"/>
            </w:pPr>
            <w:r w:rsidRPr="003D1216">
              <w:t>scientific and other research</w:t>
            </w:r>
          </w:p>
          <w:p w:rsidR="00000000" w:rsidP="003D1216">
            <w:pPr>
              <w:pStyle w:val="ListBullet"/>
              <w:rPr>
                <w:lang w:val="en-NZ"/>
              </w:rPr>
            </w:pPr>
            <w:r w:rsidRPr="003D1216">
              <w:t>welfare, income and community support systems.</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Terminology</w:t>
            </w:r>
            <w:r w:rsidRPr="003D1216">
              <w:t xml:space="preserve"> used in personal taxation may include: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accrued interest</w:t>
            </w:r>
          </w:p>
          <w:p w:rsidR="00000000" w:rsidRPr="003D1216" w:rsidP="003D1216">
            <w:pPr>
              <w:pStyle w:val="ListBullet"/>
            </w:pPr>
            <w:r w:rsidRPr="003D1216">
              <w:t xml:space="preserve">allowances </w:t>
            </w:r>
          </w:p>
          <w:p w:rsidR="00000000" w:rsidRPr="003D1216" w:rsidP="003D1216">
            <w:pPr>
              <w:pStyle w:val="ListBullet"/>
            </w:pPr>
            <w:r w:rsidRPr="003D1216">
              <w:t>assessable income</w:t>
            </w:r>
          </w:p>
          <w:p w:rsidR="00000000" w:rsidRPr="003D1216" w:rsidP="003D1216">
            <w:pPr>
              <w:pStyle w:val="ListBullet"/>
            </w:pPr>
            <w:r w:rsidRPr="003D1216">
              <w:t>capital gain/appreciation</w:t>
            </w:r>
          </w:p>
          <w:p w:rsidR="00000000" w:rsidRPr="003D1216" w:rsidP="003D1216">
            <w:pPr>
              <w:pStyle w:val="ListBullet"/>
            </w:pPr>
            <w:r w:rsidRPr="003D1216">
              <w:t>deductions</w:t>
            </w:r>
          </w:p>
          <w:p w:rsidR="00000000" w:rsidRPr="003D1216" w:rsidP="003D1216">
            <w:pPr>
              <w:pStyle w:val="ListBullet"/>
            </w:pPr>
            <w:r w:rsidRPr="003D1216">
              <w:t>dividends:</w:t>
            </w:r>
          </w:p>
          <w:p w:rsidR="00000000" w:rsidRPr="003D1216" w:rsidP="003D1216">
            <w:pPr>
              <w:pStyle w:val="ListBullet2"/>
            </w:pPr>
            <w:r w:rsidRPr="003D1216">
              <w:t xml:space="preserve">franked </w:t>
            </w:r>
          </w:p>
          <w:p w:rsidR="00000000" w:rsidRPr="003D1216" w:rsidP="003D1216">
            <w:pPr>
              <w:pStyle w:val="ListBullet2"/>
            </w:pPr>
            <w:r w:rsidRPr="003D1216">
              <w:t>unfranked</w:t>
            </w:r>
          </w:p>
          <w:p w:rsidR="00000000" w:rsidRPr="003D1216" w:rsidP="003D1216">
            <w:pPr>
              <w:pStyle w:val="ListBullet"/>
            </w:pPr>
            <w:r w:rsidRPr="003D1216">
              <w:t>entitlements</w:t>
            </w:r>
          </w:p>
          <w:p w:rsidR="00000000" w:rsidRPr="003D1216" w:rsidP="003D1216">
            <w:pPr>
              <w:pStyle w:val="ListBullet"/>
            </w:pPr>
            <w:r w:rsidRPr="003D1216">
              <w:t>gross income</w:t>
            </w:r>
          </w:p>
          <w:p w:rsidR="00000000" w:rsidRPr="003D1216" w:rsidP="003D1216">
            <w:pPr>
              <w:pStyle w:val="ListBullet"/>
            </w:pPr>
            <w:r w:rsidRPr="003D1216">
              <w:t xml:space="preserve">Higher Education Contribution Scheme (HECS) </w:t>
            </w:r>
          </w:p>
          <w:p w:rsidR="00000000" w:rsidRPr="003D1216" w:rsidP="003D1216">
            <w:pPr>
              <w:pStyle w:val="ListBullet"/>
            </w:pPr>
            <w:r w:rsidRPr="003D1216">
              <w:t>Higher Education Loan Program (HELP)</w:t>
            </w:r>
          </w:p>
          <w:p w:rsidR="00000000" w:rsidRPr="003D1216" w:rsidP="003D1216">
            <w:pPr>
              <w:pStyle w:val="ListBullet"/>
            </w:pPr>
            <w:r w:rsidRPr="003D1216">
              <w:t>negative gearing</w:t>
            </w:r>
          </w:p>
          <w:p w:rsidR="00000000" w:rsidRPr="003D1216" w:rsidP="003D1216">
            <w:pPr>
              <w:pStyle w:val="ListBullet"/>
            </w:pPr>
            <w:r w:rsidRPr="003D1216">
              <w:t>Pay As You Go (PAYG)</w:t>
            </w:r>
          </w:p>
          <w:p w:rsidR="00000000" w:rsidRPr="003D1216" w:rsidP="003D1216">
            <w:pPr>
              <w:pStyle w:val="ListBullet"/>
            </w:pPr>
            <w:r w:rsidRPr="003D1216">
              <w:t>salary sacrifice</w:t>
            </w:r>
          </w:p>
          <w:p w:rsidR="00000000" w:rsidRPr="003D1216" w:rsidP="003D1216">
            <w:pPr>
              <w:pStyle w:val="ListBullet"/>
            </w:pPr>
            <w:r w:rsidRPr="003D1216">
              <w:t>superannuation contributions</w:t>
            </w:r>
          </w:p>
          <w:p w:rsidR="00000000" w:rsidRPr="003D1216" w:rsidP="003D1216">
            <w:pPr>
              <w:pStyle w:val="ListBullet"/>
            </w:pPr>
            <w:r w:rsidRPr="003D1216">
              <w:t>Tax File Number (TFN)</w:t>
            </w:r>
          </w:p>
          <w:p w:rsidR="00000000" w:rsidP="003D1216">
            <w:pPr>
              <w:pStyle w:val="ListBullet"/>
              <w:rPr>
                <w:lang w:val="en-NZ"/>
              </w:rPr>
            </w:pPr>
            <w:r w:rsidRPr="003D1216">
              <w:t>taxable income.</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Rates of personal tax</w:t>
            </w:r>
            <w:r w:rsidRPr="003D1216">
              <w:t xml:space="preserve"> and calculators can be accessed from:</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Australian Taxation Office (ATO) publications and website</w:t>
            </w:r>
          </w:p>
          <w:p w:rsidR="00000000" w:rsidP="003D1216">
            <w:pPr>
              <w:pStyle w:val="ListBullet"/>
              <w:rPr>
                <w:lang w:val="en-NZ"/>
              </w:rPr>
            </w:pPr>
            <w:r w:rsidRPr="003D1216">
              <w:t>accountants and tax agents.</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Tax returns</w:t>
            </w:r>
            <w:r w:rsidRPr="003D1216">
              <w:t xml:space="preserve"> can be completed:</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accountant</w:t>
            </w:r>
          </w:p>
          <w:p w:rsidR="00000000" w:rsidRPr="003D1216" w:rsidP="003D1216">
            <w:pPr>
              <w:pStyle w:val="ListBullet"/>
            </w:pPr>
            <w:r w:rsidRPr="003D1216">
              <w:t>by an individual</w:t>
            </w:r>
          </w:p>
          <w:p w:rsidR="00000000" w:rsidRPr="003D1216" w:rsidP="003D1216">
            <w:pPr>
              <w:pStyle w:val="ListBullet"/>
            </w:pPr>
            <w:r w:rsidRPr="003D1216">
              <w:t>tax agent</w:t>
            </w:r>
          </w:p>
          <w:p w:rsidR="00000000" w:rsidP="003D1216">
            <w:pPr>
              <w:pStyle w:val="ListBullet"/>
              <w:rPr>
                <w:lang w:val="en-NZ"/>
              </w:rPr>
            </w:pPr>
            <w:r w:rsidRPr="003D1216">
              <w:t>on-line or in written form.</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Sources of ongoing information</w:t>
            </w:r>
            <w:r w:rsidRPr="003D1216">
              <w:t xml:space="preserve"> </w:t>
            </w:r>
            <w:r w:rsidRPr="003D1216">
              <w:t>may include: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accountants and other financial services professionals</w:t>
            </w:r>
          </w:p>
          <w:p w:rsidR="00000000" w:rsidRPr="003D1216" w:rsidP="003D1216">
            <w:pPr>
              <w:pStyle w:val="ListBullet"/>
            </w:pPr>
            <w:r w:rsidRPr="003D1216">
              <w:t>Australian Taxation Office (ATO)</w:t>
            </w:r>
          </w:p>
          <w:p w:rsidR="00000000" w:rsidRPr="003D1216" w:rsidP="003D1216">
            <w:pPr>
              <w:pStyle w:val="ListBullet"/>
            </w:pPr>
            <w:r w:rsidRPr="003D1216">
              <w:t>Industry associations and professional organisations</w:t>
            </w:r>
          </w:p>
          <w:p w:rsidR="00000000" w:rsidRPr="003D1216" w:rsidP="003D1216">
            <w:pPr>
              <w:pStyle w:val="ListBullet"/>
            </w:pPr>
            <w:r w:rsidRPr="003D1216">
              <w:t xml:space="preserve"> State and Territory government agencies</w:t>
            </w:r>
          </w:p>
          <w:p w:rsidR="00000000" w:rsidP="003D1216">
            <w:pPr>
              <w:pStyle w:val="ListBullet"/>
              <w:rPr>
                <w:lang w:val="en-NZ"/>
              </w:rPr>
            </w:pPr>
            <w:r w:rsidRPr="003D1216">
              <w:t>Taxpayers Australia.</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t xml:space="preserve">The </w:t>
            </w:r>
            <w:r w:rsidRPr="003D1216">
              <w:rPr>
                <w:rStyle w:val="BoldandItalics"/>
              </w:rPr>
              <w:t>structure of business</w:t>
            </w:r>
            <w:r w:rsidRPr="003D1216">
              <w:t xml:space="preserve"> includes:</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sole trader: an individual trading on their own</w:t>
            </w:r>
          </w:p>
          <w:p w:rsidR="00000000" w:rsidRPr="003D1216" w:rsidP="003D1216">
            <w:pPr>
              <w:pStyle w:val="ListBullet"/>
            </w:pPr>
            <w:r w:rsidRPr="003D1216">
              <w:t>partnership: an association of people or entities carrying on a business together, but not as a company</w:t>
            </w:r>
          </w:p>
          <w:p w:rsidR="00000000" w:rsidRPr="003D1216" w:rsidP="003D1216">
            <w:pPr>
              <w:pStyle w:val="ListBullet"/>
            </w:pPr>
            <w:r w:rsidRPr="003D1216">
              <w:t>trust: an entity that holds property or income for the benefit of others</w:t>
            </w:r>
          </w:p>
          <w:p w:rsidR="00000000" w:rsidRPr="003D1216" w:rsidP="003D1216">
            <w:pPr>
              <w:pStyle w:val="ListBullet"/>
            </w:pPr>
            <w:r w:rsidRPr="003D1216">
              <w:t>company: a legal a legal entity</w:t>
            </w:r>
            <w:r w:rsidRPr="003D1216">
              <w:t xml:space="preserve"> separate from its shareholders.</w:t>
            </w:r>
          </w:p>
          <w:p w:rsidR="00000000" w:rsidRPr="003D1216" w:rsidP="003D1216">
            <w:pPr>
              <w:pStyle w:val="BodyText"/>
            </w:pPr>
          </w:p>
          <w:p w:rsidR="00000000" w:rsidP="003D1216">
            <w:pPr>
              <w:pStyle w:val="BodyText"/>
              <w:rPr>
                <w:lang w:val="en-NZ"/>
              </w:rPr>
            </w:pPr>
            <w:r w:rsidRPr="003D1216">
              <w:rPr>
                <w:rStyle w:val="SpecialBold"/>
              </w:rPr>
              <w:t>NB</w:t>
            </w:r>
            <w:r w:rsidRPr="003D1216">
              <w:t xml:space="preserve"> Business' have an Australian Business Number (ABN) or and Australian Company Number (ACN) to identify them for taxation and other government reporting purposes.</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Business tax is assessed</w:t>
            </w:r>
            <w:r w:rsidRPr="003D1216">
              <w:t xml:space="preserve"> through:</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Business Activity Stat</w:t>
            </w:r>
            <w:r w:rsidRPr="003D1216">
              <w:t>ements (BAS)</w:t>
            </w:r>
          </w:p>
          <w:p w:rsidR="00000000" w:rsidRPr="003D1216" w:rsidP="003D1216">
            <w:pPr>
              <w:pStyle w:val="ListBullet"/>
            </w:pPr>
            <w:r w:rsidRPr="003D1216">
              <w:t>payroll</w:t>
            </w:r>
          </w:p>
          <w:p w:rsidR="00000000" w:rsidRPr="003D1216" w:rsidP="003D1216">
            <w:pPr>
              <w:pStyle w:val="ListBullet"/>
            </w:pPr>
            <w:r w:rsidRPr="003D1216">
              <w:t>allowable deductions</w:t>
            </w:r>
          </w:p>
          <w:p w:rsidR="00000000" w:rsidRPr="003D1216" w:rsidP="003D1216">
            <w:pPr>
              <w:pStyle w:val="ListBullet"/>
            </w:pPr>
            <w:r w:rsidRPr="003D1216">
              <w:t>capital gains</w:t>
            </w:r>
          </w:p>
          <w:p w:rsidR="00000000" w:rsidRPr="003D1216" w:rsidP="003D1216">
            <w:pPr>
              <w:pStyle w:val="ListBullet"/>
            </w:pPr>
            <w:r w:rsidRPr="003D1216">
              <w:t>financial adjustments such as:</w:t>
            </w:r>
          </w:p>
          <w:p w:rsidR="00000000" w:rsidRPr="003D1216" w:rsidP="003D1216">
            <w:pPr>
              <w:pStyle w:val="ListBullet2"/>
            </w:pPr>
            <w:r w:rsidRPr="003D1216">
              <w:t xml:space="preserve">write-offs </w:t>
            </w:r>
          </w:p>
          <w:p w:rsidR="00000000" w:rsidRPr="003D1216" w:rsidP="003D1216">
            <w:pPr>
              <w:pStyle w:val="ListBullet2"/>
            </w:pPr>
            <w:r w:rsidRPr="003D1216">
              <w:t>revaluations</w:t>
            </w:r>
          </w:p>
          <w:p w:rsidR="00000000" w:rsidRPr="003D1216" w:rsidP="003D1216">
            <w:pPr>
              <w:pStyle w:val="ListBullet"/>
            </w:pPr>
            <w:r w:rsidRPr="003D1216">
              <w:t>profits and losses</w:t>
            </w:r>
          </w:p>
          <w:p w:rsidR="00000000" w:rsidRPr="003D1216" w:rsidP="003D1216">
            <w:pPr>
              <w:pStyle w:val="ListBullet"/>
            </w:pPr>
            <w:r w:rsidRPr="003D1216">
              <w:t>superannuation payments</w:t>
            </w:r>
          </w:p>
          <w:p w:rsidR="00000000" w:rsidP="003D1216">
            <w:pPr>
              <w:pStyle w:val="ListBullet"/>
              <w:rPr>
                <w:lang w:val="en-NZ"/>
              </w:rPr>
            </w:pPr>
            <w:r w:rsidRPr="003D1216">
              <w:t>fringe benefits assessment.</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Individuals</w:t>
            </w:r>
            <w:r w:rsidRPr="003D1216">
              <w:t xml:space="preserve"> </w:t>
            </w:r>
            <w:r w:rsidRPr="003D1216">
              <w:rPr>
                <w:rStyle w:val="BoldandItalics"/>
              </w:rPr>
              <w:t>can determine their tax liability</w:t>
            </w:r>
            <w:r w:rsidRPr="003D1216">
              <w:t xml:space="preserve"> by:</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assessing income:</w:t>
            </w:r>
          </w:p>
          <w:p w:rsidR="00000000" w:rsidRPr="003D1216" w:rsidP="003D1216">
            <w:pPr>
              <w:pStyle w:val="ListBullet2"/>
            </w:pPr>
            <w:r w:rsidRPr="003D1216">
              <w:t>capital gains</w:t>
            </w:r>
          </w:p>
          <w:p w:rsidR="00000000" w:rsidRPr="003D1216" w:rsidP="003D1216">
            <w:pPr>
              <w:pStyle w:val="ListBullet2"/>
            </w:pPr>
            <w:r w:rsidRPr="003D1216">
              <w:t xml:space="preserve">employment </w:t>
            </w:r>
          </w:p>
          <w:p w:rsidR="00000000" w:rsidRPr="003D1216" w:rsidP="003D1216">
            <w:pPr>
              <w:pStyle w:val="ListBullet2"/>
            </w:pPr>
            <w:r w:rsidRPr="003D1216">
              <w:t xml:space="preserve">foreign </w:t>
            </w:r>
          </w:p>
          <w:p w:rsidR="00000000" w:rsidRPr="003D1216" w:rsidP="003D1216">
            <w:pPr>
              <w:pStyle w:val="ListBullet2"/>
            </w:pPr>
            <w:r w:rsidRPr="003D1216">
              <w:t>investment</w:t>
            </w:r>
          </w:p>
          <w:p w:rsidR="00000000" w:rsidRPr="003D1216" w:rsidP="003D1216">
            <w:pPr>
              <w:pStyle w:val="ListBullet2"/>
            </w:pPr>
            <w:r w:rsidRPr="003D1216">
              <w:t>pensions, payments and annuities</w:t>
            </w:r>
          </w:p>
          <w:p w:rsidR="00000000" w:rsidRPr="003D1216" w:rsidP="003D1216">
            <w:pPr>
              <w:pStyle w:val="ListBullet2"/>
            </w:pPr>
            <w:r w:rsidRPr="003D1216">
              <w:t>rental property income</w:t>
            </w:r>
          </w:p>
          <w:p w:rsidR="00000000" w:rsidRPr="003D1216" w:rsidP="003D1216">
            <w:pPr>
              <w:pStyle w:val="ListBullet"/>
            </w:pPr>
            <w:r w:rsidRPr="003D1216">
              <w:t>assessing deductions:</w:t>
            </w:r>
          </w:p>
          <w:p w:rsidR="00000000" w:rsidRPr="003D1216" w:rsidP="003D1216">
            <w:pPr>
              <w:pStyle w:val="ListBullet2"/>
            </w:pPr>
            <w:r w:rsidRPr="003D1216">
              <w:t>allowable medical expenses and private health insurance rebates</w:t>
            </w:r>
          </w:p>
          <w:p w:rsidR="00000000" w:rsidRPr="003D1216" w:rsidP="003D1216">
            <w:pPr>
              <w:pStyle w:val="ListBullet2"/>
            </w:pPr>
            <w:r w:rsidRPr="003D1216">
              <w:t>capital losses</w:t>
            </w:r>
          </w:p>
          <w:p w:rsidR="00000000" w:rsidRPr="003D1216" w:rsidP="003D1216">
            <w:pPr>
              <w:pStyle w:val="ListBullet2"/>
            </w:pPr>
            <w:r w:rsidRPr="003D1216">
              <w:t>dependent rebates</w:t>
            </w:r>
          </w:p>
          <w:p w:rsidR="00000000" w:rsidRPr="003D1216" w:rsidP="003D1216">
            <w:pPr>
              <w:pStyle w:val="ListBullet2"/>
            </w:pPr>
            <w:r w:rsidRPr="003D1216">
              <w:t>gifts and donations</w:t>
            </w:r>
          </w:p>
          <w:p w:rsidR="00000000" w:rsidRPr="003D1216" w:rsidP="003D1216">
            <w:pPr>
              <w:pStyle w:val="ListBullet2"/>
            </w:pPr>
            <w:r w:rsidRPr="003D1216">
              <w:t>pensioner an</w:t>
            </w:r>
            <w:r w:rsidRPr="003D1216">
              <w:t>d mature age worker offsets</w:t>
            </w:r>
          </w:p>
          <w:p w:rsidR="00000000" w:rsidRPr="003D1216" w:rsidP="003D1216">
            <w:pPr>
              <w:pStyle w:val="ListBullet2"/>
            </w:pPr>
            <w:r w:rsidRPr="003D1216">
              <w:t>rental property expenses</w:t>
            </w:r>
          </w:p>
          <w:p w:rsidR="00000000" w:rsidRPr="003D1216" w:rsidP="003D1216">
            <w:pPr>
              <w:pStyle w:val="ListBullet2"/>
            </w:pPr>
            <w:r w:rsidRPr="003D1216">
              <w:t>tax offsets</w:t>
            </w:r>
          </w:p>
          <w:p w:rsidR="00000000" w:rsidRPr="003D1216" w:rsidP="003D1216">
            <w:pPr>
              <w:pStyle w:val="ListBullet2"/>
            </w:pPr>
            <w:r w:rsidRPr="003D1216">
              <w:t>work related clothing expenses</w:t>
            </w:r>
          </w:p>
          <w:p w:rsidR="00000000" w:rsidRPr="003D1216" w:rsidP="003D1216">
            <w:pPr>
              <w:pStyle w:val="ListBullet2"/>
            </w:pPr>
            <w:r w:rsidRPr="003D1216">
              <w:t>work related education expenses</w:t>
            </w:r>
          </w:p>
          <w:p w:rsidR="00000000" w:rsidRPr="003D1216" w:rsidP="003D1216">
            <w:pPr>
              <w:pStyle w:val="ListBullet2"/>
            </w:pPr>
            <w:r w:rsidRPr="003D1216">
              <w:t>work related travel expenses</w:t>
            </w:r>
          </w:p>
          <w:p w:rsidR="00000000" w:rsidP="003D1216">
            <w:pPr>
              <w:pStyle w:val="ListBullet2"/>
              <w:rPr>
                <w:lang w:val="en-NZ"/>
              </w:rPr>
            </w:pPr>
            <w:r w:rsidRPr="003D1216">
              <w:t>zone and overseas forces allowances.</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Small business operators</w:t>
            </w:r>
            <w:r w:rsidRPr="003D1216">
              <w:t xml:space="preserve"> </w:t>
            </w:r>
            <w:r w:rsidRPr="003D1216">
              <w:rPr>
                <w:rStyle w:val="BoldandItalics"/>
              </w:rPr>
              <w:t>pay</w:t>
            </w:r>
            <w:r w:rsidRPr="003D1216">
              <w:t xml:space="preserve"> </w:t>
            </w:r>
            <w:r w:rsidRPr="003D1216">
              <w:rPr>
                <w:rStyle w:val="BoldandItalics"/>
              </w:rPr>
              <w:t>tax</w:t>
            </w:r>
            <w:r w:rsidRPr="003D1216">
              <w:t xml:space="preserve"> by:</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lodging Business Activi</w:t>
            </w:r>
            <w:r w:rsidRPr="003D1216">
              <w:t xml:space="preserve">ty Statements (BAS) and paying Pay as You Go (PAYG) instalments to the ATO </w:t>
            </w:r>
          </w:p>
          <w:p w:rsidR="00000000" w:rsidRPr="003D1216" w:rsidP="003D1216">
            <w:pPr>
              <w:pStyle w:val="ListBullet"/>
            </w:pPr>
            <w:r w:rsidRPr="003D1216">
              <w:t>lodging returns and paying State and Territory governments:</w:t>
            </w:r>
          </w:p>
          <w:p w:rsidR="00000000" w:rsidRPr="003D1216" w:rsidP="003D1216">
            <w:pPr>
              <w:pStyle w:val="ListBullet2"/>
            </w:pPr>
            <w:r w:rsidRPr="003D1216">
              <w:t>land tax where applicable</w:t>
            </w:r>
          </w:p>
          <w:p w:rsidR="00000000" w:rsidRPr="003D1216" w:rsidP="003D1216">
            <w:pPr>
              <w:pStyle w:val="ListBullet2"/>
            </w:pPr>
            <w:r w:rsidRPr="003D1216">
              <w:t>payroll tax (rate varies by jurisdiction and depends on size of payroll so many small business operators are exempt)</w:t>
            </w:r>
          </w:p>
          <w:p w:rsidR="00000000" w:rsidRPr="003D1216" w:rsidP="003D1216">
            <w:pPr>
              <w:pStyle w:val="ListBullet2"/>
            </w:pPr>
            <w:r w:rsidRPr="003D1216">
              <w:t>stamp duty on:</w:t>
            </w:r>
          </w:p>
          <w:p w:rsidR="00000000" w:rsidRPr="003D1216" w:rsidP="003D1216">
            <w:pPr>
              <w:pStyle w:val="ListBullet3"/>
            </w:pPr>
            <w:r w:rsidRPr="003D1216">
              <w:t>hire purchase agreements</w:t>
            </w:r>
          </w:p>
          <w:p w:rsidR="00000000" w:rsidRPr="003D1216" w:rsidP="003D1216">
            <w:pPr>
              <w:pStyle w:val="ListBullet3"/>
            </w:pPr>
            <w:r w:rsidRPr="003D1216">
              <w:t>insurance polices</w:t>
            </w:r>
          </w:p>
          <w:p w:rsidR="00000000" w:rsidRPr="003D1216" w:rsidP="003D1216">
            <w:pPr>
              <w:pStyle w:val="ListBullet3"/>
            </w:pPr>
            <w:r w:rsidRPr="003D1216">
              <w:t>leases and mortgages</w:t>
            </w:r>
          </w:p>
          <w:p w:rsidR="00000000" w:rsidRPr="003D1216" w:rsidP="003D1216">
            <w:pPr>
              <w:pStyle w:val="ListBullet3"/>
            </w:pPr>
            <w:r w:rsidRPr="003D1216">
              <w:t>motor vehicle purchases</w:t>
            </w:r>
          </w:p>
          <w:p w:rsidR="00000000" w:rsidP="003D1216">
            <w:pPr>
              <w:pStyle w:val="ListBullet3"/>
              <w:rPr>
                <w:lang w:val="en-NZ"/>
              </w:rPr>
            </w:pPr>
            <w:r w:rsidRPr="003D1216">
              <w:t>property transfer.</w:t>
            </w:r>
          </w:p>
        </w:tc>
      </w:tr>
      <w:tr w:rsidTr="00403013">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BoldandItalics"/>
              </w:rPr>
              <w:t>Under or overpayment of tax</w:t>
            </w:r>
            <w:r w:rsidRPr="003D1216">
              <w:t xml:space="preserve"> may involve:</w:t>
            </w:r>
          </w:p>
        </w:tc>
        <w:tc>
          <w:tcPr>
            <w:tcW w:w="6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ListBullet"/>
            </w:pPr>
            <w:r w:rsidRPr="003D1216">
              <w:t>claiming interest on early payments that may be possible for certain tax categories such as:</w:t>
            </w:r>
          </w:p>
          <w:p w:rsidR="00000000" w:rsidRPr="003D1216" w:rsidP="003D1216">
            <w:pPr>
              <w:pStyle w:val="ListBullet2"/>
            </w:pPr>
            <w:r w:rsidRPr="003D1216">
              <w:t xml:space="preserve">income tax </w:t>
            </w:r>
          </w:p>
          <w:p w:rsidR="00000000" w:rsidRPr="003D1216" w:rsidP="003D1216">
            <w:pPr>
              <w:pStyle w:val="ListBullet2"/>
            </w:pPr>
            <w:r w:rsidRPr="003D1216">
              <w:t>Higher Education Loan Program (HELP)</w:t>
            </w:r>
          </w:p>
          <w:p w:rsidR="00000000" w:rsidRPr="003D1216" w:rsidP="003D1216">
            <w:pPr>
              <w:pStyle w:val="ListBullet2"/>
            </w:pPr>
            <w:r w:rsidRPr="003D1216">
              <w:t xml:space="preserve">Higher Education Contribution Scheme (HECS) </w:t>
            </w:r>
          </w:p>
          <w:p w:rsidR="00000000" w:rsidRPr="003D1216" w:rsidP="003D1216">
            <w:pPr>
              <w:pStyle w:val="ListBullet2"/>
            </w:pPr>
            <w:r w:rsidRPr="003D1216">
              <w:t xml:space="preserve">Student Financial Supplement Scheme </w:t>
            </w:r>
          </w:p>
          <w:p w:rsidR="00000000" w:rsidRPr="003D1216" w:rsidP="003D1216">
            <w:pPr>
              <w:pStyle w:val="ListBullet2"/>
            </w:pPr>
            <w:r w:rsidRPr="003D1216">
              <w:t>amended assessments of earlier years</w:t>
            </w:r>
          </w:p>
          <w:p w:rsidR="00000000" w:rsidRPr="003D1216" w:rsidP="003D1216">
            <w:pPr>
              <w:pStyle w:val="ListBullet"/>
            </w:pPr>
            <w:r w:rsidRPr="003D1216">
              <w:t>paying interest on overdue amounts.</w:t>
            </w:r>
          </w:p>
        </w:tc>
      </w:tr>
    </w:tbl>
    <w:p w:rsidR="00403013" w:rsidP="003D1216">
      <w:pPr>
        <w:pStyle w:val="BodyText"/>
      </w:pPr>
    </w:p>
    <w:p w:rsidR="00403013" w:rsidP="003D1216">
      <w:pPr>
        <w:pStyle w:val="BodyText"/>
      </w:pPr>
    </w:p>
    <w:p w:rsidR="00000000" w:rsidRPr="003D1216" w:rsidP="003D1216">
      <w:pPr>
        <w:pStyle w:val="Heading1"/>
      </w:pPr>
      <w:bookmarkStart w:id="12" w:name="O_78182"/>
      <w:bookmarkEnd w:id="12"/>
      <w:r w:rsidRPr="003D1216">
        <w:t>Unit Sector(s)</w:t>
      </w:r>
    </w:p>
    <w:tbl>
      <w:tblPr>
        <w:tblW w:w="0" w:type="auto"/>
        <w:tblLayout w:type="fixed"/>
        <w:tblCellMar>
          <w:left w:w="62" w:type="dxa"/>
          <w:right w:w="62" w:type="dxa"/>
        </w:tblCellMar>
        <w:tblLook w:val="0000"/>
      </w:tblPr>
      <w:tblGrid>
        <w:gridCol w:w="2597"/>
        <w:gridCol w:w="5925"/>
      </w:tblGrid>
      <w:tr w:rsidTr="00403013">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r w:rsidRPr="003D1216">
              <w:t>Financial literacy</w:t>
            </w: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13" w:name="O_156263"/>
      <w:bookmarkEnd w:id="13"/>
      <w:r w:rsidRPr="003D1216">
        <w:t>Competency field</w:t>
      </w:r>
    </w:p>
    <w:tbl>
      <w:tblPr>
        <w:tblW w:w="0" w:type="auto"/>
        <w:tblLayout w:type="fixed"/>
        <w:tblCellMar>
          <w:left w:w="62" w:type="dxa"/>
          <w:right w:w="62" w:type="dxa"/>
        </w:tblCellMar>
        <w:tblLook w:val="0000"/>
      </w:tblPr>
      <w:tblGrid>
        <w:gridCol w:w="2754"/>
        <w:gridCol w:w="5768"/>
      </w:tblGrid>
      <w:tr w:rsidTr="0040301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p>
        </w:tc>
      </w:tr>
    </w:tbl>
    <w:p w:rsidR="00000000" w:rsidRPr="003D1216" w:rsidP="003D1216">
      <w:pPr>
        <w:pStyle w:val="BodyText"/>
      </w:pPr>
    </w:p>
    <w:p w:rsidR="00000000" w:rsidRPr="003D1216" w:rsidP="003D1216">
      <w:pPr>
        <w:pStyle w:val="AllowPageBreak"/>
      </w:pPr>
    </w:p>
    <w:p w:rsidR="00000000" w:rsidRPr="003D1216" w:rsidP="003D1216">
      <w:pPr>
        <w:pStyle w:val="Heading1"/>
      </w:pPr>
      <w:bookmarkStart w:id="14" w:name="O_156262"/>
      <w:bookmarkEnd w:id="14"/>
      <w:r w:rsidRPr="003D1216">
        <w:t>Co-requisite units</w:t>
      </w:r>
    </w:p>
    <w:tbl>
      <w:tblPr>
        <w:tblW w:w="0" w:type="auto"/>
        <w:tblLayout w:type="fixed"/>
        <w:tblCellMar>
          <w:left w:w="62" w:type="dxa"/>
          <w:right w:w="62" w:type="dxa"/>
        </w:tblCellMar>
        <w:tblLook w:val="0000"/>
      </w:tblPr>
      <w:tblGrid>
        <w:gridCol w:w="2629"/>
        <w:gridCol w:w="1324"/>
        <w:gridCol w:w="4569"/>
      </w:tblGrid>
      <w:tr w:rsidTr="0040301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r w:rsidRPr="003D121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216">
            <w:pPr>
              <w:pStyle w:val="BodyText"/>
              <w:rPr>
                <w:lang w:val="en-NZ"/>
              </w:rPr>
            </w:pPr>
          </w:p>
        </w:tc>
      </w:tr>
      <w:tr w:rsidTr="0040301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216" w:rsidP="003D1216">
            <w:pPr>
              <w:pStyle w:val="BodyText"/>
            </w:pPr>
          </w:p>
        </w:tc>
      </w:tr>
    </w:tbl>
    <w:p w:rsidR="00000000" w:rsidRPr="003D1216" w:rsidP="003D1216">
      <w:pPr>
        <w:pStyle w:val="BodyText"/>
      </w:pPr>
    </w:p>
    <w:p w:rsidR="00000000" w:rsidRPr="003D1216" w:rsidP="003D1216"/>
    <w:sectPr w:rsidSect="003D1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013" w:rsidP="00403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13" w:rsidP="003D1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3013" w:rsidP="003D1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3013" w:rsidP="003D1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013" w:rsidP="004030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13" w:rsidP="003D1216">
    <w:pPr>
      <w:pStyle w:val="Header"/>
      <w:framePr w:wrap="around"/>
    </w:pPr>
    <w:r>
      <w:fldChar w:fldCharType="begin"/>
    </w:r>
    <w:r>
      <w:instrText xml:space="preserve"> TITLE   \* MERGEFORMAT </w:instrText>
    </w:r>
    <w:r>
      <w:fldChar w:fldCharType="separate"/>
    </w:r>
    <w:r>
      <w:t>FNSFLT206A Develop understanding of taxation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3013" w:rsidP="003D1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121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C06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CC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216"/>
    <w:pPr>
      <w:spacing w:before="360" w:after="60"/>
      <w:outlineLvl w:val="0"/>
    </w:pPr>
    <w:rPr>
      <w:sz w:val="32"/>
    </w:rPr>
  </w:style>
  <w:style w:type="paragraph" w:styleId="Heading2">
    <w:name w:val="heading 2"/>
    <w:basedOn w:val="HeadingBase"/>
    <w:next w:val="BodyText"/>
    <w:link w:val="Heading2Char"/>
    <w:qFormat/>
    <w:rsid w:val="003D1216"/>
    <w:pPr>
      <w:keepLines/>
      <w:spacing w:before="240" w:after="120"/>
      <w:outlineLvl w:val="1"/>
    </w:pPr>
    <w:rPr>
      <w:sz w:val="28"/>
      <w:szCs w:val="40"/>
    </w:rPr>
  </w:style>
  <w:style w:type="paragraph" w:styleId="Heading3">
    <w:name w:val="heading 3"/>
    <w:basedOn w:val="HeadingBase"/>
    <w:next w:val="BodyText"/>
    <w:link w:val="Heading3Char"/>
    <w:qFormat/>
    <w:rsid w:val="003D1216"/>
    <w:pPr>
      <w:spacing w:before="180" w:after="120"/>
      <w:outlineLvl w:val="2"/>
    </w:pPr>
    <w:rPr>
      <w:spacing w:val="-10"/>
      <w:kern w:val="32"/>
    </w:rPr>
  </w:style>
  <w:style w:type="paragraph" w:styleId="Heading4">
    <w:name w:val="heading 4"/>
    <w:basedOn w:val="HeadingBase"/>
    <w:next w:val="BodyText"/>
    <w:link w:val="Heading4Char"/>
    <w:qFormat/>
    <w:rsid w:val="003D1216"/>
    <w:pPr>
      <w:spacing w:before="160" w:after="120"/>
      <w:outlineLvl w:val="3"/>
    </w:pPr>
    <w:rPr>
      <w:sz w:val="22"/>
    </w:rPr>
  </w:style>
  <w:style w:type="paragraph" w:styleId="Heading5">
    <w:name w:val="heading 5"/>
    <w:basedOn w:val="HeadingBase"/>
    <w:next w:val="Normal"/>
    <w:link w:val="Heading5Char"/>
    <w:qFormat/>
    <w:rsid w:val="003D1216"/>
    <w:pPr>
      <w:spacing w:before="80"/>
      <w:outlineLvl w:val="4"/>
    </w:pPr>
    <w:rPr>
      <w:color w:val="918585"/>
      <w:sz w:val="20"/>
    </w:rPr>
  </w:style>
  <w:style w:type="paragraph" w:styleId="Heading6">
    <w:name w:val="heading 6"/>
    <w:basedOn w:val="HeadingBase"/>
    <w:next w:val="Normal"/>
    <w:link w:val="Heading6Char"/>
    <w:qFormat/>
    <w:rsid w:val="003D1216"/>
    <w:pPr>
      <w:spacing w:before="60"/>
      <w:outlineLvl w:val="5"/>
    </w:pPr>
    <w:rPr>
      <w:color w:val="918585"/>
      <w:sz w:val="20"/>
    </w:rPr>
  </w:style>
  <w:style w:type="paragraph" w:styleId="Heading7">
    <w:name w:val="heading 7"/>
    <w:basedOn w:val="Normal"/>
    <w:next w:val="Normal"/>
    <w:link w:val="Heading7Char"/>
    <w:qFormat/>
    <w:rsid w:val="003D1216"/>
    <w:pPr>
      <w:ind w:left="720"/>
      <w:outlineLvl w:val="6"/>
    </w:pPr>
    <w:rPr>
      <w:i/>
    </w:rPr>
  </w:style>
  <w:style w:type="paragraph" w:styleId="Heading8">
    <w:name w:val="heading 8"/>
    <w:basedOn w:val="Normal"/>
    <w:next w:val="Normal"/>
    <w:link w:val="Heading8Char"/>
    <w:qFormat/>
    <w:rsid w:val="003D1216"/>
    <w:pPr>
      <w:ind w:left="720"/>
      <w:outlineLvl w:val="7"/>
    </w:pPr>
    <w:rPr>
      <w:i/>
    </w:rPr>
  </w:style>
  <w:style w:type="paragraph" w:styleId="Heading9">
    <w:name w:val="heading 9"/>
    <w:basedOn w:val="Normal"/>
    <w:next w:val="Normal"/>
    <w:link w:val="Heading9Char"/>
    <w:qFormat/>
    <w:rsid w:val="003D1216"/>
    <w:pPr>
      <w:ind w:left="720"/>
      <w:outlineLvl w:val="8"/>
    </w:pPr>
    <w:rPr>
      <w:i/>
    </w:rPr>
  </w:style>
  <w:style w:type="character" w:default="1" w:styleId="DefaultParagraphFont">
    <w:name w:val="Default Paragraph Font"/>
    <w:uiPriority w:val="1"/>
    <w:unhideWhenUsed/>
    <w:rsid w:val="003D1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216"/>
  </w:style>
  <w:style w:type="character" w:customStyle="1" w:styleId="Heading1Char">
    <w:name w:val="Heading 1 Char"/>
    <w:basedOn w:val="DefaultParagraphFont"/>
    <w:link w:val="Heading1"/>
    <w:rsid w:val="003D1216"/>
    <w:rPr>
      <w:rFonts w:ascii="Times New Roman" w:eastAsia="Times New Roman" w:hAnsi="Times New Roman" w:cs="Times New Roman"/>
      <w:b/>
      <w:sz w:val="32"/>
      <w:szCs w:val="20"/>
      <w:lang w:eastAsia="en-US"/>
    </w:rPr>
  </w:style>
  <w:style w:type="paragraph" w:styleId="BodyText">
    <w:name w:val="Body Text"/>
    <w:basedOn w:val="Normal"/>
    <w:link w:val="BodyTextChar"/>
    <w:rsid w:val="003D1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216"/>
    <w:rPr>
      <w:rFonts w:ascii="Times New Roman" w:eastAsia="Times New Roman" w:hAnsi="Times New Roman" w:cs="Times New Roman"/>
      <w:sz w:val="24"/>
      <w:lang w:val="en-US" w:eastAsia="en-US"/>
    </w:rPr>
  </w:style>
  <w:style w:type="paragraph" w:styleId="Footer">
    <w:name w:val="footer"/>
    <w:basedOn w:val="Normal"/>
    <w:link w:val="FooterChar"/>
    <w:rsid w:val="003D1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216"/>
    <w:rPr>
      <w:rFonts w:ascii="Times New Roman" w:eastAsia="Times New Roman" w:hAnsi="Times New Roman" w:cs="Times New Roman"/>
      <w:sz w:val="16"/>
      <w:lang w:val="en-US" w:eastAsia="en-US"/>
    </w:rPr>
  </w:style>
  <w:style w:type="paragraph" w:styleId="List">
    <w:name w:val="List"/>
    <w:basedOn w:val="BodyText"/>
    <w:next w:val="BodyText"/>
    <w:rsid w:val="003D1216"/>
    <w:pPr>
      <w:tabs>
        <w:tab w:val="left" w:pos="340"/>
      </w:tabs>
      <w:spacing w:before="60" w:after="60"/>
      <w:ind w:left="340" w:hanging="340"/>
    </w:pPr>
  </w:style>
  <w:style w:type="paragraph" w:styleId="ListBullet">
    <w:name w:val="List Bullet"/>
    <w:basedOn w:val="List"/>
    <w:rsid w:val="003D1216"/>
    <w:pPr>
      <w:numPr>
        <w:numId w:val="14"/>
      </w:numPr>
      <w:tabs>
        <w:tab w:val="clear" w:pos="340"/>
      </w:tabs>
      <w:spacing w:before="40" w:after="40"/>
    </w:pPr>
  </w:style>
  <w:style w:type="character" w:customStyle="1" w:styleId="SpecialBold">
    <w:name w:val="Special Bold"/>
    <w:basedOn w:val="DefaultParagraphFont"/>
    <w:rsid w:val="003D1216"/>
    <w:rPr>
      <w:b/>
      <w:spacing w:val="0"/>
    </w:rPr>
  </w:style>
  <w:style w:type="paragraph" w:styleId="ListBullet2">
    <w:name w:val="List Bullet 2"/>
    <w:basedOn w:val="List2"/>
    <w:rsid w:val="003D1216"/>
    <w:pPr>
      <w:numPr>
        <w:numId w:val="15"/>
      </w:numPr>
      <w:tabs>
        <w:tab w:val="clear" w:pos="680"/>
      </w:tabs>
    </w:pPr>
  </w:style>
  <w:style w:type="paragraph" w:styleId="Header">
    <w:name w:val="header"/>
    <w:basedOn w:val="Normal"/>
    <w:link w:val="HeaderChar"/>
    <w:rsid w:val="003D1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2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216"/>
    <w:pPr>
      <w:spacing w:before="240" w:after="120"/>
      <w:outlineLvl w:val="0"/>
    </w:pPr>
    <w:rPr>
      <w:rFonts w:ascii="Times New Roman" w:hAnsi="Times New Roman"/>
      <w:b/>
      <w:sz w:val="28"/>
    </w:rPr>
  </w:style>
  <w:style w:type="paragraph" w:customStyle="1" w:styleId="AllowPageBreak">
    <w:name w:val="AllowPageBreak"/>
    <w:rsid w:val="003D12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1216"/>
    <w:pPr>
      <w:tabs>
        <w:tab w:val="left" w:pos="680"/>
      </w:tabs>
      <w:spacing w:before="60" w:after="60"/>
      <w:ind w:left="680" w:hanging="340"/>
    </w:pPr>
  </w:style>
  <w:style w:type="paragraph" w:styleId="ListBullet3">
    <w:name w:val="List Bullet 3"/>
    <w:basedOn w:val="List3"/>
    <w:rsid w:val="003D1216"/>
    <w:pPr>
      <w:numPr>
        <w:numId w:val="3"/>
      </w:numPr>
      <w:tabs>
        <w:tab w:val="clear" w:pos="1021"/>
      </w:tabs>
      <w:ind w:left="1037" w:hanging="357"/>
    </w:pPr>
  </w:style>
  <w:style w:type="character" w:customStyle="1" w:styleId="BoldandItalics">
    <w:name w:val="Bold and Italics"/>
    <w:qFormat/>
    <w:rsid w:val="003D1216"/>
    <w:rPr>
      <w:b/>
      <w:i/>
      <w:u w:val="none"/>
    </w:rPr>
  </w:style>
  <w:style w:type="character" w:customStyle="1" w:styleId="Heading2Char">
    <w:name w:val="Heading 2 Char"/>
    <w:basedOn w:val="DefaultParagraphFont"/>
    <w:link w:val="Heading2"/>
    <w:rsid w:val="003D1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216"/>
    <w:rPr>
      <w:rFonts w:ascii="Courier New" w:eastAsia="Times New Roman" w:hAnsi="Courier New" w:cs="Times New Roman"/>
      <w:i/>
      <w:szCs w:val="20"/>
      <w:lang w:val="en-US" w:eastAsia="en-US"/>
    </w:rPr>
  </w:style>
  <w:style w:type="paragraph" w:customStyle="1" w:styleId="HeadingBase">
    <w:name w:val="Heading Base"/>
    <w:rsid w:val="003D1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216"/>
    <w:pPr>
      <w:tabs>
        <w:tab w:val="right" w:leader="dot" w:pos="9072"/>
      </w:tabs>
      <w:ind w:left="567"/>
    </w:pPr>
    <w:rPr>
      <w:szCs w:val="22"/>
    </w:rPr>
  </w:style>
  <w:style w:type="paragraph" w:customStyle="1" w:styleId="TOCBase">
    <w:name w:val="TOC Base"/>
    <w:rsid w:val="003D1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216"/>
    <w:pPr>
      <w:tabs>
        <w:tab w:val="right" w:leader="dot" w:pos="9072"/>
      </w:tabs>
      <w:spacing w:before="40" w:after="40"/>
      <w:ind w:left="284"/>
    </w:pPr>
    <w:rPr>
      <w:rFonts w:ascii="Times New Roman" w:hAnsi="Times New Roman"/>
    </w:rPr>
  </w:style>
  <w:style w:type="paragraph" w:styleId="TOC1">
    <w:name w:val="toc 1"/>
    <w:basedOn w:val="TOCBase"/>
    <w:next w:val="Normal"/>
    <w:rsid w:val="003D1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216"/>
    <w:pPr>
      <w:spacing w:before="5040"/>
      <w:jc w:val="center"/>
    </w:pPr>
    <w:rPr>
      <w:sz w:val="48"/>
      <w:szCs w:val="72"/>
      <w:lang w:val="en-US"/>
    </w:rPr>
  </w:style>
  <w:style w:type="character" w:customStyle="1" w:styleId="TitleChar">
    <w:name w:val="Title Char"/>
    <w:basedOn w:val="DefaultParagraphFont"/>
    <w:link w:val="Title"/>
    <w:rsid w:val="003D1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216"/>
    <w:pPr>
      <w:tabs>
        <w:tab w:val="left" w:pos="3600"/>
        <w:tab w:val="left" w:pos="3958"/>
      </w:tabs>
    </w:pPr>
  </w:style>
  <w:style w:type="paragraph" w:customStyle="1" w:styleId="Note">
    <w:name w:val="Note"/>
    <w:basedOn w:val="BodyText"/>
    <w:rsid w:val="003D1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216"/>
    <w:pPr>
      <w:framePr w:wrap="auto" w:hAnchor="text" w:y="6049"/>
    </w:pPr>
    <w:rPr>
      <w:color w:val="000000"/>
      <w:sz w:val="40"/>
    </w:rPr>
  </w:style>
  <w:style w:type="paragraph" w:customStyle="1" w:styleId="TOCTitle">
    <w:name w:val="TOCTitle"/>
    <w:basedOn w:val="Heading1"/>
    <w:rsid w:val="003D1216"/>
    <w:pPr>
      <w:spacing w:after="240"/>
      <w:jc w:val="center"/>
      <w:outlineLvl w:val="9"/>
    </w:pPr>
    <w:rPr>
      <w:caps/>
    </w:rPr>
  </w:style>
  <w:style w:type="paragraph" w:customStyle="1" w:styleId="Version">
    <w:name w:val="Version"/>
    <w:rsid w:val="003D1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216"/>
    <w:pPr>
      <w:keepNext w:val="0"/>
      <w:tabs>
        <w:tab w:val="right" w:pos="4176"/>
      </w:tabs>
      <w:ind w:left="198" w:hanging="198"/>
    </w:pPr>
    <w:rPr>
      <w:rFonts w:ascii="Garamond" w:hAnsi="Garamond"/>
    </w:rPr>
  </w:style>
  <w:style w:type="paragraph" w:styleId="IndexHeading">
    <w:name w:val="index heading"/>
    <w:basedOn w:val="Normal"/>
    <w:next w:val="Index1"/>
    <w:semiHidden/>
    <w:rsid w:val="003D1216"/>
    <w:pPr>
      <w:spacing w:before="120" w:after="120"/>
    </w:pPr>
    <w:rPr>
      <w:rFonts w:ascii="Arial" w:hAnsi="Arial"/>
      <w:b/>
      <w:color w:val="918585"/>
      <w:sz w:val="24"/>
    </w:rPr>
  </w:style>
  <w:style w:type="paragraph" w:customStyle="1" w:styleId="Chapter">
    <w:name w:val="Chapter"/>
    <w:basedOn w:val="Normal"/>
    <w:rsid w:val="003D1216"/>
    <w:pPr>
      <w:spacing w:before="240"/>
    </w:pPr>
    <w:rPr>
      <w:rFonts w:ascii="Times New Roman" w:hAnsi="Times New Roman"/>
      <w:smallCaps/>
      <w:spacing w:val="80"/>
      <w:sz w:val="28"/>
    </w:rPr>
  </w:style>
  <w:style w:type="paragraph" w:customStyle="1" w:styleId="InChapter">
    <w:name w:val="InChapter"/>
    <w:basedOn w:val="Heading3"/>
    <w:rsid w:val="003D1216"/>
    <w:pPr>
      <w:spacing w:after="240"/>
      <w:outlineLvl w:val="9"/>
    </w:pPr>
    <w:rPr>
      <w:noProof/>
    </w:rPr>
  </w:style>
  <w:style w:type="paragraph" w:styleId="Index2">
    <w:name w:val="index 2"/>
    <w:basedOn w:val="Normal"/>
    <w:next w:val="Normal"/>
    <w:semiHidden/>
    <w:rsid w:val="003D1216"/>
    <w:pPr>
      <w:tabs>
        <w:tab w:val="right" w:pos="4176"/>
      </w:tabs>
      <w:ind w:left="568" w:hanging="284"/>
    </w:pPr>
    <w:rPr>
      <w:rFonts w:ascii="Garamond" w:hAnsi="Garamond"/>
    </w:rPr>
  </w:style>
  <w:style w:type="paragraph" w:customStyle="1" w:styleId="Byline">
    <w:name w:val="Byline"/>
    <w:rsid w:val="003D1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216"/>
    <w:pPr>
      <w:tabs>
        <w:tab w:val="clear" w:pos="3600"/>
        <w:tab w:val="clear" w:pos="3958"/>
      </w:tabs>
      <w:jc w:val="right"/>
    </w:pPr>
  </w:style>
  <w:style w:type="character" w:styleId="Emphasis">
    <w:name w:val="Emphasis"/>
    <w:basedOn w:val="DefaultParagraphFont"/>
    <w:qFormat/>
    <w:rsid w:val="003D1216"/>
    <w:rPr>
      <w:i/>
    </w:rPr>
  </w:style>
  <w:style w:type="paragraph" w:styleId="Caption">
    <w:name w:val="caption"/>
    <w:basedOn w:val="BodyText"/>
    <w:next w:val="Normal"/>
    <w:qFormat/>
    <w:rsid w:val="003D1216"/>
    <w:pPr>
      <w:framePr w:w="2268" w:hSpace="181" w:vSpace="181" w:wrap="around" w:vAnchor="text" w:hAnchor="page" w:x="1135" w:y="285" w:anchorLock="1"/>
    </w:pPr>
    <w:rPr>
      <w:i/>
    </w:rPr>
  </w:style>
  <w:style w:type="paragraph" w:customStyle="1" w:styleId="MiniTOCTitle">
    <w:name w:val="MiniTOCTitle"/>
    <w:basedOn w:val="Heading4"/>
    <w:rsid w:val="003D1216"/>
    <w:pPr>
      <w:spacing w:before="240"/>
      <w:outlineLvl w:val="9"/>
    </w:pPr>
    <w:rPr>
      <w:noProof/>
      <w:sz w:val="24"/>
    </w:rPr>
  </w:style>
  <w:style w:type="paragraph" w:customStyle="1" w:styleId="MiniTOCItem">
    <w:name w:val="MiniTOCItem"/>
    <w:basedOn w:val="ListBullet"/>
    <w:rsid w:val="003D1216"/>
    <w:pPr>
      <w:numPr>
        <w:numId w:val="0"/>
      </w:numPr>
      <w:tabs>
        <w:tab w:val="right" w:leader="dot" w:pos="6521"/>
      </w:tabs>
      <w:spacing w:before="0" w:after="0"/>
    </w:pPr>
  </w:style>
  <w:style w:type="paragraph" w:customStyle="1" w:styleId="TOFTitle">
    <w:name w:val="TOFTitle"/>
    <w:basedOn w:val="TOCTitle"/>
    <w:rsid w:val="003D1216"/>
  </w:style>
  <w:style w:type="paragraph" w:styleId="TableofFigures">
    <w:name w:val="table of figures"/>
    <w:basedOn w:val="Normal"/>
    <w:next w:val="Normal"/>
    <w:semiHidden/>
    <w:rsid w:val="003D1216"/>
    <w:pPr>
      <w:tabs>
        <w:tab w:val="right" w:leader="dot" w:pos="9072"/>
      </w:tabs>
      <w:ind w:left="970" w:hanging="403"/>
    </w:pPr>
    <w:rPr>
      <w:rFonts w:ascii="Times New Roman" w:hAnsi="Times New Roman"/>
      <w:b/>
    </w:rPr>
  </w:style>
  <w:style w:type="paragraph" w:styleId="ListNumber">
    <w:name w:val="List Number"/>
    <w:basedOn w:val="List"/>
    <w:rsid w:val="003D1216"/>
    <w:pPr>
      <w:numPr>
        <w:numId w:val="12"/>
      </w:numPr>
    </w:pPr>
  </w:style>
  <w:style w:type="character" w:customStyle="1" w:styleId="WingdingSymbols">
    <w:name w:val="Wingding Symbols"/>
    <w:rsid w:val="003D1216"/>
    <w:rPr>
      <w:rFonts w:ascii="Wingdings" w:hAnsi="Wingdings"/>
    </w:rPr>
  </w:style>
  <w:style w:type="paragraph" w:customStyle="1" w:styleId="TableHeading">
    <w:name w:val="Table Heading"/>
    <w:basedOn w:val="HeadingBase"/>
    <w:rsid w:val="003D1216"/>
    <w:pPr>
      <w:keepLines/>
      <w:pBdr>
        <w:bottom w:val="single" w:sz="6" w:space="1" w:color="918585"/>
      </w:pBdr>
      <w:spacing w:before="240"/>
    </w:pPr>
  </w:style>
  <w:style w:type="character" w:customStyle="1" w:styleId="HotSpot">
    <w:name w:val="HotSpot"/>
    <w:rsid w:val="003D1216"/>
    <w:rPr>
      <w:color w:val="0033CC"/>
      <w:u w:val="none"/>
    </w:rPr>
  </w:style>
  <w:style w:type="paragraph" w:customStyle="1" w:styleId="BodyTextRight">
    <w:name w:val="Body Text Right"/>
    <w:basedOn w:val="BodyText"/>
    <w:rsid w:val="003D1216"/>
    <w:pPr>
      <w:spacing w:before="0" w:after="0"/>
      <w:jc w:val="right"/>
    </w:pPr>
  </w:style>
  <w:style w:type="paragraph" w:styleId="Index3">
    <w:name w:val="index 3"/>
    <w:basedOn w:val="ListNumber2"/>
    <w:next w:val="Normal"/>
    <w:semiHidden/>
    <w:rsid w:val="003D1216"/>
    <w:pPr>
      <w:numPr>
        <w:numId w:val="0"/>
      </w:numPr>
      <w:tabs>
        <w:tab w:val="right" w:leader="dot" w:pos="4176"/>
      </w:tabs>
    </w:pPr>
  </w:style>
  <w:style w:type="paragraph" w:styleId="ListNumber2">
    <w:name w:val="List Number 2"/>
    <w:basedOn w:val="List2"/>
    <w:rsid w:val="003D1216"/>
    <w:pPr>
      <w:numPr>
        <w:numId w:val="11"/>
      </w:numPr>
      <w:tabs>
        <w:tab w:val="clear" w:pos="1060"/>
      </w:tabs>
    </w:pPr>
  </w:style>
  <w:style w:type="paragraph" w:customStyle="1" w:styleId="MarginNote">
    <w:name w:val="Margin Note"/>
    <w:basedOn w:val="BodyText"/>
    <w:rsid w:val="003D1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216"/>
    <w:rPr>
      <w:sz w:val="32"/>
    </w:rPr>
  </w:style>
  <w:style w:type="paragraph" w:customStyle="1" w:styleId="HeadingProcedure">
    <w:name w:val="Heading Procedure"/>
    <w:basedOn w:val="HeadingBase"/>
    <w:next w:val="Normal"/>
    <w:rsid w:val="003D1216"/>
    <w:pPr>
      <w:tabs>
        <w:tab w:val="left" w:pos="0"/>
      </w:tabs>
      <w:spacing w:before="120" w:after="60"/>
    </w:pPr>
    <w:rPr>
      <w:i/>
      <w:color w:val="918585"/>
      <w:sz w:val="22"/>
    </w:rPr>
  </w:style>
  <w:style w:type="paragraph" w:customStyle="1" w:styleId="TableBodyText">
    <w:name w:val="Table Body Text"/>
    <w:basedOn w:val="BodyText"/>
    <w:rsid w:val="003D1216"/>
    <w:pPr>
      <w:spacing w:before="60" w:after="60"/>
    </w:pPr>
  </w:style>
  <w:style w:type="paragraph" w:styleId="ListContinue">
    <w:name w:val="List Continue"/>
    <w:basedOn w:val="List"/>
    <w:rsid w:val="003D1216"/>
    <w:pPr>
      <w:ind w:firstLine="0"/>
    </w:pPr>
  </w:style>
  <w:style w:type="paragraph" w:customStyle="1" w:styleId="ListNote">
    <w:name w:val="List Note"/>
    <w:basedOn w:val="List"/>
    <w:rsid w:val="003D1216"/>
    <w:pPr>
      <w:pBdr>
        <w:top w:val="single" w:sz="6" w:space="2" w:color="918585"/>
        <w:bottom w:val="single" w:sz="6" w:space="2" w:color="918585"/>
      </w:pBdr>
      <w:tabs>
        <w:tab w:val="left" w:pos="1021"/>
      </w:tabs>
      <w:ind w:firstLine="0"/>
    </w:pPr>
  </w:style>
  <w:style w:type="paragraph" w:customStyle="1" w:styleId="Warning">
    <w:name w:val="Warning"/>
    <w:basedOn w:val="BodyText"/>
    <w:rsid w:val="003D1216"/>
    <w:pPr>
      <w:shd w:val="clear" w:color="auto" w:fill="D9D9D9"/>
      <w:tabs>
        <w:tab w:val="left" w:pos="992"/>
      </w:tabs>
      <w:ind w:left="119" w:right="119"/>
    </w:pPr>
    <w:rPr>
      <w:sz w:val="20"/>
    </w:rPr>
  </w:style>
  <w:style w:type="paragraph" w:customStyle="1" w:styleId="MarginIcons">
    <w:name w:val="Margin Icons"/>
    <w:basedOn w:val="BodyText"/>
    <w:rsid w:val="003D1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216"/>
    <w:rPr>
      <w:rFonts w:ascii="Courier New" w:hAnsi="Courier New"/>
    </w:rPr>
  </w:style>
  <w:style w:type="paragraph" w:customStyle="1" w:styleId="NoteBullet">
    <w:name w:val="Note Bullet"/>
    <w:basedOn w:val="Note"/>
    <w:rsid w:val="003D1216"/>
    <w:pPr>
      <w:tabs>
        <w:tab w:val="clear" w:pos="680"/>
      </w:tabs>
      <w:spacing w:before="60" w:after="60"/>
    </w:pPr>
  </w:style>
  <w:style w:type="paragraph" w:customStyle="1" w:styleId="SubHeading2">
    <w:name w:val="SubHeading2"/>
    <w:basedOn w:val="HeadingBase"/>
    <w:rsid w:val="003D1216"/>
    <w:pPr>
      <w:spacing w:before="240" w:after="60"/>
    </w:pPr>
    <w:rPr>
      <w:sz w:val="20"/>
    </w:rPr>
  </w:style>
  <w:style w:type="paragraph" w:customStyle="1" w:styleId="SubHeading1">
    <w:name w:val="SubHeading1"/>
    <w:basedOn w:val="HeadingBase"/>
    <w:rsid w:val="003D1216"/>
    <w:pPr>
      <w:spacing w:before="240" w:after="60"/>
    </w:pPr>
    <w:rPr>
      <w:color w:val="918585"/>
      <w:sz w:val="22"/>
    </w:rPr>
  </w:style>
  <w:style w:type="paragraph" w:customStyle="1" w:styleId="SideHeading">
    <w:name w:val="Side Heading"/>
    <w:basedOn w:val="HeadingBase"/>
    <w:rsid w:val="003D1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216"/>
    <w:pPr>
      <w:numPr>
        <w:numId w:val="13"/>
      </w:numPr>
    </w:pPr>
  </w:style>
  <w:style w:type="paragraph" w:styleId="PlainText">
    <w:name w:val="Plain Text"/>
    <w:basedOn w:val="Normal"/>
    <w:link w:val="PlainTextChar"/>
    <w:rsid w:val="003D1216"/>
    <w:rPr>
      <w:sz w:val="20"/>
    </w:rPr>
  </w:style>
  <w:style w:type="character" w:customStyle="1" w:styleId="PlainTextChar">
    <w:name w:val="Plain Text Char"/>
    <w:basedOn w:val="DefaultParagraphFont"/>
    <w:link w:val="PlainText"/>
    <w:rsid w:val="003D12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216"/>
    <w:rPr>
      <w:b/>
      <w:smallCaps/>
    </w:rPr>
  </w:style>
  <w:style w:type="paragraph" w:customStyle="1" w:styleId="TableListNumber">
    <w:name w:val="Table List Number"/>
    <w:basedOn w:val="ListNumber"/>
    <w:rsid w:val="003D1216"/>
    <w:pPr>
      <w:numPr>
        <w:numId w:val="0"/>
      </w:numPr>
    </w:pPr>
  </w:style>
  <w:style w:type="paragraph" w:styleId="TOC4">
    <w:name w:val="toc 4"/>
    <w:basedOn w:val="TOCBase"/>
    <w:next w:val="Normal"/>
    <w:semiHidden/>
    <w:rsid w:val="003D1216"/>
    <w:pPr>
      <w:tabs>
        <w:tab w:val="right" w:leader="dot" w:pos="9071"/>
      </w:tabs>
      <w:ind w:left="1701"/>
    </w:pPr>
  </w:style>
  <w:style w:type="paragraph" w:customStyle="1" w:styleId="ListAlpha">
    <w:name w:val="List Alpha"/>
    <w:basedOn w:val="List"/>
    <w:rsid w:val="003D1216"/>
    <w:pPr>
      <w:numPr>
        <w:numId w:val="10"/>
      </w:numPr>
    </w:pPr>
  </w:style>
  <w:style w:type="paragraph" w:customStyle="1" w:styleId="ListAlpha2">
    <w:name w:val="List Alpha 2"/>
    <w:basedOn w:val="List2"/>
    <w:rsid w:val="003D1216"/>
    <w:pPr>
      <w:numPr>
        <w:numId w:val="9"/>
      </w:numPr>
    </w:pPr>
  </w:style>
  <w:style w:type="paragraph" w:styleId="List3">
    <w:name w:val="List 3"/>
    <w:basedOn w:val="BodyText"/>
    <w:rsid w:val="003D1216"/>
    <w:pPr>
      <w:tabs>
        <w:tab w:val="left" w:pos="1021"/>
      </w:tabs>
      <w:spacing w:before="60" w:after="60"/>
      <w:ind w:left="1020" w:hanging="340"/>
    </w:pPr>
  </w:style>
  <w:style w:type="paragraph" w:styleId="List4">
    <w:name w:val="List 4"/>
    <w:basedOn w:val="BodyText"/>
    <w:rsid w:val="003D1216"/>
    <w:pPr>
      <w:tabs>
        <w:tab w:val="left" w:pos="1361"/>
      </w:tabs>
      <w:spacing w:before="60" w:after="60"/>
      <w:ind w:left="1361" w:hanging="340"/>
    </w:pPr>
  </w:style>
  <w:style w:type="paragraph" w:styleId="List5">
    <w:name w:val="List 5"/>
    <w:basedOn w:val="BodyText"/>
    <w:rsid w:val="003D1216"/>
    <w:pPr>
      <w:tabs>
        <w:tab w:val="left" w:pos="1701"/>
      </w:tabs>
      <w:spacing w:before="60" w:after="60"/>
      <w:ind w:left="1701" w:hanging="340"/>
    </w:pPr>
  </w:style>
  <w:style w:type="paragraph" w:styleId="ListBullet4">
    <w:name w:val="List Bullet 4"/>
    <w:basedOn w:val="List4"/>
    <w:rsid w:val="003D1216"/>
    <w:pPr>
      <w:numPr>
        <w:numId w:val="4"/>
      </w:numPr>
    </w:pPr>
  </w:style>
  <w:style w:type="paragraph" w:styleId="ListBullet5">
    <w:name w:val="List Bullet 5"/>
    <w:basedOn w:val="List5"/>
    <w:rsid w:val="003D1216"/>
    <w:pPr>
      <w:numPr>
        <w:numId w:val="5"/>
      </w:numPr>
    </w:pPr>
  </w:style>
  <w:style w:type="paragraph" w:styleId="ListContinue2">
    <w:name w:val="List Continue 2"/>
    <w:basedOn w:val="List2"/>
    <w:rsid w:val="003D1216"/>
    <w:pPr>
      <w:ind w:firstLine="0"/>
    </w:pPr>
  </w:style>
  <w:style w:type="paragraph" w:styleId="ListContinue3">
    <w:name w:val="List Continue 3"/>
    <w:basedOn w:val="List3"/>
    <w:rsid w:val="003D1216"/>
    <w:pPr>
      <w:ind w:left="1021" w:firstLine="0"/>
    </w:pPr>
  </w:style>
  <w:style w:type="paragraph" w:styleId="ListContinue4">
    <w:name w:val="List Continue 4"/>
    <w:basedOn w:val="List4"/>
    <w:rsid w:val="003D1216"/>
    <w:pPr>
      <w:ind w:firstLine="0"/>
    </w:pPr>
  </w:style>
  <w:style w:type="paragraph" w:styleId="ListContinue5">
    <w:name w:val="List Continue 5"/>
    <w:basedOn w:val="List5"/>
    <w:rsid w:val="003D1216"/>
    <w:pPr>
      <w:ind w:firstLine="0"/>
    </w:pPr>
  </w:style>
  <w:style w:type="paragraph" w:styleId="ListNumber3">
    <w:name w:val="List Number 3"/>
    <w:basedOn w:val="List3"/>
    <w:rsid w:val="003D1216"/>
    <w:pPr>
      <w:numPr>
        <w:numId w:val="6"/>
      </w:numPr>
    </w:pPr>
  </w:style>
  <w:style w:type="paragraph" w:styleId="ListNumber4">
    <w:name w:val="List Number 4"/>
    <w:basedOn w:val="List4"/>
    <w:rsid w:val="003D1216"/>
    <w:pPr>
      <w:numPr>
        <w:numId w:val="7"/>
      </w:numPr>
    </w:pPr>
  </w:style>
  <w:style w:type="paragraph" w:styleId="ListNumber5">
    <w:name w:val="List Number 5"/>
    <w:basedOn w:val="List5"/>
    <w:rsid w:val="003D1216"/>
    <w:pPr>
      <w:numPr>
        <w:numId w:val="8"/>
      </w:numPr>
    </w:pPr>
  </w:style>
  <w:style w:type="paragraph" w:styleId="BlockText">
    <w:name w:val="Block Text"/>
    <w:basedOn w:val="Normal"/>
    <w:rsid w:val="003D1216"/>
    <w:pPr>
      <w:spacing w:after="120"/>
      <w:ind w:left="1440" w:right="1440"/>
    </w:pPr>
  </w:style>
  <w:style w:type="character" w:customStyle="1" w:styleId="Subscript">
    <w:name w:val="Subscript"/>
    <w:basedOn w:val="DefaultParagraphFont"/>
    <w:rsid w:val="003D1216"/>
    <w:rPr>
      <w:sz w:val="16"/>
      <w:vertAlign w:val="subscript"/>
    </w:rPr>
  </w:style>
  <w:style w:type="character" w:customStyle="1" w:styleId="Superscript">
    <w:name w:val="Superscript"/>
    <w:basedOn w:val="DefaultParagraphFont"/>
    <w:rsid w:val="003D1216"/>
    <w:rPr>
      <w:sz w:val="16"/>
      <w:vertAlign w:val="superscript"/>
    </w:rPr>
  </w:style>
  <w:style w:type="character" w:customStyle="1" w:styleId="Symbols">
    <w:name w:val="Symbols"/>
    <w:basedOn w:val="DefaultParagraphFont"/>
    <w:rsid w:val="003D1216"/>
    <w:rPr>
      <w:rFonts w:ascii="Symbol" w:hAnsi="Symbol"/>
    </w:rPr>
  </w:style>
  <w:style w:type="character" w:customStyle="1" w:styleId="MenuOptions">
    <w:name w:val="Menu Options"/>
    <w:basedOn w:val="DefaultParagraphFont"/>
    <w:rsid w:val="003D1216"/>
    <w:rPr>
      <w:rFonts w:ascii="Arial Narrow" w:hAnsi="Arial Narrow"/>
      <w:smallCaps/>
    </w:rPr>
  </w:style>
  <w:style w:type="character" w:customStyle="1" w:styleId="Buttons">
    <w:name w:val="Buttons"/>
    <w:basedOn w:val="DefaultParagraphFont"/>
    <w:rsid w:val="003D1216"/>
    <w:rPr>
      <w:b/>
    </w:rPr>
  </w:style>
  <w:style w:type="character" w:customStyle="1" w:styleId="Underlined">
    <w:name w:val="Underlined"/>
    <w:basedOn w:val="DefaultParagraphFont"/>
    <w:rsid w:val="003D1216"/>
    <w:rPr>
      <w:u w:val="single"/>
    </w:rPr>
  </w:style>
  <w:style w:type="paragraph" w:customStyle="1" w:styleId="TableBodyTextRight">
    <w:name w:val="Table Body Text Right"/>
    <w:basedOn w:val="TableBodyText"/>
    <w:rsid w:val="003D1216"/>
    <w:pPr>
      <w:widowControl w:val="0"/>
      <w:autoSpaceDE w:val="0"/>
      <w:autoSpaceDN w:val="0"/>
      <w:adjustRightInd w:val="0"/>
      <w:jc w:val="right"/>
    </w:pPr>
    <w:rPr>
      <w:rFonts w:cs="Arial"/>
      <w:szCs w:val="18"/>
    </w:rPr>
  </w:style>
  <w:style w:type="paragraph" w:customStyle="1" w:styleId="CopyrightText">
    <w:name w:val="Copyright Text"/>
    <w:basedOn w:val="BodyText"/>
    <w:rsid w:val="003D1216"/>
    <w:rPr>
      <w:sz w:val="18"/>
    </w:rPr>
  </w:style>
  <w:style w:type="paragraph" w:customStyle="1" w:styleId="BodySmallRight">
    <w:name w:val="Body Small Right"/>
    <w:basedOn w:val="BodyTextRight"/>
    <w:rsid w:val="003D1216"/>
    <w:rPr>
      <w:sz w:val="18"/>
      <w:szCs w:val="18"/>
    </w:rPr>
  </w:style>
  <w:style w:type="paragraph" w:customStyle="1" w:styleId="MarginEdition">
    <w:name w:val="Margin Edition"/>
    <w:basedOn w:val="MarginNote"/>
    <w:rsid w:val="003D1216"/>
    <w:pPr>
      <w:spacing w:before="0" w:after="0"/>
    </w:pPr>
    <w:rPr>
      <w:rFonts w:ascii="Times New Roman" w:hAnsi="Times New Roman"/>
      <w:color w:val="999999"/>
    </w:rPr>
  </w:style>
  <w:style w:type="paragraph" w:customStyle="1" w:styleId="Spacer">
    <w:name w:val="Spacer"/>
    <w:basedOn w:val="Normal"/>
    <w:rsid w:val="003D1216"/>
    <w:rPr>
      <w:sz w:val="2"/>
      <w:szCs w:val="2"/>
    </w:rPr>
  </w:style>
  <w:style w:type="character" w:customStyle="1" w:styleId="Small">
    <w:name w:val="Small"/>
    <w:basedOn w:val="DefaultParagraphFont"/>
    <w:rsid w:val="003D1216"/>
    <w:rPr>
      <w:sz w:val="16"/>
    </w:rPr>
  </w:style>
  <w:style w:type="paragraph" w:customStyle="1" w:styleId="WideTable">
    <w:name w:val="Wide Table"/>
    <w:basedOn w:val="Normal"/>
    <w:rsid w:val="003D1216"/>
    <w:pPr>
      <w:ind w:left="-1418"/>
    </w:pPr>
    <w:rPr>
      <w:sz w:val="2"/>
      <w:szCs w:val="2"/>
    </w:rPr>
  </w:style>
  <w:style w:type="character" w:styleId="PageNumber">
    <w:name w:val="page number"/>
    <w:basedOn w:val="DefaultParagraphFont"/>
    <w:rsid w:val="003D1216"/>
  </w:style>
  <w:style w:type="paragraph" w:styleId="Quote">
    <w:name w:val="Quote"/>
    <w:basedOn w:val="Heading1"/>
    <w:link w:val="QuoteChar"/>
    <w:qFormat/>
    <w:rsid w:val="003D1216"/>
    <w:rPr>
      <w:b w:val="0"/>
      <w:sz w:val="72"/>
      <w:szCs w:val="72"/>
      <w:lang w:val="en-NZ"/>
    </w:rPr>
  </w:style>
  <w:style w:type="character" w:customStyle="1" w:styleId="QuoteChar">
    <w:name w:val="Quote Char"/>
    <w:basedOn w:val="DefaultParagraphFont"/>
    <w:link w:val="Quote"/>
    <w:rsid w:val="003D1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216"/>
    <w:pPr>
      <w:pageBreakBefore/>
    </w:pPr>
  </w:style>
  <w:style w:type="paragraph" w:customStyle="1" w:styleId="Border">
    <w:name w:val="Border"/>
    <w:basedOn w:val="Normal"/>
    <w:qFormat/>
    <w:rsid w:val="003D1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216"/>
    <w:rPr>
      <w:b/>
      <w:bCs/>
      <w:i/>
      <w:iCs/>
      <w:color w:val="auto"/>
    </w:rPr>
  </w:style>
  <w:style w:type="paragraph" w:styleId="IntenseQuote">
    <w:name w:val="Intense Quote"/>
    <w:basedOn w:val="Normal"/>
    <w:next w:val="Normal"/>
    <w:link w:val="IntenseQuoteChar"/>
    <w:uiPriority w:val="30"/>
    <w:qFormat/>
    <w:rsid w:val="003D1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2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216"/>
    <w:rPr>
      <w:smallCaps/>
      <w:color w:val="auto"/>
      <w:u w:val="single"/>
    </w:rPr>
  </w:style>
  <w:style w:type="character" w:styleId="IntenseReference">
    <w:name w:val="Intense Reference"/>
    <w:basedOn w:val="DefaultParagraphFont"/>
    <w:uiPriority w:val="32"/>
    <w:qFormat/>
    <w:rsid w:val="003D1216"/>
    <w:rPr>
      <w:b/>
      <w:bCs/>
      <w:smallCaps/>
      <w:color w:val="auto"/>
      <w:spacing w:val="5"/>
      <w:u w:val="single"/>
    </w:rPr>
  </w:style>
  <w:style w:type="paragraph" w:customStyle="1" w:styleId="2ColumnHeading">
    <w:name w:val="2Column Heading"/>
    <w:basedOn w:val="BodyText"/>
    <w:qFormat/>
    <w:rsid w:val="003D1216"/>
    <w:pPr>
      <w:spacing w:after="60"/>
      <w:ind w:left="-2268"/>
    </w:pPr>
    <w:rPr>
      <w:b/>
    </w:rPr>
  </w:style>
  <w:style w:type="paragraph" w:customStyle="1" w:styleId="Heading1TOC">
    <w:name w:val="Heading1 TOC"/>
    <w:basedOn w:val="Normal"/>
    <w:qFormat/>
    <w:rsid w:val="003D1216"/>
    <w:pPr>
      <w:spacing w:before="240" w:after="120"/>
    </w:pPr>
    <w:rPr>
      <w:rFonts w:ascii="Times New Roman" w:hAnsi="Times New Roman"/>
      <w:b/>
      <w:sz w:val="32"/>
    </w:rPr>
  </w:style>
  <w:style w:type="paragraph" w:customStyle="1" w:styleId="Heading2TOC">
    <w:name w:val="Heading2 TOC"/>
    <w:basedOn w:val="Normal"/>
    <w:qFormat/>
    <w:rsid w:val="003D1216"/>
    <w:pPr>
      <w:spacing w:before="240" w:after="60"/>
    </w:pPr>
    <w:rPr>
      <w:rFonts w:ascii="Times New Roman" w:hAnsi="Times New Roman"/>
      <w:b/>
      <w:sz w:val="28"/>
    </w:rPr>
  </w:style>
  <w:style w:type="character" w:customStyle="1" w:styleId="Underline">
    <w:name w:val="Underline"/>
    <w:basedOn w:val="DefaultParagraphFont"/>
    <w:qFormat/>
    <w:rsid w:val="003D1216"/>
    <w:rPr>
      <w:u w:val="single"/>
    </w:rPr>
  </w:style>
  <w:style w:type="paragraph" w:styleId="BalloonText">
    <w:name w:val="Balloon Text"/>
    <w:basedOn w:val="Normal"/>
    <w:link w:val="BalloonTextChar"/>
    <w:rsid w:val="003D1216"/>
    <w:rPr>
      <w:rFonts w:ascii="Tahoma" w:hAnsi="Tahoma" w:cs="Tahoma"/>
      <w:sz w:val="16"/>
      <w:szCs w:val="16"/>
    </w:rPr>
  </w:style>
  <w:style w:type="character" w:customStyle="1" w:styleId="BalloonTextChar">
    <w:name w:val="Balloon Text Char"/>
    <w:basedOn w:val="DefaultParagraphFont"/>
    <w:link w:val="BalloonText"/>
    <w:rsid w:val="003D1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2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1548</Words>
  <Characters>9614</Characters>
  <Application>Microsoft Office Word</Application>
  <DocSecurity>0</DocSecurity>
  <Lines>387</Lines>
  <Paragraphs>238</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FNSFLT206A Develop understanding of taxation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2012-05-26T16:16:00Z</dcterms:created>
  <dcterms:modified xsi:type="dcterms:W3CDTF">2012-05-26T16:16:00Z</dcterms:modified>
</cp:coreProperties>
</file>