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3A7B" w:rsidP="00753A7B">
      <w:pPr>
        <w:pStyle w:val="Title"/>
      </w:pPr>
      <w:bookmarkStart w:id="0" w:name="_GoBack"/>
      <w:bookmarkEnd w:id="0"/>
      <w:r>
        <w:fldChar w:fldCharType="begin"/>
      </w:r>
      <w:r>
        <w:instrText xml:space="preserve"> TITLE   \* MERGEFORMAT </w:instrText>
      </w:r>
      <w:r>
        <w:fldChar w:fldCharType="separate"/>
      </w:r>
      <w:r>
        <w:t>FNSFLT205A Develop understanding of the Australian financial system and markets</w:t>
      </w:r>
      <w:r>
        <w:fldChar w:fldCharType="end"/>
      </w:r>
    </w:p>
    <w:p w:rsidR="00753A7B" w:rsidP="00753A7B">
      <w:pPr>
        <w:pStyle w:val="Version"/>
        <w:sectPr w:rsidSect="007D03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D0315" w:rsidP="007D0315">
      <w:pPr>
        <w:pStyle w:val="SuperHeading"/>
      </w:pPr>
      <w:r w:rsidRPr="007D0315">
        <w:t>FNSFLT205A Develop understanding of the Australian financial system and markets</w:t>
      </w:r>
    </w:p>
    <w:p w:rsidR="00000000" w:rsidRPr="007D0315" w:rsidP="007D0315">
      <w:pPr>
        <w:pStyle w:val="SuperHeading"/>
      </w:pPr>
    </w:p>
    <w:p w:rsidR="00000000" w:rsidRPr="007D0315" w:rsidP="007D0315">
      <w:pPr>
        <w:pStyle w:val="Heading1"/>
      </w:pPr>
      <w:bookmarkStart w:id="1" w:name="O_78159"/>
      <w:bookmarkEnd w:id="1"/>
      <w:r w:rsidRPr="007D0315">
        <w:t>Modification History</w:t>
      </w:r>
    </w:p>
    <w:p w:rsidR="00000000" w:rsidRPr="007D0315" w:rsidP="007D0315">
      <w:pPr>
        <w:pStyle w:val="BodyText"/>
      </w:pPr>
      <w:r w:rsidRPr="007D0315">
        <w:t>Not applicable.</w:t>
      </w:r>
    </w:p>
    <w:p w:rsidR="00000000" w:rsidRPr="007D0315" w:rsidP="007D0315">
      <w:pPr>
        <w:pStyle w:val="AllowPageBreak"/>
      </w:pPr>
    </w:p>
    <w:p w:rsidR="00000000" w:rsidRPr="007D0315" w:rsidP="007D0315">
      <w:pPr>
        <w:pStyle w:val="Heading1"/>
      </w:pPr>
      <w:bookmarkStart w:id="2" w:name="O_78160"/>
      <w:bookmarkEnd w:id="2"/>
      <w:r w:rsidRPr="007D0315">
        <w:t>Unit Descriptor</w:t>
      </w:r>
    </w:p>
    <w:tbl>
      <w:tblPr>
        <w:tblW w:w="0" w:type="auto"/>
        <w:tblLayout w:type="fixed"/>
        <w:tblCellMar>
          <w:left w:w="62" w:type="dxa"/>
          <w:right w:w="62" w:type="dxa"/>
        </w:tblCellMar>
        <w:tblLook w:val="0000"/>
      </w:tblPr>
      <w:tblGrid>
        <w:gridCol w:w="2642"/>
        <w:gridCol w:w="5880"/>
      </w:tblGrid>
      <w:tr w:rsidTr="00753A7B">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SpecialBold"/>
              </w:rPr>
              <w:t>Uni</w:t>
            </w:r>
            <w:r w:rsidRPr="007D0315">
              <w:rPr>
                <w:rStyle w:val="SpecialBold"/>
              </w:rPr>
              <w:t>t descriptor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BodyText"/>
            </w:pPr>
            <w:r w:rsidRPr="007D0315">
              <w:t>This unit describes the performance outcomes, skills and knowledge required to understand the financial systems and markets operating in Australia, including identifying the main participants in financial markets, the role of the central bank,</w:t>
            </w:r>
            <w:r w:rsidRPr="007D0315">
              <w:t xml:space="preserve"> the impact of its decisions on business and consumers, key factors that influence the Australian economy and the role of financial regulators.</w:t>
            </w:r>
          </w:p>
          <w:p w:rsidR="00000000" w:rsidRPr="007D0315" w:rsidP="007D0315">
            <w:pPr>
              <w:pStyle w:val="BodyText"/>
            </w:pPr>
          </w:p>
          <w:p w:rsidR="00000000" w:rsidRPr="007D0315" w:rsidP="007D0315">
            <w:pPr>
              <w:pStyle w:val="BodyText"/>
            </w:pPr>
            <w:r w:rsidRPr="007D0315">
              <w:t>No licensing, legislative, regulatory or certification requirements apply to this unit at the time of endorseme</w:t>
            </w:r>
            <w:r w:rsidRPr="007D0315">
              <w:t>nt.</w:t>
            </w:r>
          </w:p>
        </w:tc>
      </w:tr>
    </w:tbl>
    <w:p w:rsidR="00000000" w:rsidRPr="007D0315" w:rsidP="007D0315">
      <w:pPr>
        <w:pStyle w:val="BodyText"/>
      </w:pPr>
    </w:p>
    <w:p w:rsidR="00000000" w:rsidRPr="007D0315" w:rsidP="007D0315">
      <w:pPr>
        <w:pStyle w:val="AllowPageBreak"/>
      </w:pPr>
    </w:p>
    <w:p w:rsidR="00000000" w:rsidRPr="007D0315" w:rsidP="007D0315">
      <w:pPr>
        <w:pStyle w:val="Heading1"/>
      </w:pPr>
      <w:bookmarkStart w:id="3" w:name="O_78161"/>
      <w:bookmarkEnd w:id="3"/>
      <w:r w:rsidRPr="007D0315">
        <w:t>Application of the Unit</w:t>
      </w:r>
    </w:p>
    <w:tbl>
      <w:tblPr>
        <w:tblW w:w="0" w:type="auto"/>
        <w:tblLayout w:type="fixed"/>
        <w:tblCellMar>
          <w:left w:w="62" w:type="dxa"/>
          <w:right w:w="62" w:type="dxa"/>
        </w:tblCellMar>
        <w:tblLook w:val="0000"/>
      </w:tblPr>
      <w:tblGrid>
        <w:gridCol w:w="2719"/>
        <w:gridCol w:w="5803"/>
      </w:tblGrid>
      <w:tr w:rsidTr="00753A7B">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SpecialBold"/>
              </w:rPr>
              <w:t>Application of the unit</w:t>
            </w:r>
          </w:p>
        </w:tc>
        <w:tc>
          <w:tcPr>
            <w:tcW w:w="5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BodyText"/>
            </w:pPr>
            <w:r w:rsidRPr="007D0315">
              <w:t xml:space="preserve">This unit has wide application and may be used in workplaces, schools, adult and community learning organisations or Registered Training Organisations </w:t>
            </w:r>
            <w:r w:rsidRPr="007D0315">
              <w:t>(RTOs) in order to build the financial literacy of learners. The unit may also be used as part of pre-vocational or new apprenticeship programs or as part of services provided by counselling or advisory organisations.</w:t>
            </w:r>
          </w:p>
        </w:tc>
      </w:tr>
    </w:tbl>
    <w:p w:rsidR="00000000" w:rsidRPr="007D0315" w:rsidP="007D0315">
      <w:pPr>
        <w:pStyle w:val="BodyText"/>
      </w:pPr>
    </w:p>
    <w:p w:rsidR="00000000" w:rsidRPr="007D0315" w:rsidP="007D0315">
      <w:pPr>
        <w:pStyle w:val="AllowPageBreak"/>
      </w:pPr>
    </w:p>
    <w:p w:rsidR="00000000" w:rsidRPr="007D0315" w:rsidP="007D0315">
      <w:pPr>
        <w:pStyle w:val="Heading1"/>
      </w:pPr>
      <w:bookmarkStart w:id="4" w:name="O_78162"/>
      <w:bookmarkEnd w:id="4"/>
      <w:r w:rsidRPr="007D0315">
        <w:t xml:space="preserve">Licensing/Regulatory </w:t>
      </w:r>
      <w:r w:rsidRPr="007D0315">
        <w:t>Information</w:t>
      </w:r>
    </w:p>
    <w:p w:rsidR="00000000" w:rsidRPr="007D0315" w:rsidP="007D0315">
      <w:pPr>
        <w:pStyle w:val="BodyText"/>
      </w:pPr>
      <w:r w:rsidRPr="007D0315">
        <w:t>Not applicable.</w:t>
      </w:r>
    </w:p>
    <w:p w:rsidR="00000000" w:rsidRPr="007D0315" w:rsidP="007D0315">
      <w:pPr>
        <w:pStyle w:val="AllowPageBreak"/>
      </w:pPr>
    </w:p>
    <w:p w:rsidR="00000000" w:rsidRPr="007D0315" w:rsidP="007D0315">
      <w:pPr>
        <w:pStyle w:val="Heading1"/>
      </w:pPr>
      <w:bookmarkStart w:id="5" w:name="O_78163"/>
      <w:bookmarkEnd w:id="5"/>
      <w:r w:rsidRPr="007D0315">
        <w:t>Pre-Requisites</w:t>
      </w:r>
    </w:p>
    <w:tbl>
      <w:tblPr>
        <w:tblW w:w="0" w:type="auto"/>
        <w:tblLayout w:type="fixed"/>
        <w:tblCellMar>
          <w:left w:w="62" w:type="dxa"/>
          <w:right w:w="62" w:type="dxa"/>
        </w:tblCellMar>
        <w:tblLook w:val="0000"/>
      </w:tblPr>
      <w:tblGrid>
        <w:gridCol w:w="2745"/>
        <w:gridCol w:w="1301"/>
        <w:gridCol w:w="4476"/>
      </w:tblGrid>
      <w:tr w:rsidTr="00753A7B">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p>
        </w:tc>
      </w:tr>
      <w:tr w:rsidTr="00753A7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p>
        </w:tc>
      </w:tr>
      <w:tr w:rsidTr="00753A7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BodyText"/>
            </w:pPr>
          </w:p>
        </w:tc>
      </w:tr>
    </w:tbl>
    <w:p w:rsidR="00000000" w:rsidRPr="007D0315" w:rsidP="007D0315">
      <w:pPr>
        <w:pStyle w:val="BodyText"/>
      </w:pPr>
    </w:p>
    <w:p w:rsidR="00000000" w:rsidRPr="007D0315" w:rsidP="007D0315">
      <w:pPr>
        <w:pStyle w:val="AllowPageBreak"/>
      </w:pPr>
    </w:p>
    <w:p w:rsidR="00000000" w:rsidRPr="007D0315" w:rsidP="007D0315">
      <w:pPr>
        <w:pStyle w:val="Heading1"/>
      </w:pPr>
      <w:bookmarkStart w:id="6" w:name="O_78164"/>
      <w:bookmarkEnd w:id="6"/>
      <w:r w:rsidRPr="007D0315">
        <w:t>Employability Skills Information</w:t>
      </w:r>
    </w:p>
    <w:tbl>
      <w:tblPr>
        <w:tblW w:w="0" w:type="auto"/>
        <w:tblLayout w:type="fixed"/>
        <w:tblCellMar>
          <w:left w:w="62" w:type="dxa"/>
          <w:right w:w="62" w:type="dxa"/>
        </w:tblCellMar>
        <w:tblLook w:val="0000"/>
      </w:tblPr>
      <w:tblGrid>
        <w:gridCol w:w="2762"/>
        <w:gridCol w:w="5760"/>
      </w:tblGrid>
      <w:tr w:rsidTr="00753A7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BodyText"/>
            </w:pPr>
            <w:r w:rsidRPr="007D0315">
              <w:t>This unit contains employability skills.</w:t>
            </w:r>
          </w:p>
        </w:tc>
      </w:tr>
    </w:tbl>
    <w:p w:rsidR="00000000" w:rsidRPr="007D0315" w:rsidP="007D0315">
      <w:pPr>
        <w:pStyle w:val="BodyText"/>
      </w:pPr>
    </w:p>
    <w:p w:rsidR="00000000" w:rsidRPr="007D0315" w:rsidP="007D0315">
      <w:pPr>
        <w:pStyle w:val="AllowPageBreak"/>
      </w:pPr>
    </w:p>
    <w:p w:rsidR="00000000" w:rsidRPr="007D0315" w:rsidP="007D0315">
      <w:pPr>
        <w:pStyle w:val="Heading1"/>
      </w:pPr>
      <w:bookmarkStart w:id="7" w:name="O_78165"/>
      <w:bookmarkEnd w:id="7"/>
      <w:r w:rsidRPr="007D0315">
        <w:t>Elements and Performance Criteria Pre-Content</w:t>
      </w:r>
    </w:p>
    <w:tbl>
      <w:tblPr>
        <w:tblW w:w="0" w:type="auto"/>
        <w:tblLayout w:type="fixed"/>
        <w:tblCellMar>
          <w:left w:w="62" w:type="dxa"/>
          <w:right w:w="62" w:type="dxa"/>
        </w:tblCellMar>
        <w:tblLook w:val="0000"/>
      </w:tblPr>
      <w:tblGrid>
        <w:gridCol w:w="2569"/>
        <w:gridCol w:w="5953"/>
      </w:tblGrid>
      <w:tr w:rsidTr="00753A7B">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BodyText"/>
            </w:pPr>
            <w:r w:rsidRPr="007D0315">
              <w:t>Performance criteria describe the performance needed to demonstrate achievement of the element. Where bold italicised text is used, further info</w:t>
            </w:r>
            <w:r w:rsidRPr="007D0315">
              <w:t>rmation is detailed in the required skills and knowledge section and the range statement. Assessment of performance is to be consistent with the evidence guide.</w:t>
            </w:r>
          </w:p>
        </w:tc>
      </w:tr>
    </w:tbl>
    <w:p w:rsidR="00000000" w:rsidRPr="007D0315" w:rsidP="007D0315">
      <w:pPr>
        <w:pStyle w:val="BodyText"/>
      </w:pPr>
    </w:p>
    <w:p w:rsidR="00000000" w:rsidRPr="007D0315" w:rsidP="007D0315">
      <w:pPr>
        <w:pStyle w:val="AllowPageBreak"/>
      </w:pPr>
    </w:p>
    <w:p w:rsidR="00000000" w:rsidRPr="007D0315" w:rsidP="007D0315">
      <w:pPr>
        <w:pStyle w:val="Heading1"/>
      </w:pPr>
      <w:bookmarkStart w:id="8" w:name="O_78166"/>
      <w:bookmarkEnd w:id="8"/>
      <w:r w:rsidRPr="007D0315">
        <w:t>Elements and Performance Criteria</w:t>
      </w:r>
    </w:p>
    <w:tbl>
      <w:tblPr>
        <w:tblW w:w="0" w:type="auto"/>
        <w:tblLayout w:type="fixed"/>
        <w:tblCellMar>
          <w:left w:w="62" w:type="dxa"/>
          <w:right w:w="62" w:type="dxa"/>
        </w:tblCellMar>
        <w:tblLook w:val="0000"/>
      </w:tblPr>
      <w:tblGrid>
        <w:gridCol w:w="2569"/>
        <w:gridCol w:w="5953"/>
      </w:tblGrid>
      <w:tr w:rsidTr="00753A7B">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BodyText"/>
            </w:pPr>
            <w:r w:rsidRPr="007D0315">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SpecialBold"/>
              </w:rPr>
              <w:t>PERFORMANCE CRITERIA</w:t>
            </w:r>
          </w:p>
        </w:tc>
      </w:tr>
      <w:tr w:rsidTr="00753A7B">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List"/>
              <w:rPr>
                <w:lang w:val="en-NZ"/>
              </w:rPr>
            </w:pPr>
            <w:r w:rsidRPr="007D0315">
              <w:t>1.</w:t>
            </w:r>
            <w:r w:rsidRPr="007D0315">
              <w:tab/>
            </w:r>
            <w:r w:rsidRPr="007D0315">
              <w:t>Describe what is meant by the Australian financial markets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List2"/>
            </w:pPr>
            <w:r w:rsidRPr="007D0315">
              <w:t>1.1.</w:t>
            </w:r>
            <w:r w:rsidRPr="007D0315">
              <w:tab/>
              <w:t xml:space="preserve">Specific </w:t>
            </w:r>
            <w:r w:rsidRPr="007D0315">
              <w:rPr>
                <w:rStyle w:val="BoldandItalics"/>
              </w:rPr>
              <w:t>financial markets in Australia</w:t>
            </w:r>
            <w:r w:rsidRPr="007D0315">
              <w:t xml:space="preserve"> are identified and discussed</w:t>
            </w:r>
          </w:p>
          <w:p w:rsidR="00000000" w:rsidRPr="007D0315" w:rsidP="007D0315">
            <w:pPr>
              <w:pStyle w:val="List2"/>
            </w:pPr>
            <w:r w:rsidRPr="007D0315">
              <w:t>1.2.</w:t>
            </w:r>
            <w:r w:rsidRPr="007D0315">
              <w:tab/>
            </w:r>
            <w:r w:rsidRPr="007D0315">
              <w:rPr>
                <w:rStyle w:val="BoldandItalics"/>
              </w:rPr>
              <w:t>The purpose of financial markets</w:t>
            </w:r>
            <w:r w:rsidRPr="007D0315">
              <w:t xml:space="preserve"> and when they emerged in Australia is researched and discussed</w:t>
            </w:r>
          </w:p>
          <w:p w:rsidR="00000000" w:rsidP="007D0315">
            <w:pPr>
              <w:pStyle w:val="List2"/>
              <w:rPr>
                <w:lang w:val="en-NZ"/>
              </w:rPr>
            </w:pPr>
            <w:r w:rsidRPr="007D0315">
              <w:t>1.3.</w:t>
            </w:r>
            <w:r w:rsidRPr="007D0315">
              <w:tab/>
              <w:t xml:space="preserve">The </w:t>
            </w:r>
            <w:r w:rsidRPr="007D0315">
              <w:rPr>
                <w:rStyle w:val="BoldandItalics"/>
              </w:rPr>
              <w:t xml:space="preserve">participants </w:t>
            </w:r>
            <w:r w:rsidRPr="007D0315">
              <w:rPr>
                <w:rStyle w:val="BoldandItalics"/>
              </w:rPr>
              <w:t>in the financial markets</w:t>
            </w:r>
            <w:r w:rsidRPr="007D0315">
              <w:t xml:space="preserve"> and the roles of banks and financial institutions as financial intermediaries are identified and their roles analysed and discussed</w:t>
            </w:r>
          </w:p>
        </w:tc>
      </w:tr>
      <w:tr w:rsidTr="00753A7B">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List"/>
              <w:rPr>
                <w:lang w:val="en-NZ"/>
              </w:rPr>
            </w:pPr>
            <w:r w:rsidRPr="007D0315">
              <w:t>2.</w:t>
            </w:r>
            <w:r w:rsidRPr="007D0315">
              <w:tab/>
              <w:t>Explain the function and role of the Reserve Bank of Australia (RBA)</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List2"/>
            </w:pPr>
            <w:r w:rsidRPr="007D0315">
              <w:t>2.1.</w:t>
            </w:r>
            <w:r w:rsidRPr="007D0315">
              <w:tab/>
              <w:t xml:space="preserve">The </w:t>
            </w:r>
            <w:r w:rsidRPr="007D0315">
              <w:rPr>
                <w:rStyle w:val="BoldandItalics"/>
              </w:rPr>
              <w:t>role of the RBA</w:t>
            </w:r>
            <w:r w:rsidRPr="007D0315">
              <w:t xml:space="preserve"> a</w:t>
            </w:r>
            <w:r w:rsidRPr="007D0315">
              <w:t xml:space="preserve">s Australia's central bank is researched and discussed and contrasted with other banking institutions </w:t>
            </w:r>
          </w:p>
          <w:p w:rsidR="00000000" w:rsidP="007D0315">
            <w:pPr>
              <w:pStyle w:val="List2"/>
              <w:rPr>
                <w:lang w:val="en-NZ"/>
              </w:rPr>
            </w:pPr>
            <w:r w:rsidRPr="007D0315">
              <w:t>2.2.</w:t>
            </w:r>
            <w:r w:rsidRPr="007D0315">
              <w:tab/>
              <w:t xml:space="preserve">The importance and </w:t>
            </w:r>
            <w:r w:rsidRPr="007D0315">
              <w:rPr>
                <w:rStyle w:val="BoldandItalics"/>
              </w:rPr>
              <w:t>effect of the RBA's monetary policy</w:t>
            </w:r>
            <w:r w:rsidRPr="007D0315">
              <w:t xml:space="preserve"> on the Australian economy and everyday consumers is researched and discussed</w:t>
            </w:r>
          </w:p>
        </w:tc>
      </w:tr>
      <w:tr w:rsidTr="00753A7B">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List"/>
              <w:rPr>
                <w:lang w:val="en-NZ"/>
              </w:rPr>
            </w:pPr>
            <w:r w:rsidRPr="007D0315">
              <w:t>3.</w:t>
            </w:r>
            <w:r w:rsidRPr="007D0315">
              <w:tab/>
              <w:t>Explain Aust</w:t>
            </w:r>
            <w:r w:rsidRPr="007D0315">
              <w:t>ralia's monetary system</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List2"/>
            </w:pPr>
            <w:r w:rsidRPr="007D0315">
              <w:t>3.1.</w:t>
            </w:r>
            <w:r w:rsidRPr="007D0315">
              <w:tab/>
              <w:t xml:space="preserve">The various </w:t>
            </w:r>
            <w:r w:rsidRPr="007D0315">
              <w:rPr>
                <w:rStyle w:val="BoldandItalics"/>
              </w:rPr>
              <w:t>functions of money</w:t>
            </w:r>
            <w:r w:rsidRPr="007D0315">
              <w:t xml:space="preserve"> are explained and society's </w:t>
            </w:r>
            <w:r w:rsidRPr="007D0315">
              <w:rPr>
                <w:rStyle w:val="BoldandItalics"/>
              </w:rPr>
              <w:t>motivations for holding money</w:t>
            </w:r>
            <w:r w:rsidRPr="007D0315">
              <w:t xml:space="preserve"> are outlined</w:t>
            </w:r>
          </w:p>
          <w:p w:rsidR="00000000" w:rsidRPr="007D0315" w:rsidP="007D0315">
            <w:pPr>
              <w:pStyle w:val="List2"/>
            </w:pPr>
            <w:r w:rsidRPr="007D0315">
              <w:t>3.2.</w:t>
            </w:r>
            <w:r w:rsidRPr="007D0315">
              <w:tab/>
              <w:t xml:space="preserve">The monetary cycle within the economy and on a global scale and </w:t>
            </w:r>
            <w:r w:rsidRPr="007D0315">
              <w:rPr>
                <w:rStyle w:val="BoldandItalics"/>
              </w:rPr>
              <w:t>instruments traded on the short term money market</w:t>
            </w:r>
            <w:r w:rsidRPr="007D0315">
              <w:t xml:space="preserve"> are de</w:t>
            </w:r>
            <w:r w:rsidRPr="007D0315">
              <w:t>scribed</w:t>
            </w:r>
          </w:p>
          <w:p w:rsidR="00000000" w:rsidP="007D0315">
            <w:pPr>
              <w:pStyle w:val="List2"/>
              <w:rPr>
                <w:lang w:val="en-NZ"/>
              </w:rPr>
            </w:pPr>
            <w:r w:rsidRPr="007D0315">
              <w:t>3.3.</w:t>
            </w:r>
            <w:r w:rsidRPr="007D0315">
              <w:tab/>
              <w:t>The impact of increases and decreases in the money supply and the importance of regulating the money supply of any country is analysed and discussed</w:t>
            </w:r>
          </w:p>
        </w:tc>
      </w:tr>
      <w:tr w:rsidTr="00753A7B">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List"/>
              <w:rPr>
                <w:lang w:val="en-NZ"/>
              </w:rPr>
            </w:pPr>
            <w:r w:rsidRPr="007D0315">
              <w:t>4.</w:t>
            </w:r>
            <w:r w:rsidRPr="007D0315">
              <w:tab/>
              <w:t>Explain the key factors that influence the Australian economy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List2"/>
            </w:pPr>
            <w:r w:rsidRPr="007D0315">
              <w:t>4.1.</w:t>
            </w:r>
            <w:r w:rsidRPr="007D0315">
              <w:tab/>
            </w:r>
            <w:r w:rsidRPr="007D0315">
              <w:t>The role and impact of Commonwealth and State government actions on the economy is explored with reference to current events and issues</w:t>
            </w:r>
          </w:p>
          <w:p w:rsidR="00000000" w:rsidRPr="007D0315" w:rsidP="007D0315">
            <w:pPr>
              <w:pStyle w:val="List2"/>
            </w:pPr>
            <w:r w:rsidRPr="007D0315">
              <w:t>4.2.</w:t>
            </w:r>
            <w:r w:rsidRPr="007D0315">
              <w:tab/>
              <w:t>The impact of a change in domestic interest rates on different sectors of the economy is analysed and discussed</w:t>
            </w:r>
          </w:p>
          <w:p w:rsidR="00000000" w:rsidP="007D0315">
            <w:pPr>
              <w:pStyle w:val="List2"/>
              <w:rPr>
                <w:lang w:val="en-NZ"/>
              </w:rPr>
            </w:pPr>
            <w:r w:rsidRPr="007D0315">
              <w:t>4.3</w:t>
            </w:r>
            <w:r w:rsidRPr="007D0315">
              <w:t>.</w:t>
            </w:r>
            <w:r w:rsidRPr="007D0315">
              <w:tab/>
              <w:t xml:space="preserve">The impact of changes in </w:t>
            </w:r>
            <w:r w:rsidRPr="007D0315">
              <w:rPr>
                <w:rStyle w:val="BoldandItalics"/>
              </w:rPr>
              <w:t>consumer activity</w:t>
            </w:r>
            <w:r w:rsidRPr="007D0315">
              <w:t xml:space="preserve"> on the Australian economy is analysed and discussed</w:t>
            </w:r>
          </w:p>
        </w:tc>
      </w:tr>
      <w:tr w:rsidTr="00753A7B">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List"/>
              <w:rPr>
                <w:lang w:val="en-NZ"/>
              </w:rPr>
            </w:pPr>
            <w:r w:rsidRPr="007D0315">
              <w:t>5.</w:t>
            </w:r>
            <w:r w:rsidRPr="007D0315">
              <w:tab/>
              <w:t>Describe the role of regulators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List2"/>
            </w:pPr>
            <w:r w:rsidRPr="007D0315">
              <w:t>5.1.</w:t>
            </w:r>
            <w:r w:rsidRPr="007D0315">
              <w:tab/>
              <w:t xml:space="preserve">The </w:t>
            </w:r>
            <w:r w:rsidRPr="007D0315">
              <w:rPr>
                <w:rStyle w:val="BoldandItalics"/>
              </w:rPr>
              <w:t>main regulators</w:t>
            </w:r>
            <w:r w:rsidRPr="007D0315">
              <w:t xml:space="preserve"> of the financial system are identified</w:t>
            </w:r>
          </w:p>
          <w:p w:rsidR="00000000" w:rsidRPr="007D0315" w:rsidP="007D0315">
            <w:pPr>
              <w:pStyle w:val="List2"/>
            </w:pPr>
            <w:r w:rsidRPr="007D0315">
              <w:t>5.2.</w:t>
            </w:r>
            <w:r w:rsidRPr="007D0315">
              <w:tab/>
              <w:t>The role of each regulator in protecting investors and</w:t>
            </w:r>
            <w:r w:rsidRPr="007D0315">
              <w:t xml:space="preserve"> consumers and promoting confidence in the financial system is explained using examples</w:t>
            </w:r>
          </w:p>
        </w:tc>
      </w:tr>
    </w:tbl>
    <w:p w:rsidR="00000000" w:rsidRPr="007D0315" w:rsidP="007D0315">
      <w:pPr>
        <w:pStyle w:val="BodyText"/>
      </w:pPr>
    </w:p>
    <w:p w:rsidR="00000000" w:rsidRPr="007D0315" w:rsidP="007D0315">
      <w:pPr>
        <w:pStyle w:val="AllowPageBreak"/>
      </w:pPr>
    </w:p>
    <w:p w:rsidR="00000000" w:rsidRPr="007D0315" w:rsidP="007D0315">
      <w:pPr>
        <w:pStyle w:val="Heading1"/>
      </w:pPr>
      <w:bookmarkStart w:id="9" w:name="O_78167"/>
      <w:bookmarkEnd w:id="9"/>
      <w:r w:rsidRPr="007D0315">
        <w:t>Required Skills and Knowledge</w:t>
      </w:r>
    </w:p>
    <w:tbl>
      <w:tblPr>
        <w:tblW w:w="0" w:type="auto"/>
        <w:tblLayout w:type="fixed"/>
        <w:tblCellMar>
          <w:left w:w="62" w:type="dxa"/>
          <w:right w:w="62" w:type="dxa"/>
        </w:tblCellMar>
        <w:tblLook w:val="0000"/>
      </w:tblPr>
      <w:tblGrid>
        <w:gridCol w:w="8522"/>
      </w:tblGrid>
      <w:tr w:rsidTr="00753A7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SpecialBold"/>
              </w:rPr>
              <w:t>REQUIRED SKILLS AND KNOWLEDGE</w:t>
            </w:r>
          </w:p>
        </w:tc>
      </w:tr>
      <w:tr w:rsidTr="00753A7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t>This section describes the skills and knowledge required for this unit.</w:t>
            </w:r>
          </w:p>
        </w:tc>
      </w:tr>
      <w:tr w:rsidTr="00753A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SpecialBold"/>
              </w:rPr>
              <w:t>Required skills</w:t>
            </w:r>
          </w:p>
        </w:tc>
      </w:tr>
      <w:tr w:rsidTr="00753A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ListBullet"/>
            </w:pPr>
            <w:r w:rsidRPr="007D0315">
              <w:t>communication skills to:</w:t>
            </w:r>
          </w:p>
          <w:p w:rsidR="00000000" w:rsidRPr="007D0315" w:rsidP="007D0315">
            <w:pPr>
              <w:pStyle w:val="ListBullet2"/>
            </w:pPr>
            <w:r w:rsidRPr="007D0315">
              <w:t>clearly explain Australia's financial system and markets</w:t>
            </w:r>
          </w:p>
          <w:p w:rsidR="00000000" w:rsidRPr="007D0315" w:rsidP="007D0315">
            <w:pPr>
              <w:pStyle w:val="ListBullet2"/>
            </w:pPr>
            <w:r w:rsidRPr="007D0315">
              <w:t>use questioning to develop clear understanding</w:t>
            </w:r>
          </w:p>
          <w:p w:rsidR="00000000" w:rsidRPr="007D0315" w:rsidP="007D0315">
            <w:pPr>
              <w:pStyle w:val="ListBullet2"/>
            </w:pPr>
            <w:r w:rsidRPr="007D0315">
              <w:t>liaise with others, share information, listen and understand</w:t>
            </w:r>
          </w:p>
          <w:p w:rsidR="00000000" w:rsidRPr="007D0315" w:rsidP="007D0315">
            <w:pPr>
              <w:pStyle w:val="ListBullet2"/>
            </w:pPr>
            <w:r w:rsidRPr="007D0315">
              <w:t>use language and concepts appropriate to cultural differences</w:t>
            </w:r>
          </w:p>
          <w:p w:rsidR="00000000" w:rsidRPr="007D0315" w:rsidP="007D0315">
            <w:pPr>
              <w:pStyle w:val="ListBullet"/>
            </w:pPr>
            <w:r w:rsidRPr="007D0315">
              <w:t>IT skills to use internet information</w:t>
            </w:r>
          </w:p>
          <w:p w:rsidR="00000000" w:rsidRPr="007D0315" w:rsidP="007D0315">
            <w:pPr>
              <w:pStyle w:val="ListBullet"/>
            </w:pPr>
            <w:r w:rsidRPr="007D0315">
              <w:t>literacy skills for interpreting relevant information</w:t>
            </w:r>
          </w:p>
          <w:p w:rsidR="00000000" w:rsidP="007D0315">
            <w:pPr>
              <w:pStyle w:val="ListBullet"/>
              <w:rPr>
                <w:lang w:val="en-NZ"/>
              </w:rPr>
            </w:pPr>
            <w:r w:rsidRPr="007D0315">
              <w:t>learning skills to maintain knowledge of the Australian financial system</w:t>
            </w:r>
          </w:p>
        </w:tc>
      </w:tr>
      <w:tr w:rsidTr="00753A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SpecialBold"/>
              </w:rPr>
              <w:t>Required knowledge</w:t>
            </w:r>
          </w:p>
        </w:tc>
      </w:tr>
      <w:tr w:rsidTr="00753A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ListBullet"/>
            </w:pPr>
            <w:r w:rsidRPr="007D0315">
              <w:t>roles and relationships between participants within the Australian fin</w:t>
            </w:r>
            <w:r w:rsidRPr="007D0315">
              <w:t>ancial services industry, including banks and other financial intermediaries</w:t>
            </w:r>
          </w:p>
          <w:p w:rsidR="00000000" w:rsidRPr="007D0315" w:rsidP="007D0315">
            <w:pPr>
              <w:pStyle w:val="ListBullet"/>
            </w:pPr>
            <w:r w:rsidRPr="007D0315">
              <w:t>relevant and current awareness of the Australian financial system and markets, and the economic environment</w:t>
            </w:r>
          </w:p>
        </w:tc>
      </w:tr>
    </w:tbl>
    <w:p w:rsidR="00000000" w:rsidRPr="007D0315" w:rsidP="007D0315">
      <w:pPr>
        <w:pStyle w:val="BodyText"/>
      </w:pPr>
    </w:p>
    <w:p w:rsidR="00000000" w:rsidRPr="007D0315" w:rsidP="007D0315">
      <w:pPr>
        <w:pStyle w:val="AllowPageBreak"/>
      </w:pPr>
    </w:p>
    <w:p w:rsidR="00000000" w:rsidRPr="007D0315" w:rsidP="007D0315">
      <w:pPr>
        <w:pStyle w:val="Heading1"/>
      </w:pPr>
      <w:bookmarkStart w:id="10" w:name="O_78168"/>
      <w:bookmarkEnd w:id="10"/>
      <w:r w:rsidRPr="007D0315">
        <w:t>Evidence Guide</w:t>
      </w:r>
    </w:p>
    <w:tbl>
      <w:tblPr>
        <w:tblW w:w="9570" w:type="dxa"/>
        <w:tblLayout w:type="fixed"/>
        <w:tblCellMar>
          <w:left w:w="62" w:type="dxa"/>
          <w:right w:w="62" w:type="dxa"/>
        </w:tblCellMar>
        <w:tblLook w:val="0000"/>
      </w:tblPr>
      <w:tblGrid>
        <w:gridCol w:w="2808"/>
        <w:gridCol w:w="6762"/>
      </w:tblGrid>
      <w:tr w:rsidTr="00753A7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SpecialBold"/>
              </w:rPr>
              <w:t>EVIDENCE GUIDE</w:t>
            </w:r>
          </w:p>
        </w:tc>
      </w:tr>
      <w:tr w:rsidTr="00753A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t>The Evidence Guide provides advice on assessment and must be read in conjunction with the performance criteria, required skills and knowledge, range statement and the Assessment Guidelines for the Training Package.</w:t>
            </w:r>
          </w:p>
        </w:tc>
      </w:tr>
      <w:tr w:rsidTr="00753A7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p>
        </w:tc>
      </w:tr>
      <w:tr w:rsidTr="00753A7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BodyText"/>
            </w:pPr>
            <w:r w:rsidRPr="007D0315">
              <w:t>Evidence of the ability to:</w:t>
            </w:r>
          </w:p>
          <w:p w:rsidR="00000000" w:rsidRPr="007D0315" w:rsidP="007D0315">
            <w:pPr>
              <w:pStyle w:val="ListBullet"/>
            </w:pPr>
            <w:r w:rsidRPr="007D0315">
              <w:t>develop awareness of the features and roles of the participants within the Australian financial system and markets</w:t>
            </w:r>
          </w:p>
          <w:p w:rsidR="00000000" w:rsidRPr="007D0315" w:rsidP="007D0315">
            <w:pPr>
              <w:pStyle w:val="ListBullet"/>
            </w:pPr>
            <w:r w:rsidRPr="007D0315">
              <w:t>understand the monet</w:t>
            </w:r>
            <w:r w:rsidRPr="007D0315">
              <w:t>ary system</w:t>
            </w:r>
          </w:p>
          <w:p w:rsidR="00000000" w:rsidP="007D0315">
            <w:pPr>
              <w:pStyle w:val="ListBullet"/>
              <w:rPr>
                <w:lang w:val="en-NZ"/>
              </w:rPr>
            </w:pPr>
            <w:r w:rsidRPr="007D0315">
              <w:t>identify Australia's financial regulators and their role.</w:t>
            </w:r>
          </w:p>
        </w:tc>
      </w:tr>
      <w:tr w:rsidTr="00753A7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BodyText"/>
            </w:pPr>
            <w:r w:rsidRPr="007D0315">
              <w:t>Assessment must ensure:</w:t>
            </w:r>
          </w:p>
          <w:p w:rsidR="00000000" w:rsidRPr="007D0315" w:rsidP="007D0315">
            <w:pPr>
              <w:pStyle w:val="ListBullet"/>
            </w:pPr>
            <w:r w:rsidRPr="007D0315">
              <w:t xml:space="preserve">competency is demonstrated in the context of the the range statement </w:t>
            </w:r>
          </w:p>
          <w:p w:rsidR="00000000" w:rsidRPr="007D0315" w:rsidP="007D0315">
            <w:pPr>
              <w:pStyle w:val="ListBullet"/>
            </w:pPr>
            <w:r w:rsidRPr="007D0315">
              <w:t xml:space="preserve">access to and the use of a range of common </w:t>
            </w:r>
            <w:r w:rsidRPr="007D0315">
              <w:t>office equipment, technology, software and consumables</w:t>
            </w:r>
          </w:p>
          <w:p w:rsidR="00000000" w:rsidP="007D0315">
            <w:pPr>
              <w:pStyle w:val="ListBullet"/>
              <w:rPr>
                <w:lang w:val="en-NZ"/>
              </w:rPr>
            </w:pPr>
            <w:r w:rsidRPr="007D0315">
              <w:t>access to information about Australia's financial system and other markets, basic economics, software and other relevant resources.</w:t>
            </w:r>
          </w:p>
        </w:tc>
      </w:tr>
      <w:tr w:rsidTr="00753A7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BodyText"/>
            </w:pPr>
            <w:r w:rsidRPr="007D0315">
              <w:t>A range of assessment methods should be used to assess practical skills and knowledge. The following examples, in combination, are appropriate for this unit:</w:t>
            </w:r>
          </w:p>
          <w:p w:rsidR="00000000" w:rsidRPr="007D0315" w:rsidP="007D0315">
            <w:pPr>
              <w:pStyle w:val="ListBullet"/>
            </w:pPr>
            <w:r w:rsidRPr="007D0315">
              <w:t>evaluating an integrated activity which combines the elements of competency for the unit or a clus</w:t>
            </w:r>
            <w:r w:rsidRPr="007D0315">
              <w:t>ter of related units of competency</w:t>
            </w:r>
          </w:p>
          <w:p w:rsidR="00000000" w:rsidRPr="007D0315" w:rsidP="007D0315">
            <w:pPr>
              <w:pStyle w:val="ListBullet"/>
            </w:pPr>
            <w:r w:rsidRPr="007D0315">
              <w:t xml:space="preserve">verbal or written questioning on underpinning knowledge and skills </w:t>
            </w:r>
          </w:p>
          <w:p w:rsidR="00000000" w:rsidRPr="007D0315" w:rsidP="007D0315">
            <w:pPr>
              <w:pStyle w:val="ListBullet"/>
            </w:pPr>
            <w:r w:rsidRPr="007D0315">
              <w:t>setting and reviewing simulations or scenarios</w:t>
            </w:r>
          </w:p>
          <w:p w:rsidR="00000000" w:rsidP="007D0315">
            <w:pPr>
              <w:pStyle w:val="ListBullet"/>
              <w:rPr>
                <w:lang w:val="en-NZ"/>
              </w:rPr>
            </w:pPr>
            <w:r w:rsidRPr="007D0315">
              <w:t>group discussion to determine and confirm understanding.</w:t>
            </w:r>
          </w:p>
        </w:tc>
      </w:tr>
      <w:tr w:rsidTr="00753A7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BodyText"/>
            </w:pPr>
          </w:p>
        </w:tc>
      </w:tr>
    </w:tbl>
    <w:p w:rsidR="00000000" w:rsidRPr="007D0315" w:rsidP="007D0315">
      <w:pPr>
        <w:pStyle w:val="BodyText"/>
      </w:pPr>
    </w:p>
    <w:p w:rsidR="00000000" w:rsidRPr="007D0315" w:rsidP="007D0315">
      <w:pPr>
        <w:pStyle w:val="AllowPageBreak"/>
      </w:pPr>
    </w:p>
    <w:p w:rsidR="00000000" w:rsidRPr="007D0315" w:rsidP="007D0315">
      <w:pPr>
        <w:pStyle w:val="Heading1"/>
      </w:pPr>
      <w:bookmarkStart w:id="11" w:name="O_78169"/>
      <w:bookmarkEnd w:id="11"/>
      <w:r w:rsidRPr="007D0315">
        <w:t>Range Statement</w:t>
      </w:r>
    </w:p>
    <w:tbl>
      <w:tblPr>
        <w:tblW w:w="0" w:type="auto"/>
        <w:tblLayout w:type="fixed"/>
        <w:tblCellMar>
          <w:left w:w="62" w:type="dxa"/>
          <w:right w:w="62" w:type="dxa"/>
        </w:tblCellMar>
        <w:tblLook w:val="0000"/>
      </w:tblPr>
      <w:tblGrid>
        <w:gridCol w:w="2477"/>
        <w:gridCol w:w="6045"/>
      </w:tblGrid>
      <w:tr w:rsidTr="00753A7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SpecialBold"/>
              </w:rPr>
              <w:t>RANGE STATEMENT</w:t>
            </w:r>
          </w:p>
        </w:tc>
      </w:tr>
      <w:tr w:rsidTr="00753A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t>The range statement relates to the unit of competency as a whole. It allows for different work environments and situations that may affect performance. Bold italicised wording, if</w:t>
            </w:r>
            <w:r w:rsidRPr="007D0315">
              <w:t xml:space="preserve"> used in the performance criteria, is detailed below. Essential operating conditions that may be present with training and assessment (depending on the work situation, needs of the candidate, accessibility of the item, and local industry and regional conte</w:t>
            </w:r>
            <w:r w:rsidRPr="007D0315">
              <w:t>xts) may also be included.</w:t>
            </w:r>
          </w:p>
        </w:tc>
      </w:tr>
      <w:tr w:rsidTr="00753A7B">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BoldandItalics"/>
              </w:rPr>
              <w:t>Financial markets in Australia</w:t>
            </w:r>
            <w:r w:rsidRPr="007D0315">
              <w:t xml:space="preserve"> can include:</w:t>
            </w:r>
          </w:p>
        </w:tc>
        <w:tc>
          <w:tcPr>
            <w:tcW w:w="6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ListBullet"/>
            </w:pPr>
            <w:r w:rsidRPr="007D0315">
              <w:t>bond market</w:t>
            </w:r>
          </w:p>
          <w:p w:rsidR="00000000" w:rsidRPr="007D0315" w:rsidP="007D0315">
            <w:pPr>
              <w:pStyle w:val="ListBullet"/>
            </w:pPr>
            <w:r w:rsidRPr="007D0315">
              <w:t>equity or share market as traded on the Australian Securities Exchange (ASX)</w:t>
            </w:r>
          </w:p>
          <w:p w:rsidR="00000000" w:rsidRPr="007D0315" w:rsidP="007D0315">
            <w:pPr>
              <w:pStyle w:val="ListBullet"/>
            </w:pPr>
            <w:r w:rsidRPr="007D0315">
              <w:t>derivatives markets</w:t>
            </w:r>
          </w:p>
          <w:p w:rsidR="00000000" w:rsidRPr="007D0315" w:rsidP="007D0315">
            <w:pPr>
              <w:pStyle w:val="ListBullet"/>
            </w:pPr>
            <w:r w:rsidRPr="007D0315">
              <w:t>foreign exchange market</w:t>
            </w:r>
          </w:p>
          <w:p w:rsidR="00000000" w:rsidRPr="007D0315" w:rsidP="007D0315">
            <w:pPr>
              <w:pStyle w:val="ListBullet"/>
            </w:pPr>
            <w:r w:rsidRPr="007D0315">
              <w:t>money market including the short term money market</w:t>
            </w:r>
          </w:p>
          <w:p w:rsidR="00000000" w:rsidP="007D0315">
            <w:pPr>
              <w:pStyle w:val="ListBullet"/>
              <w:rPr>
                <w:lang w:val="en-NZ"/>
              </w:rPr>
            </w:pPr>
            <w:r w:rsidRPr="007D0315">
              <w:t>options and futures markets.</w:t>
            </w:r>
          </w:p>
        </w:tc>
      </w:tr>
      <w:tr w:rsidTr="00753A7B">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BoldandItalics"/>
              </w:rPr>
              <w:t>The purpose of financial markets</w:t>
            </w:r>
            <w:r w:rsidRPr="007D0315">
              <w:t xml:space="preserve"> includes:</w:t>
            </w:r>
          </w:p>
        </w:tc>
        <w:tc>
          <w:tcPr>
            <w:tcW w:w="6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ListBullet"/>
            </w:pPr>
            <w:r w:rsidRPr="007D0315">
              <w:t>enabling participants to invest surplus funds by buying securities</w:t>
            </w:r>
          </w:p>
          <w:p w:rsidR="00000000" w:rsidP="007D0315">
            <w:pPr>
              <w:pStyle w:val="ListBullet"/>
              <w:rPr>
                <w:lang w:val="en-NZ"/>
              </w:rPr>
            </w:pPr>
            <w:r w:rsidRPr="007D0315">
              <w:t>enabling participants to raise required funds by issuing securities.</w:t>
            </w:r>
          </w:p>
        </w:tc>
      </w:tr>
      <w:tr w:rsidTr="00753A7B">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BoldandItalics"/>
              </w:rPr>
              <w:t>Participants in the financial markets</w:t>
            </w:r>
            <w:r w:rsidRPr="007D0315">
              <w:t xml:space="preserve"> may include</w:t>
            </w:r>
          </w:p>
        </w:tc>
        <w:tc>
          <w:tcPr>
            <w:tcW w:w="6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ListBullet"/>
            </w:pPr>
            <w:r w:rsidRPr="007D0315">
              <w:t>banks and non-banking financial institutions</w:t>
            </w:r>
          </w:p>
          <w:p w:rsidR="00000000" w:rsidRPr="007D0315" w:rsidP="007D0315">
            <w:pPr>
              <w:pStyle w:val="ListBullet"/>
            </w:pPr>
            <w:r w:rsidRPr="007D0315">
              <w:t xml:space="preserve">investors: </w:t>
            </w:r>
          </w:p>
          <w:p w:rsidR="00000000" w:rsidRPr="007D0315" w:rsidP="007D0315">
            <w:pPr>
              <w:pStyle w:val="ListBullet2"/>
            </w:pPr>
            <w:r w:rsidRPr="007D0315">
              <w:t xml:space="preserve">corporations </w:t>
            </w:r>
          </w:p>
          <w:p w:rsidR="00000000" w:rsidRPr="007D0315" w:rsidP="007D0315">
            <w:pPr>
              <w:pStyle w:val="ListBullet2"/>
            </w:pPr>
            <w:r w:rsidRPr="007D0315">
              <w:t>individuals</w:t>
            </w:r>
          </w:p>
          <w:p w:rsidR="00000000" w:rsidRPr="007D0315" w:rsidP="007D0315">
            <w:pPr>
              <w:pStyle w:val="ListBullet"/>
            </w:pPr>
            <w:r w:rsidRPr="007D0315">
              <w:t>local and international governments</w:t>
            </w:r>
          </w:p>
          <w:p w:rsidR="00000000" w:rsidRPr="007D0315" w:rsidP="007D0315">
            <w:pPr>
              <w:pStyle w:val="ListBullet"/>
            </w:pPr>
            <w:r w:rsidRPr="007D0315">
              <w:t xml:space="preserve">speculators: </w:t>
            </w:r>
          </w:p>
          <w:p w:rsidR="00000000" w:rsidRPr="007D0315" w:rsidP="007D0315">
            <w:pPr>
              <w:pStyle w:val="ListBullet2"/>
            </w:pPr>
            <w:r w:rsidRPr="007D0315">
              <w:t xml:space="preserve">corporations </w:t>
            </w:r>
          </w:p>
          <w:p w:rsidR="00000000" w:rsidP="007D0315">
            <w:pPr>
              <w:pStyle w:val="ListBullet2"/>
              <w:rPr>
                <w:lang w:val="en-NZ"/>
              </w:rPr>
            </w:pPr>
            <w:r w:rsidRPr="007D0315">
              <w:t>individuals.</w:t>
            </w:r>
          </w:p>
        </w:tc>
      </w:tr>
      <w:tr w:rsidTr="00753A7B">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BoldandItalics"/>
              </w:rPr>
              <w:t>The role of the RBA</w:t>
            </w:r>
            <w:r w:rsidRPr="007D0315">
              <w:t xml:space="preserve"> includes:</w:t>
            </w:r>
          </w:p>
        </w:tc>
        <w:tc>
          <w:tcPr>
            <w:tcW w:w="6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ListBullet"/>
            </w:pPr>
            <w:r w:rsidRPr="007D0315">
              <w:t>banker to the Commonwealth government, banks and other financial institutions</w:t>
            </w:r>
          </w:p>
          <w:p w:rsidR="00000000" w:rsidRPr="007D0315" w:rsidP="007D0315">
            <w:pPr>
              <w:pStyle w:val="ListBullet"/>
            </w:pPr>
            <w:r w:rsidRPr="007D0315">
              <w:t>maintaining financial stability and regulating the Australian Payments System</w:t>
            </w:r>
          </w:p>
          <w:p w:rsidR="00000000" w:rsidRPr="007D0315" w:rsidP="007D0315">
            <w:pPr>
              <w:pStyle w:val="ListBullet"/>
            </w:pPr>
            <w:r w:rsidRPr="007D0315">
              <w:t>managing government debt</w:t>
            </w:r>
          </w:p>
          <w:p w:rsidR="00000000" w:rsidRPr="007D0315" w:rsidP="007D0315">
            <w:pPr>
              <w:pStyle w:val="ListBullet"/>
            </w:pPr>
            <w:r w:rsidRPr="007D0315">
              <w:t>regulating the payments system</w:t>
            </w:r>
          </w:p>
          <w:p w:rsidR="00000000" w:rsidP="007D0315">
            <w:pPr>
              <w:pStyle w:val="ListBullet"/>
              <w:rPr>
                <w:lang w:val="en-NZ"/>
              </w:rPr>
            </w:pPr>
            <w:r w:rsidRPr="007D0315">
              <w:t>setting and implementing monetary policy.</w:t>
            </w:r>
          </w:p>
        </w:tc>
      </w:tr>
      <w:tr w:rsidTr="00753A7B">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t>T</w:t>
            </w:r>
            <w:r w:rsidRPr="007D0315">
              <w:t xml:space="preserve">he </w:t>
            </w:r>
            <w:r w:rsidRPr="007D0315">
              <w:rPr>
                <w:rStyle w:val="BoldandItalics"/>
              </w:rPr>
              <w:t>effect of the RBA's monetary policy</w:t>
            </w:r>
            <w:r w:rsidRPr="007D0315">
              <w:t xml:space="preserve"> may include:</w:t>
            </w:r>
          </w:p>
        </w:tc>
        <w:tc>
          <w:tcPr>
            <w:tcW w:w="6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ListBullet"/>
            </w:pPr>
            <w:r w:rsidRPr="007D0315">
              <w:t>changes in interest rates</w:t>
            </w:r>
          </w:p>
          <w:p w:rsidR="00000000" w:rsidRPr="007D0315" w:rsidP="007D0315">
            <w:pPr>
              <w:pStyle w:val="ListBullet"/>
            </w:pPr>
            <w:r w:rsidRPr="007D0315">
              <w:t>flow on changes to employment, prices and production levels</w:t>
            </w:r>
          </w:p>
          <w:p w:rsidR="00000000" w:rsidRPr="007D0315" w:rsidP="007D0315">
            <w:pPr>
              <w:pStyle w:val="ListBullet"/>
            </w:pPr>
            <w:r w:rsidRPr="007D0315">
              <w:t>increases or decreases in the supply of money in the Australian economy</w:t>
            </w:r>
          </w:p>
          <w:p w:rsidR="00000000" w:rsidRPr="007D0315" w:rsidP="007D0315">
            <w:pPr>
              <w:pStyle w:val="ListBullet"/>
            </w:pPr>
            <w:r w:rsidRPr="007D0315">
              <w:t>acting to avoid or minimise a systemic coll</w:t>
            </w:r>
            <w:r w:rsidRPr="007D0315">
              <w:t>apse of financial institutions.</w:t>
            </w:r>
          </w:p>
          <w:p w:rsidR="00000000" w:rsidRPr="007D0315" w:rsidP="007D0315">
            <w:pPr>
              <w:pStyle w:val="BodyText"/>
            </w:pPr>
          </w:p>
          <w:p w:rsidR="00000000" w:rsidRPr="007D0315" w:rsidP="007D0315">
            <w:pPr>
              <w:pStyle w:val="BodyText"/>
            </w:pPr>
            <w:r w:rsidRPr="007D0315">
              <w:t>The role of the RBA in regulating the Australian Payments System may include:</w:t>
            </w:r>
          </w:p>
          <w:p w:rsidR="00000000" w:rsidRPr="007D0315" w:rsidP="007D0315">
            <w:pPr>
              <w:pStyle w:val="ListBullet"/>
            </w:pPr>
            <w:r w:rsidRPr="007D0315">
              <w:t>fulfilling its regulatory responsibilities by controlling risks and promoting efficiencies</w:t>
            </w:r>
          </w:p>
          <w:p w:rsidR="00000000" w:rsidRPr="007D0315" w:rsidP="007D0315">
            <w:pPr>
              <w:pStyle w:val="ListBullet"/>
            </w:pPr>
            <w:r w:rsidRPr="007D0315">
              <w:t>participating in the financial system as banker to the</w:t>
            </w:r>
            <w:r w:rsidRPr="007D0315">
              <w:t xml:space="preserve"> Commonwealth government</w:t>
            </w:r>
          </w:p>
          <w:p w:rsidR="00000000" w:rsidP="007D0315">
            <w:pPr>
              <w:pStyle w:val="ListBullet"/>
              <w:rPr>
                <w:lang w:val="en-NZ"/>
              </w:rPr>
            </w:pPr>
            <w:r w:rsidRPr="007D0315">
              <w:t>providing facilities for final settlement of transactions.</w:t>
            </w:r>
          </w:p>
        </w:tc>
      </w:tr>
      <w:tr w:rsidTr="00753A7B">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t xml:space="preserve">The different </w:t>
            </w:r>
            <w:r w:rsidRPr="007D0315">
              <w:rPr>
                <w:rStyle w:val="BoldandItalics"/>
              </w:rPr>
              <w:t>functions of money</w:t>
            </w:r>
            <w:r w:rsidRPr="007D0315">
              <w:t xml:space="preserve"> may include:</w:t>
            </w:r>
          </w:p>
        </w:tc>
        <w:tc>
          <w:tcPr>
            <w:tcW w:w="6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ListBullet"/>
            </w:pPr>
            <w:r w:rsidRPr="007D0315">
              <w:t>as a means of exchange for acquiring goods and services</w:t>
            </w:r>
          </w:p>
          <w:p w:rsidR="00000000" w:rsidRPr="007D0315" w:rsidP="007D0315">
            <w:pPr>
              <w:pStyle w:val="ListBullet"/>
            </w:pPr>
            <w:r w:rsidRPr="007D0315">
              <w:t>indications of relative values between goods and services</w:t>
            </w:r>
          </w:p>
          <w:p w:rsidR="00000000" w:rsidP="007D0315">
            <w:pPr>
              <w:pStyle w:val="ListBullet"/>
              <w:rPr>
                <w:lang w:val="en-NZ"/>
              </w:rPr>
            </w:pPr>
            <w:r w:rsidRPr="007D0315">
              <w:t xml:space="preserve">measure of </w:t>
            </w:r>
            <w:r w:rsidRPr="007D0315">
              <w:t>liquidity.</w:t>
            </w:r>
          </w:p>
        </w:tc>
      </w:tr>
      <w:tr w:rsidTr="00753A7B">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BoldandItalics"/>
              </w:rPr>
              <w:t>Motivations for holding money</w:t>
            </w:r>
            <w:r w:rsidRPr="007D0315">
              <w:t xml:space="preserve"> may include:</w:t>
            </w:r>
          </w:p>
        </w:tc>
        <w:tc>
          <w:tcPr>
            <w:tcW w:w="6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ListBullet"/>
            </w:pPr>
            <w:r w:rsidRPr="007D0315">
              <w:t>precautionary demand for money to pay future expenses which may not be anticipated</w:t>
            </w:r>
          </w:p>
          <w:p w:rsidR="00000000" w:rsidRPr="007D0315" w:rsidP="007D0315">
            <w:pPr>
              <w:pStyle w:val="ListBullet"/>
            </w:pPr>
            <w:r w:rsidRPr="007D0315">
              <w:t>speculative demand for money to be able to take advantage of future price changes in favour of the purchaser</w:t>
            </w:r>
          </w:p>
          <w:p w:rsidR="00000000" w:rsidP="007D0315">
            <w:pPr>
              <w:pStyle w:val="ListBullet"/>
              <w:rPr>
                <w:lang w:val="en-NZ"/>
              </w:rPr>
            </w:pPr>
            <w:r w:rsidRPr="007D0315">
              <w:t>transacti</w:t>
            </w:r>
            <w:r w:rsidRPr="007D0315">
              <w:t>ons demand for money to pay everyday predictable expenses.</w:t>
            </w:r>
          </w:p>
        </w:tc>
      </w:tr>
      <w:tr w:rsidTr="00753A7B">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BoldandItalics"/>
              </w:rPr>
              <w:t>Instruments traded on the short term money market</w:t>
            </w:r>
            <w:r w:rsidRPr="007D0315">
              <w:t xml:space="preserve"> include:</w:t>
            </w:r>
          </w:p>
        </w:tc>
        <w:tc>
          <w:tcPr>
            <w:tcW w:w="6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ListBullet"/>
            </w:pPr>
            <w:r w:rsidRPr="007D0315">
              <w:t>bills of exchange</w:t>
            </w:r>
          </w:p>
          <w:p w:rsidR="00000000" w:rsidRPr="007D0315" w:rsidP="007D0315">
            <w:pPr>
              <w:pStyle w:val="ListBullet"/>
            </w:pPr>
            <w:r w:rsidRPr="007D0315">
              <w:t>commercial bills</w:t>
            </w:r>
          </w:p>
          <w:p w:rsidR="00000000" w:rsidRPr="007D0315" w:rsidP="007D0315">
            <w:pPr>
              <w:pStyle w:val="ListBullet"/>
            </w:pPr>
            <w:r w:rsidRPr="007D0315">
              <w:t>government bills</w:t>
            </w:r>
          </w:p>
          <w:p w:rsidR="00000000" w:rsidRPr="007D0315" w:rsidP="007D0315">
            <w:pPr>
              <w:pStyle w:val="ListBullet"/>
            </w:pPr>
            <w:r w:rsidRPr="007D0315">
              <w:t>promissory notes</w:t>
            </w:r>
          </w:p>
          <w:p w:rsidR="00000000" w:rsidP="007D0315">
            <w:pPr>
              <w:pStyle w:val="ListBullet"/>
              <w:rPr>
                <w:lang w:val="en-NZ"/>
              </w:rPr>
            </w:pPr>
            <w:r w:rsidRPr="007D0315">
              <w:t>treasury notes.</w:t>
            </w:r>
          </w:p>
        </w:tc>
      </w:tr>
      <w:tr w:rsidTr="00753A7B">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BoldandItalics"/>
              </w:rPr>
              <w:t>Consumer activity</w:t>
            </w:r>
            <w:r w:rsidRPr="007D0315">
              <w:t xml:space="preserve"> may include:</w:t>
            </w:r>
          </w:p>
        </w:tc>
        <w:tc>
          <w:tcPr>
            <w:tcW w:w="6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ListBullet"/>
            </w:pPr>
            <w:r w:rsidRPr="007D0315">
              <w:t>applications for home loans</w:t>
            </w:r>
          </w:p>
          <w:p w:rsidR="00000000" w:rsidRPr="007D0315" w:rsidP="007D0315">
            <w:pPr>
              <w:pStyle w:val="ListBullet"/>
            </w:pPr>
            <w:r w:rsidRPr="007D0315">
              <w:t>purchase of private health insurance</w:t>
            </w:r>
          </w:p>
          <w:p w:rsidR="00000000" w:rsidRPr="007D0315" w:rsidP="007D0315">
            <w:pPr>
              <w:pStyle w:val="ListBullet"/>
            </w:pPr>
            <w:r w:rsidRPr="007D0315">
              <w:t>purchase of university education</w:t>
            </w:r>
          </w:p>
          <w:p w:rsidR="00000000" w:rsidRPr="007D0315" w:rsidP="007D0315">
            <w:pPr>
              <w:pStyle w:val="ListBullet"/>
            </w:pPr>
            <w:r w:rsidRPr="007D0315">
              <w:t>purchase or building of residential accommodation</w:t>
            </w:r>
          </w:p>
          <w:p w:rsidR="00000000" w:rsidRPr="007D0315" w:rsidP="007D0315">
            <w:pPr>
              <w:pStyle w:val="ListBullet"/>
            </w:pPr>
            <w:r w:rsidRPr="007D0315">
              <w:t>retail spending</w:t>
            </w:r>
          </w:p>
          <w:p w:rsidR="00000000" w:rsidP="007D0315">
            <w:pPr>
              <w:pStyle w:val="ListBullet"/>
              <w:rPr>
                <w:lang w:val="en-NZ"/>
              </w:rPr>
            </w:pPr>
            <w:r w:rsidRPr="007D0315">
              <w:t>tourism within Australia by Australians.</w:t>
            </w:r>
          </w:p>
        </w:tc>
      </w:tr>
      <w:tr w:rsidTr="00753A7B">
        <w:tblPrEx>
          <w:tblW w:w="0" w:type="auto"/>
          <w:tblLayout w:type="fixed"/>
          <w:tblCellMar>
            <w:left w:w="62" w:type="dxa"/>
            <w:right w:w="62" w:type="dxa"/>
          </w:tblCellMar>
          <w:tblLook w:val="0000"/>
        </w:tblPrEx>
        <w:tc>
          <w:tcPr>
            <w:tcW w:w="2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BoldandItalics"/>
              </w:rPr>
              <w:t>Main regulators</w:t>
            </w:r>
            <w:r w:rsidRPr="007D0315">
              <w:t xml:space="preserve"> in the financial system may includ</w:t>
            </w:r>
            <w:r w:rsidRPr="007D0315">
              <w:t>e:</w:t>
            </w:r>
          </w:p>
        </w:tc>
        <w:tc>
          <w:tcPr>
            <w:tcW w:w="6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ListBullet"/>
            </w:pPr>
            <w:r w:rsidRPr="007D0315">
              <w:t>Australian Prudential Regulation Authority (APRA)</w:t>
            </w:r>
          </w:p>
          <w:p w:rsidR="00000000" w:rsidRPr="007D0315" w:rsidP="007D0315">
            <w:pPr>
              <w:pStyle w:val="ListBullet"/>
            </w:pPr>
            <w:r w:rsidRPr="007D0315">
              <w:t>Australian Securities and Investments Commission (ASIC).</w:t>
            </w:r>
          </w:p>
        </w:tc>
      </w:tr>
    </w:tbl>
    <w:p w:rsidR="00753A7B" w:rsidP="007D0315">
      <w:pPr>
        <w:pStyle w:val="BodyText"/>
      </w:pPr>
    </w:p>
    <w:p w:rsidR="00753A7B" w:rsidP="007D0315">
      <w:pPr>
        <w:pStyle w:val="BodyText"/>
      </w:pPr>
    </w:p>
    <w:p w:rsidR="00000000" w:rsidRPr="007D0315" w:rsidP="007D0315">
      <w:pPr>
        <w:pStyle w:val="Heading1"/>
      </w:pPr>
      <w:bookmarkStart w:id="12" w:name="O_78170"/>
      <w:bookmarkEnd w:id="12"/>
      <w:r w:rsidRPr="007D0315">
        <w:t>Unit Sector(s)</w:t>
      </w:r>
    </w:p>
    <w:tbl>
      <w:tblPr>
        <w:tblW w:w="0" w:type="auto"/>
        <w:tblLayout w:type="fixed"/>
        <w:tblCellMar>
          <w:left w:w="62" w:type="dxa"/>
          <w:right w:w="62" w:type="dxa"/>
        </w:tblCellMar>
        <w:tblLook w:val="0000"/>
      </w:tblPr>
      <w:tblGrid>
        <w:gridCol w:w="2597"/>
        <w:gridCol w:w="5925"/>
      </w:tblGrid>
      <w:tr w:rsidTr="00753A7B">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BodyText"/>
            </w:pPr>
            <w:r w:rsidRPr="007D0315">
              <w:t>Financial literacy</w:t>
            </w:r>
          </w:p>
        </w:tc>
      </w:tr>
    </w:tbl>
    <w:p w:rsidR="00000000" w:rsidRPr="007D0315" w:rsidP="007D0315">
      <w:pPr>
        <w:pStyle w:val="BodyText"/>
      </w:pPr>
    </w:p>
    <w:p w:rsidR="00000000" w:rsidRPr="007D0315" w:rsidP="007D0315">
      <w:pPr>
        <w:pStyle w:val="AllowPageBreak"/>
      </w:pPr>
    </w:p>
    <w:p w:rsidR="00000000" w:rsidRPr="007D0315" w:rsidP="007D0315">
      <w:pPr>
        <w:pStyle w:val="Heading1"/>
      </w:pPr>
      <w:bookmarkStart w:id="13" w:name="O_156261"/>
      <w:bookmarkEnd w:id="13"/>
      <w:r w:rsidRPr="007D0315">
        <w:t>Competency field</w:t>
      </w:r>
    </w:p>
    <w:tbl>
      <w:tblPr>
        <w:tblW w:w="0" w:type="auto"/>
        <w:tblLayout w:type="fixed"/>
        <w:tblCellMar>
          <w:left w:w="62" w:type="dxa"/>
          <w:right w:w="62" w:type="dxa"/>
        </w:tblCellMar>
        <w:tblLook w:val="0000"/>
      </w:tblPr>
      <w:tblGrid>
        <w:gridCol w:w="2754"/>
        <w:gridCol w:w="5768"/>
      </w:tblGrid>
      <w:tr w:rsidTr="00753A7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BodyText"/>
            </w:pPr>
          </w:p>
        </w:tc>
      </w:tr>
    </w:tbl>
    <w:p w:rsidR="00000000" w:rsidRPr="007D0315" w:rsidP="007D0315">
      <w:pPr>
        <w:pStyle w:val="BodyText"/>
      </w:pPr>
    </w:p>
    <w:p w:rsidR="00000000" w:rsidRPr="007D0315" w:rsidP="007D0315">
      <w:pPr>
        <w:pStyle w:val="AllowPageBreak"/>
      </w:pPr>
    </w:p>
    <w:p w:rsidR="00000000" w:rsidRPr="007D0315" w:rsidP="007D0315">
      <w:pPr>
        <w:pStyle w:val="Heading1"/>
      </w:pPr>
      <w:bookmarkStart w:id="14" w:name="O_156260"/>
      <w:bookmarkEnd w:id="14"/>
      <w:r w:rsidRPr="007D0315">
        <w:t>Co-requisite units</w:t>
      </w:r>
    </w:p>
    <w:tbl>
      <w:tblPr>
        <w:tblW w:w="0" w:type="auto"/>
        <w:tblLayout w:type="fixed"/>
        <w:tblCellMar>
          <w:left w:w="62" w:type="dxa"/>
          <w:right w:w="62" w:type="dxa"/>
        </w:tblCellMar>
        <w:tblLook w:val="0000"/>
      </w:tblPr>
      <w:tblGrid>
        <w:gridCol w:w="2629"/>
        <w:gridCol w:w="1324"/>
        <w:gridCol w:w="4569"/>
      </w:tblGrid>
      <w:tr w:rsidTr="00753A7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r w:rsidRPr="007D0315">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315">
            <w:pPr>
              <w:pStyle w:val="BodyText"/>
              <w:rPr>
                <w:lang w:val="en-NZ"/>
              </w:rPr>
            </w:pPr>
          </w:p>
        </w:tc>
      </w:tr>
      <w:tr w:rsidTr="00753A7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315" w:rsidP="007D0315">
            <w:pPr>
              <w:pStyle w:val="BodyText"/>
            </w:pPr>
          </w:p>
        </w:tc>
      </w:tr>
    </w:tbl>
    <w:p w:rsidR="00000000" w:rsidRPr="007D0315" w:rsidP="007D0315">
      <w:pPr>
        <w:pStyle w:val="BodyText"/>
      </w:pPr>
    </w:p>
    <w:p w:rsidR="00000000" w:rsidRPr="007D0315" w:rsidP="007D0315"/>
    <w:sectPr w:rsidSect="007D03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3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3A7B" w:rsidP="00753A7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3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A7B" w:rsidP="007D031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53A7B" w:rsidP="007D03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53A7B" w:rsidP="007D03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3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315" w:rsidRPr="00753A7B" w:rsidP="00753A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3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A7B" w:rsidRPr="002D2AF8" w:rsidP="007D0315">
    <w:pPr>
      <w:pStyle w:val="Header"/>
      <w:framePr w:wrap="around"/>
    </w:pPr>
    <w:r>
      <w:fldChar w:fldCharType="begin"/>
    </w:r>
    <w:r>
      <w:instrText xml:space="preserve"> TITLE   \* MERGEFORMAT </w:instrText>
    </w:r>
    <w:r>
      <w:fldChar w:fldCharType="separate"/>
    </w:r>
    <w:r>
      <w:t>FNSFLT205A Develop understanding of the Australian financial system and markets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53A7B" w:rsidP="007D03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5E13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1C71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36E5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3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0315"/>
    <w:pPr>
      <w:spacing w:before="360" w:after="60"/>
      <w:outlineLvl w:val="0"/>
    </w:pPr>
    <w:rPr>
      <w:sz w:val="32"/>
    </w:rPr>
  </w:style>
  <w:style w:type="paragraph" w:styleId="Heading2">
    <w:name w:val="heading 2"/>
    <w:basedOn w:val="HeadingBase"/>
    <w:next w:val="BodyText"/>
    <w:link w:val="Heading2Char"/>
    <w:qFormat/>
    <w:rsid w:val="007D0315"/>
    <w:pPr>
      <w:keepLines/>
      <w:spacing w:before="240" w:after="120"/>
      <w:outlineLvl w:val="1"/>
    </w:pPr>
    <w:rPr>
      <w:sz w:val="28"/>
      <w:szCs w:val="40"/>
    </w:rPr>
  </w:style>
  <w:style w:type="paragraph" w:styleId="Heading3">
    <w:name w:val="heading 3"/>
    <w:basedOn w:val="HeadingBase"/>
    <w:next w:val="BodyText"/>
    <w:link w:val="Heading3Char"/>
    <w:qFormat/>
    <w:rsid w:val="007D0315"/>
    <w:pPr>
      <w:spacing w:before="180" w:after="120"/>
      <w:outlineLvl w:val="2"/>
    </w:pPr>
    <w:rPr>
      <w:spacing w:val="-10"/>
      <w:kern w:val="32"/>
    </w:rPr>
  </w:style>
  <w:style w:type="paragraph" w:styleId="Heading4">
    <w:name w:val="heading 4"/>
    <w:basedOn w:val="HeadingBase"/>
    <w:next w:val="BodyText"/>
    <w:link w:val="Heading4Char"/>
    <w:qFormat/>
    <w:rsid w:val="007D0315"/>
    <w:pPr>
      <w:spacing w:before="160" w:after="120"/>
      <w:outlineLvl w:val="3"/>
    </w:pPr>
    <w:rPr>
      <w:sz w:val="22"/>
    </w:rPr>
  </w:style>
  <w:style w:type="paragraph" w:styleId="Heading5">
    <w:name w:val="heading 5"/>
    <w:basedOn w:val="HeadingBase"/>
    <w:next w:val="Normal"/>
    <w:link w:val="Heading5Char"/>
    <w:qFormat/>
    <w:rsid w:val="007D0315"/>
    <w:pPr>
      <w:spacing w:before="80"/>
      <w:outlineLvl w:val="4"/>
    </w:pPr>
    <w:rPr>
      <w:color w:val="918585"/>
      <w:sz w:val="20"/>
    </w:rPr>
  </w:style>
  <w:style w:type="paragraph" w:styleId="Heading6">
    <w:name w:val="heading 6"/>
    <w:basedOn w:val="HeadingBase"/>
    <w:next w:val="Normal"/>
    <w:link w:val="Heading6Char"/>
    <w:qFormat/>
    <w:rsid w:val="007D0315"/>
    <w:pPr>
      <w:spacing w:before="60"/>
      <w:outlineLvl w:val="5"/>
    </w:pPr>
    <w:rPr>
      <w:color w:val="918585"/>
      <w:sz w:val="20"/>
    </w:rPr>
  </w:style>
  <w:style w:type="paragraph" w:styleId="Heading7">
    <w:name w:val="heading 7"/>
    <w:basedOn w:val="Normal"/>
    <w:next w:val="Normal"/>
    <w:link w:val="Heading7Char"/>
    <w:qFormat/>
    <w:rsid w:val="007D0315"/>
    <w:pPr>
      <w:ind w:left="720"/>
      <w:outlineLvl w:val="6"/>
    </w:pPr>
    <w:rPr>
      <w:i/>
    </w:rPr>
  </w:style>
  <w:style w:type="paragraph" w:styleId="Heading8">
    <w:name w:val="heading 8"/>
    <w:basedOn w:val="Normal"/>
    <w:next w:val="Normal"/>
    <w:link w:val="Heading8Char"/>
    <w:qFormat/>
    <w:rsid w:val="007D0315"/>
    <w:pPr>
      <w:ind w:left="720"/>
      <w:outlineLvl w:val="7"/>
    </w:pPr>
    <w:rPr>
      <w:i/>
    </w:rPr>
  </w:style>
  <w:style w:type="paragraph" w:styleId="Heading9">
    <w:name w:val="heading 9"/>
    <w:basedOn w:val="Normal"/>
    <w:next w:val="Normal"/>
    <w:link w:val="Heading9Char"/>
    <w:qFormat/>
    <w:rsid w:val="007D0315"/>
    <w:pPr>
      <w:ind w:left="720"/>
      <w:outlineLvl w:val="8"/>
    </w:pPr>
    <w:rPr>
      <w:i/>
    </w:rPr>
  </w:style>
  <w:style w:type="character" w:default="1" w:styleId="DefaultParagraphFont">
    <w:name w:val="Default Paragraph Font"/>
    <w:uiPriority w:val="1"/>
    <w:unhideWhenUsed/>
    <w:rsid w:val="007D03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0315"/>
  </w:style>
  <w:style w:type="character" w:customStyle="1" w:styleId="Heading1Char">
    <w:name w:val="Heading 1 Char"/>
    <w:basedOn w:val="DefaultParagraphFont"/>
    <w:link w:val="Heading1"/>
    <w:rsid w:val="007D0315"/>
    <w:rPr>
      <w:rFonts w:ascii="Times New Roman" w:eastAsia="Times New Roman" w:hAnsi="Times New Roman" w:cs="Times New Roman"/>
      <w:b/>
      <w:sz w:val="32"/>
      <w:szCs w:val="20"/>
      <w:lang w:eastAsia="en-US"/>
    </w:rPr>
  </w:style>
  <w:style w:type="paragraph" w:styleId="BodyText">
    <w:name w:val="Body Text"/>
    <w:basedOn w:val="Normal"/>
    <w:link w:val="BodyTextChar"/>
    <w:rsid w:val="007D03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0315"/>
    <w:rPr>
      <w:rFonts w:ascii="Times New Roman" w:eastAsia="Times New Roman" w:hAnsi="Times New Roman" w:cs="Times New Roman"/>
      <w:sz w:val="24"/>
      <w:lang w:eastAsia="en-US"/>
    </w:rPr>
  </w:style>
  <w:style w:type="paragraph" w:styleId="Footer">
    <w:name w:val="footer"/>
    <w:basedOn w:val="Normal"/>
    <w:link w:val="FooterChar"/>
    <w:rsid w:val="007D03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0315"/>
    <w:rPr>
      <w:rFonts w:ascii="Times New Roman" w:eastAsia="Times New Roman" w:hAnsi="Times New Roman" w:cs="Times New Roman"/>
      <w:sz w:val="16"/>
      <w:lang w:eastAsia="en-US"/>
    </w:rPr>
  </w:style>
  <w:style w:type="paragraph" w:styleId="List">
    <w:name w:val="List"/>
    <w:basedOn w:val="BodyText"/>
    <w:next w:val="BodyText"/>
    <w:rsid w:val="007D0315"/>
    <w:pPr>
      <w:tabs>
        <w:tab w:val="left" w:pos="340"/>
      </w:tabs>
      <w:spacing w:before="60" w:after="60"/>
      <w:ind w:left="340" w:hanging="340"/>
    </w:pPr>
  </w:style>
  <w:style w:type="paragraph" w:styleId="ListBullet">
    <w:name w:val="List Bullet"/>
    <w:basedOn w:val="List"/>
    <w:rsid w:val="007D0315"/>
    <w:pPr>
      <w:numPr>
        <w:numId w:val="13"/>
      </w:numPr>
      <w:tabs>
        <w:tab w:val="clear" w:pos="340"/>
      </w:tabs>
      <w:spacing w:before="40" w:after="40"/>
    </w:pPr>
  </w:style>
  <w:style w:type="character" w:customStyle="1" w:styleId="SpecialBold">
    <w:name w:val="Special Bold"/>
    <w:basedOn w:val="DefaultParagraphFont"/>
    <w:rsid w:val="007D0315"/>
    <w:rPr>
      <w:b/>
      <w:spacing w:val="0"/>
    </w:rPr>
  </w:style>
  <w:style w:type="paragraph" w:styleId="ListBullet2">
    <w:name w:val="List Bullet 2"/>
    <w:basedOn w:val="List2"/>
    <w:rsid w:val="007D0315"/>
    <w:pPr>
      <w:numPr>
        <w:numId w:val="14"/>
      </w:numPr>
      <w:tabs>
        <w:tab w:val="clear" w:pos="680"/>
      </w:tabs>
    </w:pPr>
  </w:style>
  <w:style w:type="paragraph" w:customStyle="1" w:styleId="SuperHeading">
    <w:name w:val="SuperHeading"/>
    <w:basedOn w:val="Normal"/>
    <w:rsid w:val="007D0315"/>
    <w:pPr>
      <w:spacing w:before="240" w:after="120"/>
      <w:outlineLvl w:val="0"/>
    </w:pPr>
    <w:rPr>
      <w:rFonts w:ascii="Times New Roman" w:hAnsi="Times New Roman"/>
      <w:b/>
      <w:sz w:val="28"/>
    </w:rPr>
  </w:style>
  <w:style w:type="paragraph" w:customStyle="1" w:styleId="AllowPageBreak">
    <w:name w:val="AllowPageBreak"/>
    <w:rsid w:val="007D03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0315"/>
    <w:pPr>
      <w:tabs>
        <w:tab w:val="left" w:pos="680"/>
      </w:tabs>
      <w:spacing w:before="60" w:after="60"/>
      <w:ind w:left="680" w:hanging="340"/>
    </w:pPr>
  </w:style>
  <w:style w:type="character" w:customStyle="1" w:styleId="BoldandItalics">
    <w:name w:val="Bold and Italics"/>
    <w:qFormat/>
    <w:rsid w:val="007D0315"/>
    <w:rPr>
      <w:b/>
      <w:i/>
      <w:u w:val="none"/>
    </w:rPr>
  </w:style>
  <w:style w:type="character" w:customStyle="1" w:styleId="Heading2Char">
    <w:name w:val="Heading 2 Char"/>
    <w:basedOn w:val="DefaultParagraphFont"/>
    <w:link w:val="Heading2"/>
    <w:rsid w:val="007D03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03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03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03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03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03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03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0315"/>
    <w:rPr>
      <w:rFonts w:ascii="Courier New" w:eastAsia="Times New Roman" w:hAnsi="Courier New" w:cs="Times New Roman"/>
      <w:i/>
      <w:szCs w:val="20"/>
      <w:lang w:eastAsia="en-US"/>
    </w:rPr>
  </w:style>
  <w:style w:type="paragraph" w:customStyle="1" w:styleId="HeadingBase">
    <w:name w:val="Heading Base"/>
    <w:rsid w:val="007D03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0315"/>
    <w:pPr>
      <w:tabs>
        <w:tab w:val="right" w:leader="dot" w:pos="9072"/>
      </w:tabs>
      <w:ind w:left="567"/>
    </w:pPr>
    <w:rPr>
      <w:szCs w:val="22"/>
    </w:rPr>
  </w:style>
  <w:style w:type="paragraph" w:customStyle="1" w:styleId="TOCBase">
    <w:name w:val="TOC Base"/>
    <w:rsid w:val="007D03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0315"/>
    <w:pPr>
      <w:tabs>
        <w:tab w:val="right" w:leader="dot" w:pos="9072"/>
      </w:tabs>
      <w:spacing w:before="40" w:after="40"/>
      <w:ind w:left="284"/>
    </w:pPr>
    <w:rPr>
      <w:rFonts w:ascii="Times New Roman" w:hAnsi="Times New Roman"/>
    </w:rPr>
  </w:style>
  <w:style w:type="paragraph" w:styleId="TOC1">
    <w:name w:val="toc 1"/>
    <w:basedOn w:val="TOCBase"/>
    <w:next w:val="Normal"/>
    <w:rsid w:val="007D03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0315"/>
    <w:pPr>
      <w:spacing w:before="5040"/>
      <w:jc w:val="center"/>
    </w:pPr>
    <w:rPr>
      <w:sz w:val="48"/>
      <w:szCs w:val="72"/>
      <w:lang w:val="en-US"/>
    </w:rPr>
  </w:style>
  <w:style w:type="character" w:customStyle="1" w:styleId="TitleChar">
    <w:name w:val="Title Char"/>
    <w:basedOn w:val="DefaultParagraphFont"/>
    <w:link w:val="Title"/>
    <w:rsid w:val="007D03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0315"/>
    <w:pPr>
      <w:tabs>
        <w:tab w:val="left" w:pos="3600"/>
        <w:tab w:val="left" w:pos="3958"/>
      </w:tabs>
    </w:pPr>
  </w:style>
  <w:style w:type="paragraph" w:customStyle="1" w:styleId="Note">
    <w:name w:val="Note"/>
    <w:basedOn w:val="BodyText"/>
    <w:rsid w:val="007D03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0315"/>
    <w:pPr>
      <w:framePr w:wrap="auto" w:hAnchor="text" w:y="6049"/>
    </w:pPr>
    <w:rPr>
      <w:color w:val="000000"/>
      <w:sz w:val="40"/>
    </w:rPr>
  </w:style>
  <w:style w:type="paragraph" w:customStyle="1" w:styleId="TOCTitle">
    <w:name w:val="TOCTitle"/>
    <w:basedOn w:val="Heading1"/>
    <w:rsid w:val="007D0315"/>
    <w:pPr>
      <w:spacing w:after="240"/>
      <w:jc w:val="center"/>
      <w:outlineLvl w:val="9"/>
    </w:pPr>
    <w:rPr>
      <w:caps/>
    </w:rPr>
  </w:style>
  <w:style w:type="paragraph" w:customStyle="1" w:styleId="Version">
    <w:name w:val="Version"/>
    <w:rsid w:val="007D03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0315"/>
    <w:pPr>
      <w:keepNext w:val="0"/>
      <w:tabs>
        <w:tab w:val="right" w:pos="4176"/>
      </w:tabs>
      <w:ind w:left="198" w:hanging="198"/>
    </w:pPr>
    <w:rPr>
      <w:rFonts w:ascii="Garamond" w:hAnsi="Garamond"/>
    </w:rPr>
  </w:style>
  <w:style w:type="paragraph" w:styleId="IndexHeading">
    <w:name w:val="index heading"/>
    <w:basedOn w:val="Normal"/>
    <w:next w:val="Index1"/>
    <w:semiHidden/>
    <w:rsid w:val="007D0315"/>
    <w:pPr>
      <w:spacing w:before="120" w:after="120"/>
    </w:pPr>
    <w:rPr>
      <w:rFonts w:ascii="Arial" w:hAnsi="Arial"/>
      <w:b/>
      <w:color w:val="918585"/>
      <w:sz w:val="24"/>
    </w:rPr>
  </w:style>
  <w:style w:type="paragraph" w:styleId="Header">
    <w:name w:val="header"/>
    <w:basedOn w:val="Normal"/>
    <w:link w:val="HeaderChar"/>
    <w:rsid w:val="007D03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0315"/>
    <w:rPr>
      <w:rFonts w:ascii="Times New Roman" w:eastAsia="Times New Roman" w:hAnsi="Times New Roman" w:cs="Times New Roman"/>
      <w:sz w:val="16"/>
      <w:szCs w:val="20"/>
      <w:lang w:val="en-GB" w:eastAsia="en-US"/>
    </w:rPr>
  </w:style>
  <w:style w:type="paragraph" w:customStyle="1" w:styleId="Chapter">
    <w:name w:val="Chapter"/>
    <w:basedOn w:val="Normal"/>
    <w:rsid w:val="007D0315"/>
    <w:pPr>
      <w:spacing w:before="240"/>
    </w:pPr>
    <w:rPr>
      <w:rFonts w:ascii="Times New Roman" w:hAnsi="Times New Roman"/>
      <w:smallCaps/>
      <w:spacing w:val="80"/>
      <w:sz w:val="28"/>
    </w:rPr>
  </w:style>
  <w:style w:type="paragraph" w:customStyle="1" w:styleId="InChapter">
    <w:name w:val="InChapter"/>
    <w:basedOn w:val="Heading3"/>
    <w:rsid w:val="007D0315"/>
    <w:pPr>
      <w:spacing w:after="240"/>
      <w:outlineLvl w:val="9"/>
    </w:pPr>
    <w:rPr>
      <w:noProof/>
    </w:rPr>
  </w:style>
  <w:style w:type="paragraph" w:styleId="Index2">
    <w:name w:val="index 2"/>
    <w:basedOn w:val="Normal"/>
    <w:next w:val="Normal"/>
    <w:semiHidden/>
    <w:rsid w:val="007D0315"/>
    <w:pPr>
      <w:tabs>
        <w:tab w:val="right" w:pos="4176"/>
      </w:tabs>
      <w:ind w:left="568" w:hanging="284"/>
    </w:pPr>
    <w:rPr>
      <w:rFonts w:ascii="Garamond" w:hAnsi="Garamond"/>
    </w:rPr>
  </w:style>
  <w:style w:type="paragraph" w:customStyle="1" w:styleId="Byline">
    <w:name w:val="Byline"/>
    <w:rsid w:val="007D03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0315"/>
    <w:pPr>
      <w:tabs>
        <w:tab w:val="clear" w:pos="3600"/>
        <w:tab w:val="clear" w:pos="3958"/>
      </w:tabs>
      <w:jc w:val="right"/>
    </w:pPr>
  </w:style>
  <w:style w:type="character" w:styleId="Emphasis">
    <w:name w:val="Emphasis"/>
    <w:basedOn w:val="DefaultParagraphFont"/>
    <w:qFormat/>
    <w:rsid w:val="007D0315"/>
    <w:rPr>
      <w:i/>
    </w:rPr>
  </w:style>
  <w:style w:type="paragraph" w:styleId="Caption">
    <w:name w:val="caption"/>
    <w:basedOn w:val="BodyText"/>
    <w:next w:val="Normal"/>
    <w:qFormat/>
    <w:rsid w:val="007D0315"/>
    <w:pPr>
      <w:framePr w:w="2268" w:hSpace="181" w:vSpace="181" w:wrap="around" w:vAnchor="text" w:hAnchor="page" w:x="1135" w:y="285" w:anchorLock="1"/>
    </w:pPr>
    <w:rPr>
      <w:i/>
    </w:rPr>
  </w:style>
  <w:style w:type="paragraph" w:customStyle="1" w:styleId="MiniTOCTitle">
    <w:name w:val="MiniTOCTitle"/>
    <w:basedOn w:val="Heading4"/>
    <w:rsid w:val="007D0315"/>
    <w:pPr>
      <w:spacing w:before="240"/>
      <w:outlineLvl w:val="9"/>
    </w:pPr>
    <w:rPr>
      <w:noProof/>
      <w:sz w:val="24"/>
    </w:rPr>
  </w:style>
  <w:style w:type="paragraph" w:customStyle="1" w:styleId="MiniTOCItem">
    <w:name w:val="MiniTOCItem"/>
    <w:basedOn w:val="ListBullet"/>
    <w:rsid w:val="007D0315"/>
    <w:pPr>
      <w:numPr>
        <w:numId w:val="0"/>
      </w:numPr>
      <w:tabs>
        <w:tab w:val="right" w:leader="dot" w:pos="6521"/>
      </w:tabs>
      <w:spacing w:before="0" w:after="0"/>
    </w:pPr>
  </w:style>
  <w:style w:type="paragraph" w:customStyle="1" w:styleId="TOFTitle">
    <w:name w:val="TOFTitle"/>
    <w:basedOn w:val="TOCTitle"/>
    <w:rsid w:val="007D0315"/>
  </w:style>
  <w:style w:type="paragraph" w:styleId="TableofFigures">
    <w:name w:val="table of figures"/>
    <w:basedOn w:val="Normal"/>
    <w:next w:val="Normal"/>
    <w:semiHidden/>
    <w:rsid w:val="007D0315"/>
    <w:pPr>
      <w:tabs>
        <w:tab w:val="right" w:leader="dot" w:pos="9072"/>
      </w:tabs>
      <w:ind w:left="970" w:hanging="403"/>
    </w:pPr>
    <w:rPr>
      <w:rFonts w:ascii="Times New Roman" w:hAnsi="Times New Roman"/>
      <w:b/>
    </w:rPr>
  </w:style>
  <w:style w:type="paragraph" w:styleId="ListNumber">
    <w:name w:val="List Number"/>
    <w:basedOn w:val="List"/>
    <w:rsid w:val="007D0315"/>
    <w:pPr>
      <w:numPr>
        <w:numId w:val="11"/>
      </w:numPr>
    </w:pPr>
  </w:style>
  <w:style w:type="character" w:customStyle="1" w:styleId="WingdingSymbols">
    <w:name w:val="Wingding Symbols"/>
    <w:rsid w:val="007D0315"/>
    <w:rPr>
      <w:rFonts w:ascii="Wingdings" w:hAnsi="Wingdings"/>
    </w:rPr>
  </w:style>
  <w:style w:type="paragraph" w:customStyle="1" w:styleId="TableHeading">
    <w:name w:val="Table Heading"/>
    <w:basedOn w:val="HeadingBase"/>
    <w:rsid w:val="007D0315"/>
    <w:pPr>
      <w:keepLines/>
      <w:pBdr>
        <w:bottom w:val="single" w:sz="6" w:space="1" w:color="918585"/>
      </w:pBdr>
      <w:spacing w:before="240"/>
    </w:pPr>
  </w:style>
  <w:style w:type="character" w:customStyle="1" w:styleId="HotSpot">
    <w:name w:val="HotSpot"/>
    <w:rsid w:val="007D0315"/>
    <w:rPr>
      <w:color w:val="0033CC"/>
      <w:u w:val="none"/>
    </w:rPr>
  </w:style>
  <w:style w:type="paragraph" w:customStyle="1" w:styleId="BodyTextRight">
    <w:name w:val="Body Text Right"/>
    <w:basedOn w:val="BodyText"/>
    <w:rsid w:val="007D0315"/>
    <w:pPr>
      <w:spacing w:before="0" w:after="0"/>
      <w:jc w:val="right"/>
    </w:pPr>
  </w:style>
  <w:style w:type="paragraph" w:styleId="Index3">
    <w:name w:val="index 3"/>
    <w:basedOn w:val="ListNumber2"/>
    <w:next w:val="Normal"/>
    <w:semiHidden/>
    <w:rsid w:val="007D0315"/>
    <w:pPr>
      <w:numPr>
        <w:numId w:val="0"/>
      </w:numPr>
      <w:tabs>
        <w:tab w:val="right" w:leader="dot" w:pos="4176"/>
      </w:tabs>
    </w:pPr>
  </w:style>
  <w:style w:type="paragraph" w:styleId="ListNumber2">
    <w:name w:val="List Number 2"/>
    <w:basedOn w:val="List2"/>
    <w:rsid w:val="007D0315"/>
    <w:pPr>
      <w:numPr>
        <w:numId w:val="10"/>
      </w:numPr>
      <w:tabs>
        <w:tab w:val="clear" w:pos="1060"/>
      </w:tabs>
    </w:pPr>
  </w:style>
  <w:style w:type="paragraph" w:customStyle="1" w:styleId="MarginNote">
    <w:name w:val="Margin Note"/>
    <w:basedOn w:val="BodyText"/>
    <w:rsid w:val="007D03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03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03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0315"/>
    <w:rPr>
      <w:sz w:val="32"/>
    </w:rPr>
  </w:style>
  <w:style w:type="paragraph" w:customStyle="1" w:styleId="HeadingProcedure">
    <w:name w:val="Heading Procedure"/>
    <w:basedOn w:val="HeadingBase"/>
    <w:next w:val="Normal"/>
    <w:rsid w:val="007D0315"/>
    <w:pPr>
      <w:tabs>
        <w:tab w:val="left" w:pos="0"/>
      </w:tabs>
      <w:spacing w:before="120" w:after="60"/>
    </w:pPr>
    <w:rPr>
      <w:i/>
      <w:color w:val="918585"/>
      <w:sz w:val="22"/>
    </w:rPr>
  </w:style>
  <w:style w:type="paragraph" w:customStyle="1" w:styleId="TableBodyText">
    <w:name w:val="Table Body Text"/>
    <w:basedOn w:val="BodyText"/>
    <w:rsid w:val="007D0315"/>
    <w:pPr>
      <w:spacing w:before="60" w:after="60"/>
    </w:pPr>
  </w:style>
  <w:style w:type="paragraph" w:styleId="ListContinue">
    <w:name w:val="List Continue"/>
    <w:basedOn w:val="List"/>
    <w:rsid w:val="007D0315"/>
    <w:pPr>
      <w:ind w:firstLine="0"/>
    </w:pPr>
  </w:style>
  <w:style w:type="paragraph" w:customStyle="1" w:styleId="ListNote">
    <w:name w:val="List Note"/>
    <w:basedOn w:val="List"/>
    <w:rsid w:val="007D0315"/>
    <w:pPr>
      <w:pBdr>
        <w:top w:val="single" w:sz="6" w:space="2" w:color="918585"/>
        <w:bottom w:val="single" w:sz="6" w:space="2" w:color="918585"/>
      </w:pBdr>
      <w:tabs>
        <w:tab w:val="left" w:pos="1021"/>
      </w:tabs>
      <w:ind w:firstLine="0"/>
    </w:pPr>
  </w:style>
  <w:style w:type="paragraph" w:customStyle="1" w:styleId="Warning">
    <w:name w:val="Warning"/>
    <w:basedOn w:val="BodyText"/>
    <w:rsid w:val="007D0315"/>
    <w:pPr>
      <w:shd w:val="clear" w:color="auto" w:fill="D9D9D9"/>
      <w:tabs>
        <w:tab w:val="left" w:pos="992"/>
      </w:tabs>
      <w:ind w:left="119" w:right="119"/>
    </w:pPr>
    <w:rPr>
      <w:sz w:val="20"/>
    </w:rPr>
  </w:style>
  <w:style w:type="paragraph" w:customStyle="1" w:styleId="MarginIcons">
    <w:name w:val="Margin Icons"/>
    <w:basedOn w:val="BodyText"/>
    <w:rsid w:val="007D03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0315"/>
    <w:rPr>
      <w:rFonts w:ascii="Courier New" w:hAnsi="Courier New"/>
    </w:rPr>
  </w:style>
  <w:style w:type="paragraph" w:customStyle="1" w:styleId="NoteBullet">
    <w:name w:val="Note Bullet"/>
    <w:basedOn w:val="Note"/>
    <w:rsid w:val="007D0315"/>
    <w:pPr>
      <w:tabs>
        <w:tab w:val="clear" w:pos="680"/>
      </w:tabs>
      <w:spacing w:before="60" w:after="60"/>
    </w:pPr>
  </w:style>
  <w:style w:type="paragraph" w:customStyle="1" w:styleId="SubHeading2">
    <w:name w:val="SubHeading2"/>
    <w:basedOn w:val="HeadingBase"/>
    <w:rsid w:val="007D0315"/>
    <w:pPr>
      <w:spacing w:before="240" w:after="60"/>
    </w:pPr>
    <w:rPr>
      <w:sz w:val="20"/>
    </w:rPr>
  </w:style>
  <w:style w:type="paragraph" w:customStyle="1" w:styleId="SubHeading1">
    <w:name w:val="SubHeading1"/>
    <w:basedOn w:val="HeadingBase"/>
    <w:rsid w:val="007D0315"/>
    <w:pPr>
      <w:spacing w:before="240" w:after="60"/>
    </w:pPr>
    <w:rPr>
      <w:color w:val="918585"/>
      <w:sz w:val="22"/>
    </w:rPr>
  </w:style>
  <w:style w:type="paragraph" w:customStyle="1" w:styleId="SideHeading">
    <w:name w:val="Side Heading"/>
    <w:basedOn w:val="HeadingBase"/>
    <w:rsid w:val="007D03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0315"/>
    <w:pPr>
      <w:numPr>
        <w:numId w:val="12"/>
      </w:numPr>
    </w:pPr>
  </w:style>
  <w:style w:type="paragraph" w:styleId="PlainText">
    <w:name w:val="Plain Text"/>
    <w:basedOn w:val="Normal"/>
    <w:link w:val="PlainTextChar"/>
    <w:rsid w:val="007D0315"/>
    <w:rPr>
      <w:sz w:val="20"/>
    </w:rPr>
  </w:style>
  <w:style w:type="character" w:customStyle="1" w:styleId="PlainTextChar">
    <w:name w:val="Plain Text Char"/>
    <w:basedOn w:val="DefaultParagraphFont"/>
    <w:link w:val="PlainText"/>
    <w:rsid w:val="007D0315"/>
    <w:rPr>
      <w:rFonts w:ascii="Courier New" w:eastAsia="Times New Roman" w:hAnsi="Courier New" w:cs="Times New Roman"/>
      <w:sz w:val="20"/>
      <w:szCs w:val="20"/>
      <w:lang w:eastAsia="en-US"/>
    </w:rPr>
  </w:style>
  <w:style w:type="character" w:customStyle="1" w:styleId="MenuOption">
    <w:name w:val="Menu Option"/>
    <w:basedOn w:val="DefaultParagraphFont"/>
    <w:rsid w:val="007D0315"/>
    <w:rPr>
      <w:b/>
      <w:smallCaps/>
    </w:rPr>
  </w:style>
  <w:style w:type="paragraph" w:customStyle="1" w:styleId="TableListNumber">
    <w:name w:val="Table List Number"/>
    <w:basedOn w:val="ListNumber"/>
    <w:rsid w:val="007D0315"/>
    <w:pPr>
      <w:numPr>
        <w:numId w:val="0"/>
      </w:numPr>
    </w:pPr>
  </w:style>
  <w:style w:type="paragraph" w:styleId="TOC4">
    <w:name w:val="toc 4"/>
    <w:basedOn w:val="TOCBase"/>
    <w:next w:val="Normal"/>
    <w:semiHidden/>
    <w:rsid w:val="007D0315"/>
    <w:pPr>
      <w:tabs>
        <w:tab w:val="right" w:leader="dot" w:pos="9071"/>
      </w:tabs>
      <w:ind w:left="1701"/>
    </w:pPr>
  </w:style>
  <w:style w:type="paragraph" w:customStyle="1" w:styleId="ListAlpha">
    <w:name w:val="List Alpha"/>
    <w:basedOn w:val="List"/>
    <w:rsid w:val="007D0315"/>
    <w:pPr>
      <w:numPr>
        <w:numId w:val="9"/>
      </w:numPr>
    </w:pPr>
  </w:style>
  <w:style w:type="paragraph" w:customStyle="1" w:styleId="ListAlpha2">
    <w:name w:val="List Alpha 2"/>
    <w:basedOn w:val="List2"/>
    <w:rsid w:val="007D0315"/>
    <w:pPr>
      <w:numPr>
        <w:numId w:val="8"/>
      </w:numPr>
    </w:pPr>
  </w:style>
  <w:style w:type="paragraph" w:styleId="List3">
    <w:name w:val="List 3"/>
    <w:basedOn w:val="BodyText"/>
    <w:rsid w:val="007D0315"/>
    <w:pPr>
      <w:tabs>
        <w:tab w:val="left" w:pos="1021"/>
      </w:tabs>
      <w:spacing w:before="60" w:after="60"/>
      <w:ind w:left="1020" w:hanging="340"/>
    </w:pPr>
  </w:style>
  <w:style w:type="paragraph" w:styleId="List4">
    <w:name w:val="List 4"/>
    <w:basedOn w:val="BodyText"/>
    <w:rsid w:val="007D0315"/>
    <w:pPr>
      <w:tabs>
        <w:tab w:val="left" w:pos="1361"/>
      </w:tabs>
      <w:spacing w:before="60" w:after="60"/>
      <w:ind w:left="1361" w:hanging="340"/>
    </w:pPr>
  </w:style>
  <w:style w:type="paragraph" w:styleId="List5">
    <w:name w:val="List 5"/>
    <w:basedOn w:val="BodyText"/>
    <w:rsid w:val="007D0315"/>
    <w:pPr>
      <w:tabs>
        <w:tab w:val="left" w:pos="1701"/>
      </w:tabs>
      <w:spacing w:before="60" w:after="60"/>
      <w:ind w:left="1701" w:hanging="340"/>
    </w:pPr>
  </w:style>
  <w:style w:type="paragraph" w:styleId="ListBullet3">
    <w:name w:val="List Bullet 3"/>
    <w:basedOn w:val="List3"/>
    <w:rsid w:val="007D0315"/>
    <w:pPr>
      <w:numPr>
        <w:numId w:val="15"/>
      </w:numPr>
      <w:tabs>
        <w:tab w:val="clear" w:pos="1021"/>
      </w:tabs>
      <w:ind w:left="1037" w:hanging="357"/>
    </w:pPr>
  </w:style>
  <w:style w:type="paragraph" w:styleId="ListBullet4">
    <w:name w:val="List Bullet 4"/>
    <w:basedOn w:val="List4"/>
    <w:rsid w:val="007D0315"/>
    <w:pPr>
      <w:numPr>
        <w:numId w:val="3"/>
      </w:numPr>
    </w:pPr>
  </w:style>
  <w:style w:type="paragraph" w:styleId="ListBullet5">
    <w:name w:val="List Bullet 5"/>
    <w:basedOn w:val="List5"/>
    <w:rsid w:val="007D0315"/>
    <w:pPr>
      <w:numPr>
        <w:numId w:val="4"/>
      </w:numPr>
    </w:pPr>
  </w:style>
  <w:style w:type="paragraph" w:styleId="ListContinue2">
    <w:name w:val="List Continue 2"/>
    <w:basedOn w:val="List2"/>
    <w:rsid w:val="007D0315"/>
    <w:pPr>
      <w:ind w:firstLine="0"/>
    </w:pPr>
  </w:style>
  <w:style w:type="paragraph" w:styleId="ListContinue3">
    <w:name w:val="List Continue 3"/>
    <w:basedOn w:val="List3"/>
    <w:rsid w:val="007D0315"/>
    <w:pPr>
      <w:ind w:left="1021" w:firstLine="0"/>
    </w:pPr>
  </w:style>
  <w:style w:type="paragraph" w:styleId="ListContinue4">
    <w:name w:val="List Continue 4"/>
    <w:basedOn w:val="List4"/>
    <w:rsid w:val="007D0315"/>
    <w:pPr>
      <w:ind w:firstLine="0"/>
    </w:pPr>
  </w:style>
  <w:style w:type="paragraph" w:styleId="ListContinue5">
    <w:name w:val="List Continue 5"/>
    <w:basedOn w:val="List5"/>
    <w:rsid w:val="007D0315"/>
    <w:pPr>
      <w:ind w:firstLine="0"/>
    </w:pPr>
  </w:style>
  <w:style w:type="paragraph" w:styleId="ListNumber3">
    <w:name w:val="List Number 3"/>
    <w:basedOn w:val="List3"/>
    <w:rsid w:val="007D0315"/>
    <w:pPr>
      <w:numPr>
        <w:numId w:val="5"/>
      </w:numPr>
    </w:pPr>
  </w:style>
  <w:style w:type="paragraph" w:styleId="ListNumber4">
    <w:name w:val="List Number 4"/>
    <w:basedOn w:val="List4"/>
    <w:rsid w:val="007D0315"/>
    <w:pPr>
      <w:numPr>
        <w:numId w:val="6"/>
      </w:numPr>
    </w:pPr>
  </w:style>
  <w:style w:type="paragraph" w:styleId="ListNumber5">
    <w:name w:val="List Number 5"/>
    <w:basedOn w:val="List5"/>
    <w:rsid w:val="007D0315"/>
    <w:pPr>
      <w:numPr>
        <w:numId w:val="7"/>
      </w:numPr>
    </w:pPr>
  </w:style>
  <w:style w:type="paragraph" w:styleId="BlockText">
    <w:name w:val="Block Text"/>
    <w:basedOn w:val="Normal"/>
    <w:rsid w:val="007D0315"/>
    <w:pPr>
      <w:spacing w:after="120"/>
      <w:ind w:left="1440" w:right="1440"/>
    </w:pPr>
  </w:style>
  <w:style w:type="character" w:customStyle="1" w:styleId="Subscript">
    <w:name w:val="Subscript"/>
    <w:basedOn w:val="DefaultParagraphFont"/>
    <w:rsid w:val="007D0315"/>
    <w:rPr>
      <w:sz w:val="16"/>
      <w:vertAlign w:val="subscript"/>
    </w:rPr>
  </w:style>
  <w:style w:type="character" w:customStyle="1" w:styleId="Superscript">
    <w:name w:val="Superscript"/>
    <w:basedOn w:val="DefaultParagraphFont"/>
    <w:rsid w:val="007D0315"/>
    <w:rPr>
      <w:sz w:val="16"/>
      <w:vertAlign w:val="superscript"/>
    </w:rPr>
  </w:style>
  <w:style w:type="character" w:customStyle="1" w:styleId="Symbols">
    <w:name w:val="Symbols"/>
    <w:basedOn w:val="DefaultParagraphFont"/>
    <w:rsid w:val="007D0315"/>
    <w:rPr>
      <w:rFonts w:ascii="Symbol" w:hAnsi="Symbol"/>
    </w:rPr>
  </w:style>
  <w:style w:type="character" w:customStyle="1" w:styleId="MenuOptions">
    <w:name w:val="Menu Options"/>
    <w:basedOn w:val="DefaultParagraphFont"/>
    <w:rsid w:val="007D0315"/>
    <w:rPr>
      <w:rFonts w:ascii="Arial Narrow" w:hAnsi="Arial Narrow"/>
      <w:smallCaps/>
    </w:rPr>
  </w:style>
  <w:style w:type="character" w:customStyle="1" w:styleId="Buttons">
    <w:name w:val="Buttons"/>
    <w:basedOn w:val="DefaultParagraphFont"/>
    <w:rsid w:val="007D0315"/>
    <w:rPr>
      <w:b/>
    </w:rPr>
  </w:style>
  <w:style w:type="character" w:customStyle="1" w:styleId="Underlined">
    <w:name w:val="Underlined"/>
    <w:basedOn w:val="DefaultParagraphFont"/>
    <w:rsid w:val="007D0315"/>
    <w:rPr>
      <w:u w:val="single"/>
    </w:rPr>
  </w:style>
  <w:style w:type="paragraph" w:customStyle="1" w:styleId="TableBodyTextRight">
    <w:name w:val="Table Body Text Right"/>
    <w:basedOn w:val="TableBodyText"/>
    <w:rsid w:val="007D0315"/>
    <w:pPr>
      <w:widowControl w:val="0"/>
      <w:autoSpaceDE w:val="0"/>
      <w:autoSpaceDN w:val="0"/>
      <w:adjustRightInd w:val="0"/>
      <w:jc w:val="right"/>
    </w:pPr>
    <w:rPr>
      <w:rFonts w:cs="Arial"/>
      <w:szCs w:val="18"/>
    </w:rPr>
  </w:style>
  <w:style w:type="paragraph" w:customStyle="1" w:styleId="CopyrightText">
    <w:name w:val="Copyright Text"/>
    <w:basedOn w:val="BodyText"/>
    <w:rsid w:val="007D0315"/>
    <w:rPr>
      <w:sz w:val="18"/>
    </w:rPr>
  </w:style>
  <w:style w:type="paragraph" w:customStyle="1" w:styleId="BodySmallRight">
    <w:name w:val="Body Small Right"/>
    <w:basedOn w:val="BodyTextRight"/>
    <w:rsid w:val="007D0315"/>
    <w:rPr>
      <w:sz w:val="18"/>
      <w:szCs w:val="18"/>
    </w:rPr>
  </w:style>
  <w:style w:type="paragraph" w:customStyle="1" w:styleId="MarginEdition">
    <w:name w:val="Margin Edition"/>
    <w:basedOn w:val="MarginNote"/>
    <w:rsid w:val="007D0315"/>
    <w:pPr>
      <w:spacing w:before="0" w:after="0"/>
    </w:pPr>
    <w:rPr>
      <w:rFonts w:ascii="Times New Roman" w:hAnsi="Times New Roman"/>
      <w:color w:val="999999"/>
    </w:rPr>
  </w:style>
  <w:style w:type="paragraph" w:customStyle="1" w:styleId="Spacer">
    <w:name w:val="Spacer"/>
    <w:basedOn w:val="Normal"/>
    <w:rsid w:val="007D0315"/>
    <w:rPr>
      <w:sz w:val="2"/>
      <w:szCs w:val="2"/>
    </w:rPr>
  </w:style>
  <w:style w:type="character" w:customStyle="1" w:styleId="Small">
    <w:name w:val="Small"/>
    <w:basedOn w:val="DefaultParagraphFont"/>
    <w:rsid w:val="007D0315"/>
    <w:rPr>
      <w:sz w:val="16"/>
    </w:rPr>
  </w:style>
  <w:style w:type="paragraph" w:customStyle="1" w:styleId="WideTable">
    <w:name w:val="Wide Table"/>
    <w:basedOn w:val="Normal"/>
    <w:rsid w:val="007D0315"/>
    <w:pPr>
      <w:ind w:left="-1418"/>
    </w:pPr>
    <w:rPr>
      <w:sz w:val="2"/>
      <w:szCs w:val="2"/>
    </w:rPr>
  </w:style>
  <w:style w:type="character" w:styleId="PageNumber">
    <w:name w:val="page number"/>
    <w:basedOn w:val="DefaultParagraphFont"/>
    <w:rsid w:val="007D0315"/>
  </w:style>
  <w:style w:type="paragraph" w:styleId="Quote">
    <w:name w:val="Quote"/>
    <w:basedOn w:val="Heading1"/>
    <w:link w:val="QuoteChar"/>
    <w:qFormat/>
    <w:rsid w:val="007D0315"/>
    <w:rPr>
      <w:b w:val="0"/>
      <w:sz w:val="72"/>
      <w:szCs w:val="72"/>
      <w:lang w:val="en-NZ"/>
    </w:rPr>
  </w:style>
  <w:style w:type="character" w:customStyle="1" w:styleId="QuoteChar">
    <w:name w:val="Quote Char"/>
    <w:basedOn w:val="DefaultParagraphFont"/>
    <w:link w:val="Quote"/>
    <w:rsid w:val="007D03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0315"/>
    <w:pPr>
      <w:pageBreakBefore/>
    </w:pPr>
  </w:style>
  <w:style w:type="paragraph" w:customStyle="1" w:styleId="Border">
    <w:name w:val="Border"/>
    <w:basedOn w:val="Normal"/>
    <w:qFormat/>
    <w:rsid w:val="007D03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0315"/>
    <w:rPr>
      <w:b/>
      <w:bCs/>
      <w:i/>
      <w:iCs/>
      <w:color w:val="auto"/>
    </w:rPr>
  </w:style>
  <w:style w:type="paragraph" w:styleId="IntenseQuote">
    <w:name w:val="Intense Quote"/>
    <w:basedOn w:val="Normal"/>
    <w:next w:val="Normal"/>
    <w:link w:val="IntenseQuoteChar"/>
    <w:uiPriority w:val="30"/>
    <w:qFormat/>
    <w:rsid w:val="007D03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03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0315"/>
    <w:rPr>
      <w:smallCaps/>
      <w:color w:val="auto"/>
      <w:u w:val="single"/>
    </w:rPr>
  </w:style>
  <w:style w:type="character" w:styleId="IntenseReference">
    <w:name w:val="Intense Reference"/>
    <w:basedOn w:val="DefaultParagraphFont"/>
    <w:uiPriority w:val="32"/>
    <w:qFormat/>
    <w:rsid w:val="007D0315"/>
    <w:rPr>
      <w:b/>
      <w:bCs/>
      <w:smallCaps/>
      <w:color w:val="auto"/>
      <w:spacing w:val="5"/>
      <w:u w:val="single"/>
    </w:rPr>
  </w:style>
  <w:style w:type="paragraph" w:customStyle="1" w:styleId="2ColumnHeading">
    <w:name w:val="2Column Heading"/>
    <w:basedOn w:val="BodyText"/>
    <w:qFormat/>
    <w:rsid w:val="007D0315"/>
    <w:pPr>
      <w:spacing w:after="60"/>
      <w:ind w:left="-2268"/>
    </w:pPr>
    <w:rPr>
      <w:b/>
    </w:rPr>
  </w:style>
  <w:style w:type="paragraph" w:customStyle="1" w:styleId="Heading1TOC">
    <w:name w:val="Heading1 TOC"/>
    <w:basedOn w:val="Normal"/>
    <w:qFormat/>
    <w:rsid w:val="007D0315"/>
    <w:pPr>
      <w:spacing w:before="240" w:after="120"/>
    </w:pPr>
    <w:rPr>
      <w:rFonts w:ascii="Times New Roman" w:hAnsi="Times New Roman"/>
      <w:b/>
      <w:sz w:val="32"/>
    </w:rPr>
  </w:style>
  <w:style w:type="paragraph" w:customStyle="1" w:styleId="Heading2TOC">
    <w:name w:val="Heading2 TOC"/>
    <w:basedOn w:val="Normal"/>
    <w:qFormat/>
    <w:rsid w:val="007D0315"/>
    <w:pPr>
      <w:spacing w:before="240" w:after="60"/>
    </w:pPr>
    <w:rPr>
      <w:rFonts w:ascii="Times New Roman" w:hAnsi="Times New Roman"/>
      <w:b/>
      <w:sz w:val="28"/>
    </w:rPr>
  </w:style>
  <w:style w:type="character" w:customStyle="1" w:styleId="Underline">
    <w:name w:val="Underline"/>
    <w:basedOn w:val="DefaultParagraphFont"/>
    <w:qFormat/>
    <w:rsid w:val="007D0315"/>
    <w:rPr>
      <w:u w:val="single"/>
    </w:rPr>
  </w:style>
  <w:style w:type="paragraph" w:styleId="BalloonText">
    <w:name w:val="Balloon Text"/>
    <w:basedOn w:val="Normal"/>
    <w:link w:val="BalloonTextChar"/>
    <w:rsid w:val="007D0315"/>
    <w:rPr>
      <w:rFonts w:ascii="Tahoma" w:hAnsi="Tahoma" w:cs="Tahoma"/>
      <w:sz w:val="16"/>
      <w:szCs w:val="16"/>
    </w:rPr>
  </w:style>
  <w:style w:type="character" w:customStyle="1" w:styleId="BalloonTextChar">
    <w:name w:val="Balloon Text Char"/>
    <w:basedOn w:val="DefaultParagraphFont"/>
    <w:link w:val="BalloonText"/>
    <w:rsid w:val="007D03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03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03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0315"/>
    <w:rPr>
      <w:b/>
      <w:color w:val="660033"/>
      <w:spacing w:val="0"/>
    </w:rPr>
  </w:style>
  <w:style w:type="paragraph" w:customStyle="1" w:styleId="Nameditemlist">
    <w:name w:val="Named item list"/>
    <w:basedOn w:val="BodyText"/>
    <w:qFormat/>
    <w:rsid w:val="007D03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1302</Words>
  <Characters>7924</Characters>
  <Application>Microsoft Office Word</Application>
  <DocSecurity>0</DocSecurity>
  <Lines>301</Lines>
  <Paragraphs>147</Paragraphs>
  <ScaleCrop>false</ScaleCrop>
  <Company>Author-it Software Corporation Ltd.</Company>
  <LinksUpToDate>false</LinksUpToDate>
  <CharactersWithSpaces>9152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FNSFLT205A Develop understanding of the Australian financial system and markets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2012-10-05T17:27:00Z</dcterms:created>
  <dcterms:modified xsi:type="dcterms:W3CDTF">2012-10-05T17:27:00Z</dcterms:modified>
</cp:coreProperties>
</file>