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061F" w:rsidP="0039061F">
      <w:pPr>
        <w:pStyle w:val="Title"/>
      </w:pPr>
      <w:r>
        <w:fldChar w:fldCharType="begin"/>
      </w:r>
      <w:r>
        <w:instrText xml:space="preserve"> TITLE   \* MERGEFORMAT </w:instrText>
      </w:r>
      <w:r>
        <w:fldChar w:fldCharType="separate"/>
      </w:r>
      <w:r>
        <w:t>FNSFLT204A Develop understanding of superannuation</w:t>
      </w:r>
      <w:r>
        <w:fldChar w:fldCharType="end"/>
      </w:r>
    </w:p>
    <w:p w:rsidR="0039061F" w:rsidP="0039061F">
      <w:pPr>
        <w:pStyle w:val="Version"/>
        <w:sectPr w:rsidSect="00A82F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82F33" w:rsidP="00A82F33">
      <w:pPr>
        <w:pStyle w:val="SuperHeading"/>
      </w:pPr>
      <w:r w:rsidRPr="00A82F33">
        <w:t>FNSFLT204A Develop understanding of superannuation</w:t>
      </w:r>
    </w:p>
    <w:p w:rsidR="00000000" w:rsidRPr="00A82F33" w:rsidP="00A82F33">
      <w:pPr>
        <w:pStyle w:val="SuperHeading"/>
      </w:pPr>
    </w:p>
    <w:p w:rsidR="00000000" w:rsidRPr="00A82F33" w:rsidP="00A82F33">
      <w:pPr>
        <w:pStyle w:val="Heading1"/>
      </w:pPr>
      <w:bookmarkStart w:id="1" w:name="O_78147"/>
      <w:bookmarkEnd w:id="1"/>
      <w:r w:rsidRPr="00A82F33">
        <w:t>Modification History</w:t>
      </w:r>
    </w:p>
    <w:p w:rsidR="00000000" w:rsidRPr="00A82F33" w:rsidP="00A82F33">
      <w:pPr>
        <w:pStyle w:val="BodyText"/>
      </w:pPr>
      <w:r w:rsidRPr="00A82F33">
        <w:t>Not applicable.</w:t>
      </w:r>
    </w:p>
    <w:p w:rsidR="00000000" w:rsidRPr="00A82F33" w:rsidP="00A82F33">
      <w:pPr>
        <w:pStyle w:val="AllowPageBreak"/>
      </w:pPr>
    </w:p>
    <w:p w:rsidR="00000000" w:rsidRPr="00A82F33" w:rsidP="00A82F33">
      <w:pPr>
        <w:pStyle w:val="Heading1"/>
      </w:pPr>
      <w:bookmarkStart w:id="2" w:name="O_78148"/>
      <w:bookmarkEnd w:id="2"/>
      <w:r w:rsidRPr="00A82F33">
        <w:t>Unit Descriptor</w:t>
      </w:r>
    </w:p>
    <w:tbl>
      <w:tblPr>
        <w:tblW w:w="0" w:type="auto"/>
        <w:tblLayout w:type="fixed"/>
        <w:tblCellMar>
          <w:left w:w="62" w:type="dxa"/>
          <w:right w:w="62" w:type="dxa"/>
        </w:tblCellMar>
        <w:tblLook w:val="0000"/>
      </w:tblPr>
      <w:tblGrid>
        <w:gridCol w:w="2641"/>
        <w:gridCol w:w="5881"/>
      </w:tblGrid>
      <w:tr w:rsidTr="0039061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F33">
            <w:pPr>
              <w:pStyle w:val="BodyText"/>
              <w:rPr>
                <w:lang w:val="en-NZ"/>
              </w:rPr>
            </w:pPr>
            <w:r w:rsidRPr="00A82F33">
              <w:rPr>
                <w:rStyle w:val="SpecialBold"/>
              </w:rPr>
              <w:t>Unit descriptor</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F33" w:rsidP="00A82F33">
            <w:pPr>
              <w:pStyle w:val="BodyText"/>
            </w:pPr>
            <w:r w:rsidRPr="00A82F33">
              <w:t xml:space="preserve">This unit describes the performance outcomes, skills and knowledge required to understand the role of </w:t>
            </w:r>
            <w:r w:rsidRPr="00A82F33">
              <w:t>superannuation and other longer-term investment devices and to make effective and informed decisions about the related products.</w:t>
            </w:r>
          </w:p>
          <w:p w:rsidR="00000000" w:rsidRPr="00A82F33" w:rsidP="00A82F33">
            <w:pPr>
              <w:pStyle w:val="BodyText"/>
            </w:pPr>
          </w:p>
          <w:p w:rsidR="00000000" w:rsidRPr="00A82F33" w:rsidP="00A82F33">
            <w:pPr>
              <w:pStyle w:val="BodyText"/>
            </w:pPr>
            <w:r w:rsidRPr="00A82F33">
              <w:t>No licensing, legislative, regulatory or certification requirements apply to this unit at the time of endorsement.</w:t>
            </w:r>
          </w:p>
        </w:tc>
      </w:tr>
    </w:tbl>
    <w:p w:rsidR="00000000" w:rsidRPr="00A82F33" w:rsidP="00A82F33">
      <w:pPr>
        <w:pStyle w:val="BodyText"/>
      </w:pPr>
    </w:p>
    <w:p w:rsidR="00000000" w:rsidRPr="00A82F33" w:rsidP="00A82F33">
      <w:pPr>
        <w:pStyle w:val="AllowPageBreak"/>
      </w:pPr>
    </w:p>
    <w:p w:rsidR="00000000" w:rsidRPr="00A82F33" w:rsidP="00A82F33">
      <w:pPr>
        <w:pStyle w:val="Heading1"/>
      </w:pPr>
      <w:bookmarkStart w:id="3" w:name="O_78149"/>
      <w:bookmarkEnd w:id="3"/>
      <w:r w:rsidRPr="00A82F33">
        <w:t>Application of the Unit</w:t>
      </w:r>
    </w:p>
    <w:tbl>
      <w:tblPr>
        <w:tblW w:w="0" w:type="auto"/>
        <w:tblLayout w:type="fixed"/>
        <w:tblCellMar>
          <w:left w:w="62" w:type="dxa"/>
          <w:right w:w="62" w:type="dxa"/>
        </w:tblCellMar>
        <w:tblLook w:val="0000"/>
      </w:tblPr>
      <w:tblGrid>
        <w:gridCol w:w="2719"/>
        <w:gridCol w:w="5803"/>
      </w:tblGrid>
      <w:tr w:rsidTr="0039061F">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F33">
            <w:pPr>
              <w:pStyle w:val="BodyText"/>
              <w:rPr>
                <w:lang w:val="en-NZ"/>
              </w:rPr>
            </w:pPr>
            <w:r w:rsidRPr="00A82F33">
              <w:rPr>
                <w:rStyle w:val="SpecialBold"/>
              </w:rPr>
              <w:t>Application of the unit</w:t>
            </w:r>
          </w:p>
        </w:tc>
        <w:tc>
          <w:tcPr>
            <w:tcW w:w="5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F33" w:rsidP="00A82F33">
            <w:pPr>
              <w:pStyle w:val="BodyText"/>
            </w:pPr>
            <w:r w:rsidRPr="00A82F33">
              <w:t>This unit has wide application and may be used in workplaces, schools, adult and community learning organisations or Registered Training Organisations (RTOs) in order to build the financial literacy of</w:t>
            </w:r>
            <w:r w:rsidRPr="00A82F33">
              <w:t xml:space="preserve"> learners. The unit may also be used as part of pre-vocational or new apprenticeship programs or as part of services provided by counselling or advisory organisations.</w:t>
            </w:r>
          </w:p>
        </w:tc>
      </w:tr>
    </w:tbl>
    <w:p w:rsidR="00000000" w:rsidRPr="00A82F33" w:rsidP="00A82F33">
      <w:pPr>
        <w:pStyle w:val="BodyText"/>
      </w:pPr>
    </w:p>
    <w:p w:rsidR="00000000" w:rsidRPr="00A82F33" w:rsidP="00A82F33">
      <w:pPr>
        <w:pStyle w:val="AllowPageBreak"/>
      </w:pPr>
    </w:p>
    <w:p w:rsidR="00000000" w:rsidRPr="00A82F33" w:rsidP="00A82F33">
      <w:pPr>
        <w:pStyle w:val="Heading1"/>
      </w:pPr>
      <w:bookmarkStart w:id="4" w:name="O_78150"/>
      <w:bookmarkEnd w:id="4"/>
      <w:r w:rsidRPr="00A82F33">
        <w:t>Licensing/Regulatory Information</w:t>
      </w:r>
    </w:p>
    <w:p w:rsidR="00000000" w:rsidRPr="00A82F33" w:rsidP="00A82F33">
      <w:pPr>
        <w:pStyle w:val="BodyText"/>
      </w:pPr>
      <w:r w:rsidRPr="00A82F33">
        <w:t>Not applicable.</w:t>
      </w:r>
    </w:p>
    <w:p w:rsidR="00000000" w:rsidRPr="00A82F33" w:rsidP="00A82F33">
      <w:pPr>
        <w:pStyle w:val="AllowPageBreak"/>
      </w:pPr>
    </w:p>
    <w:p w:rsidR="00000000" w:rsidRPr="00A82F33" w:rsidP="00A82F33">
      <w:pPr>
        <w:pStyle w:val="Heading1"/>
      </w:pPr>
      <w:bookmarkStart w:id="5" w:name="O_78152"/>
      <w:bookmarkEnd w:id="5"/>
      <w:r w:rsidRPr="00A82F33">
        <w:t>Pre-Requisites</w:t>
      </w:r>
    </w:p>
    <w:tbl>
      <w:tblPr>
        <w:tblW w:w="0" w:type="auto"/>
        <w:tblLayout w:type="fixed"/>
        <w:tblCellMar>
          <w:left w:w="62" w:type="dxa"/>
          <w:right w:w="62" w:type="dxa"/>
        </w:tblCellMar>
        <w:tblLook w:val="0000"/>
      </w:tblPr>
      <w:tblGrid>
        <w:gridCol w:w="2745"/>
        <w:gridCol w:w="1301"/>
        <w:gridCol w:w="4476"/>
      </w:tblGrid>
      <w:tr w:rsidTr="0039061F">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F33">
            <w:pPr>
              <w:pStyle w:val="BodyText"/>
              <w:rPr>
                <w:lang w:val="en-NZ"/>
              </w:rPr>
            </w:pPr>
            <w:r w:rsidRPr="00A82F33">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F33">
            <w:pPr>
              <w:pStyle w:val="BodyText"/>
              <w:rPr>
                <w:lang w:val="en-NZ"/>
              </w:rPr>
            </w:pPr>
          </w:p>
        </w:tc>
      </w:tr>
      <w:tr w:rsidTr="0039061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F33">
            <w:pPr>
              <w:pStyle w:val="BodyText"/>
              <w:rPr>
                <w:lang w:val="en-NZ"/>
              </w:rPr>
            </w:pPr>
          </w:p>
        </w:tc>
      </w:tr>
      <w:tr w:rsidTr="0039061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F33" w:rsidP="00A82F33">
            <w:pPr>
              <w:pStyle w:val="BodyText"/>
            </w:pPr>
          </w:p>
        </w:tc>
      </w:tr>
    </w:tbl>
    <w:p w:rsidR="00000000" w:rsidRPr="00A82F33" w:rsidP="00A82F33">
      <w:pPr>
        <w:pStyle w:val="BodyText"/>
      </w:pPr>
    </w:p>
    <w:p w:rsidR="00000000" w:rsidRPr="00A82F33" w:rsidP="00A82F33">
      <w:pPr>
        <w:pStyle w:val="AllowPageBreak"/>
      </w:pPr>
    </w:p>
    <w:p w:rsidR="00000000" w:rsidRPr="00A82F33" w:rsidP="00A82F33">
      <w:pPr>
        <w:pStyle w:val="Heading1"/>
      </w:pPr>
      <w:bookmarkStart w:id="6" w:name="O_78151"/>
      <w:bookmarkEnd w:id="6"/>
      <w:r w:rsidRPr="00A82F33">
        <w:t>Employability Skills Information</w:t>
      </w:r>
    </w:p>
    <w:tbl>
      <w:tblPr>
        <w:tblW w:w="0" w:type="auto"/>
        <w:tblLayout w:type="fixed"/>
        <w:tblCellMar>
          <w:left w:w="62" w:type="dxa"/>
          <w:right w:w="62" w:type="dxa"/>
        </w:tblCellMar>
        <w:tblLook w:val="0000"/>
      </w:tblPr>
      <w:tblGrid>
        <w:gridCol w:w="2762"/>
        <w:gridCol w:w="5760"/>
      </w:tblGrid>
      <w:tr w:rsidTr="0039061F">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F33">
            <w:pPr>
              <w:pStyle w:val="BodyText"/>
              <w:rPr>
                <w:lang w:val="en-NZ"/>
              </w:rPr>
            </w:pPr>
            <w:r w:rsidRPr="00A82F33">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F33" w:rsidP="00A82F33">
            <w:pPr>
              <w:pStyle w:val="BodyText"/>
            </w:pPr>
            <w:r w:rsidRPr="00A82F33">
              <w:t>This unit contains employability skills.</w:t>
            </w:r>
          </w:p>
        </w:tc>
      </w:tr>
    </w:tbl>
    <w:p w:rsidR="00000000" w:rsidRPr="00A82F33" w:rsidP="00A82F33">
      <w:pPr>
        <w:pStyle w:val="BodyText"/>
      </w:pPr>
    </w:p>
    <w:p w:rsidR="00000000" w:rsidRPr="00A82F33" w:rsidP="00A82F33">
      <w:pPr>
        <w:pStyle w:val="AllowPageBreak"/>
      </w:pPr>
    </w:p>
    <w:p w:rsidR="00000000" w:rsidRPr="00A82F33" w:rsidP="00A82F33">
      <w:pPr>
        <w:pStyle w:val="Heading1"/>
      </w:pPr>
      <w:bookmarkStart w:id="7" w:name="O_78153"/>
      <w:bookmarkEnd w:id="7"/>
      <w:r w:rsidRPr="00A82F33">
        <w:t>Elements and Performance Criteria Pre-Content</w:t>
      </w:r>
    </w:p>
    <w:tbl>
      <w:tblPr>
        <w:tblW w:w="0" w:type="auto"/>
        <w:tblLayout w:type="fixed"/>
        <w:tblCellMar>
          <w:left w:w="62" w:type="dxa"/>
          <w:right w:w="62" w:type="dxa"/>
        </w:tblCellMar>
        <w:tblLook w:val="0000"/>
      </w:tblPr>
      <w:tblGrid>
        <w:gridCol w:w="2593"/>
        <w:gridCol w:w="5929"/>
      </w:tblGrid>
      <w:tr w:rsidTr="0039061F">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F33">
            <w:pPr>
              <w:pStyle w:val="BodyText"/>
              <w:rPr>
                <w:lang w:val="en-NZ"/>
              </w:rPr>
            </w:pPr>
            <w:r w:rsidRPr="00A82F33">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F33" w:rsidP="00A82F33">
            <w:pPr>
              <w:pStyle w:val="BodyText"/>
            </w:pPr>
            <w:r w:rsidRPr="00A82F33">
              <w:t>Performance criteria describe the performance needed to demonstrate achievement of the element. Where bold italicised text is used, further information is detailed in the required skills and</w:t>
            </w:r>
            <w:r w:rsidRPr="00A82F33">
              <w:t xml:space="preserve"> knowledge section and the range statement. Assessment of performance is to be consistent with the evidence guide.</w:t>
            </w:r>
          </w:p>
        </w:tc>
      </w:tr>
    </w:tbl>
    <w:p w:rsidR="00000000" w:rsidRPr="00A82F33" w:rsidP="00A82F33">
      <w:pPr>
        <w:pStyle w:val="BodyText"/>
      </w:pPr>
    </w:p>
    <w:p w:rsidR="00000000" w:rsidRPr="00A82F33" w:rsidP="00A82F33">
      <w:pPr>
        <w:pStyle w:val="AllowPageBreak"/>
      </w:pPr>
    </w:p>
    <w:p w:rsidR="00000000" w:rsidRPr="00A82F33" w:rsidP="00A82F33">
      <w:pPr>
        <w:pStyle w:val="Heading1"/>
      </w:pPr>
      <w:bookmarkStart w:id="8" w:name="O_78154"/>
      <w:bookmarkEnd w:id="8"/>
      <w:r w:rsidRPr="00A82F33">
        <w:t>Elements and Performance Criteria</w:t>
      </w:r>
    </w:p>
    <w:tbl>
      <w:tblPr>
        <w:tblW w:w="0" w:type="auto"/>
        <w:tblLayout w:type="fixed"/>
        <w:tblCellMar>
          <w:left w:w="62" w:type="dxa"/>
          <w:right w:w="62" w:type="dxa"/>
        </w:tblCellMar>
        <w:tblLook w:val="0000"/>
      </w:tblPr>
      <w:tblGrid>
        <w:gridCol w:w="2593"/>
        <w:gridCol w:w="5929"/>
      </w:tblGrid>
      <w:tr w:rsidTr="0039061F">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F33" w:rsidP="00A82F33">
            <w:pPr>
              <w:pStyle w:val="BodyText"/>
            </w:pPr>
            <w:r w:rsidRPr="00A82F33">
              <w:rPr>
                <w:rStyle w:val="SpecialBold"/>
              </w:rPr>
              <w:t>ELEMENT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F33">
            <w:pPr>
              <w:pStyle w:val="BodyText"/>
              <w:rPr>
                <w:lang w:val="en-NZ"/>
              </w:rPr>
            </w:pPr>
            <w:r w:rsidRPr="00A82F33">
              <w:rPr>
                <w:rStyle w:val="SpecialBold"/>
              </w:rPr>
              <w:t>PERFORMANCE CRITERIA</w:t>
            </w:r>
          </w:p>
        </w:tc>
      </w:tr>
      <w:tr w:rsidTr="0039061F">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F33">
            <w:pPr>
              <w:pStyle w:val="List"/>
              <w:rPr>
                <w:lang w:val="en-NZ"/>
              </w:rPr>
            </w:pPr>
            <w:r w:rsidRPr="00A82F33">
              <w:t>1.</w:t>
            </w:r>
            <w:r w:rsidRPr="00A82F33">
              <w:tab/>
              <w:t>Identify and discuss the r</w:t>
            </w:r>
            <w:r w:rsidRPr="00A82F33">
              <w:t>ole of long term versus short term investments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F33" w:rsidP="00A82F33">
            <w:pPr>
              <w:pStyle w:val="List2"/>
            </w:pPr>
            <w:r w:rsidRPr="00A82F33">
              <w:t>1.1.</w:t>
            </w:r>
            <w:r w:rsidRPr="00A82F33">
              <w:tab/>
              <w:t xml:space="preserve">The role of savings and investments at different points of people's </w:t>
            </w:r>
            <w:r w:rsidRPr="00A82F33">
              <w:rPr>
                <w:rStyle w:val="BoldandItalics"/>
              </w:rPr>
              <w:t>life cycle</w:t>
            </w:r>
            <w:r w:rsidRPr="00A82F33">
              <w:t xml:space="preserve"> are explored and discussed</w:t>
            </w:r>
          </w:p>
          <w:p w:rsidR="00000000" w:rsidRPr="00A82F33" w:rsidP="00A82F33">
            <w:pPr>
              <w:pStyle w:val="List2"/>
            </w:pPr>
            <w:r w:rsidRPr="00A82F33">
              <w:t>1.2.</w:t>
            </w:r>
            <w:r w:rsidRPr="00A82F33">
              <w:tab/>
              <w:t>The savings and investment patterns of Australia, population growth, ageing and other countri</w:t>
            </w:r>
            <w:r w:rsidRPr="00A82F33">
              <w:t>es, are analysed, compared and discussed</w:t>
            </w:r>
          </w:p>
          <w:p w:rsidR="00000000" w:rsidP="00A82F33">
            <w:pPr>
              <w:pStyle w:val="List2"/>
              <w:rPr>
                <w:lang w:val="en-NZ"/>
              </w:rPr>
            </w:pPr>
            <w:r w:rsidRPr="00A82F33">
              <w:t>1.3.</w:t>
            </w:r>
            <w:r w:rsidRPr="00A82F33">
              <w:tab/>
              <w:t xml:space="preserve">The purpose and characteristics of a </w:t>
            </w:r>
            <w:r w:rsidRPr="00A82F33">
              <w:rPr>
                <w:rStyle w:val="BoldandItalics"/>
              </w:rPr>
              <w:t>range of savings and investment vehicles</w:t>
            </w:r>
            <w:r w:rsidRPr="00A82F33">
              <w:t xml:space="preserve"> used for short and long term savings and investment are analysed, compared and discussed</w:t>
            </w:r>
          </w:p>
        </w:tc>
      </w:tr>
      <w:tr w:rsidTr="0039061F">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F33">
            <w:pPr>
              <w:pStyle w:val="List"/>
              <w:rPr>
                <w:lang w:val="en-NZ"/>
              </w:rPr>
            </w:pPr>
            <w:r w:rsidRPr="00A82F33">
              <w:t>2.</w:t>
            </w:r>
            <w:r w:rsidRPr="00A82F33">
              <w:tab/>
              <w:t>Identify and discuss the contemporary s</w:t>
            </w:r>
            <w:r w:rsidRPr="00A82F33">
              <w:t>uperannuation environment in Australia</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F33" w:rsidP="00A82F33">
            <w:pPr>
              <w:pStyle w:val="List2"/>
            </w:pPr>
            <w:r w:rsidRPr="00A82F33">
              <w:t>2.1.</w:t>
            </w:r>
            <w:r w:rsidRPr="00A82F33">
              <w:tab/>
              <w:t>The purposes and benefits of superannuation as part of a long term investment strategy to support people in retirement are identified, analysed and discussed</w:t>
            </w:r>
          </w:p>
          <w:p w:rsidR="00000000" w:rsidRPr="00A82F33" w:rsidP="00A82F33">
            <w:pPr>
              <w:pStyle w:val="List2"/>
            </w:pPr>
            <w:r w:rsidRPr="00A82F33">
              <w:t>2.2.</w:t>
            </w:r>
            <w:r w:rsidRPr="00A82F33">
              <w:tab/>
              <w:t>Basic terminology used for clients of the superan</w:t>
            </w:r>
            <w:r w:rsidRPr="00A82F33">
              <w:t xml:space="preserve">nuation industry and the </w:t>
            </w:r>
            <w:r w:rsidRPr="00A82F33">
              <w:rPr>
                <w:rStyle w:val="BoldandItalics"/>
              </w:rPr>
              <w:t>characteristics</w:t>
            </w:r>
            <w:r w:rsidRPr="00A82F33">
              <w:t xml:space="preserve"> of superannuation in Australia are analysed and discussed</w:t>
            </w:r>
          </w:p>
          <w:p w:rsidR="00000000" w:rsidRPr="00A82F33" w:rsidP="00A82F33">
            <w:pPr>
              <w:pStyle w:val="List2"/>
            </w:pPr>
            <w:r w:rsidRPr="00A82F33">
              <w:t>2.3.</w:t>
            </w:r>
            <w:r w:rsidRPr="00A82F33">
              <w:tab/>
              <w:t xml:space="preserve">The role of </w:t>
            </w:r>
            <w:r w:rsidRPr="00A82F33">
              <w:rPr>
                <w:rStyle w:val="BoldandItalics"/>
              </w:rPr>
              <w:t>regulators</w:t>
            </w:r>
            <w:r w:rsidRPr="00A82F33">
              <w:t xml:space="preserve"> and trustees in the management of the Australian superannuation industry are identified and discussed</w:t>
            </w:r>
          </w:p>
          <w:p w:rsidR="00000000" w:rsidP="00A82F33">
            <w:pPr>
              <w:pStyle w:val="List2"/>
              <w:rPr>
                <w:lang w:val="en-NZ"/>
              </w:rPr>
            </w:pPr>
            <w:r w:rsidRPr="00A82F33">
              <w:t>2.4.</w:t>
            </w:r>
            <w:r w:rsidRPr="00A82F33">
              <w:tab/>
              <w:t>Sources for ongoing in</w:t>
            </w:r>
            <w:r w:rsidRPr="00A82F33">
              <w:t>formation about superannuation in Australia are identified, accessed and their uses discussed</w:t>
            </w:r>
          </w:p>
        </w:tc>
      </w:tr>
      <w:tr w:rsidTr="0039061F">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F33">
            <w:pPr>
              <w:pStyle w:val="List"/>
              <w:rPr>
                <w:lang w:val="en-NZ"/>
              </w:rPr>
            </w:pPr>
            <w:r w:rsidRPr="00A82F33">
              <w:t>3.</w:t>
            </w:r>
            <w:r w:rsidRPr="00A82F33">
              <w:tab/>
              <w:t>Analyse the characteristics and structures of superannuation funds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F33" w:rsidP="00A82F33">
            <w:pPr>
              <w:pStyle w:val="List2"/>
            </w:pPr>
            <w:r w:rsidRPr="00A82F33">
              <w:t>3.1.</w:t>
            </w:r>
            <w:r w:rsidRPr="00A82F33">
              <w:tab/>
              <w:t xml:space="preserve">Types of </w:t>
            </w:r>
            <w:r w:rsidRPr="00A82F33">
              <w:rPr>
                <w:rStyle w:val="BoldandItalics"/>
              </w:rPr>
              <w:t>superannuation schemes</w:t>
            </w:r>
            <w:r w:rsidRPr="00A82F33">
              <w:t xml:space="preserve"> and </w:t>
            </w:r>
            <w:r w:rsidRPr="00A82F33">
              <w:rPr>
                <w:rStyle w:val="BoldandItalics"/>
              </w:rPr>
              <w:t>fund managers</w:t>
            </w:r>
            <w:r w:rsidRPr="00A82F33">
              <w:t xml:space="preserve"> are identified and compared</w:t>
            </w:r>
          </w:p>
          <w:p w:rsidR="00000000" w:rsidRPr="00A82F33" w:rsidP="00A82F33">
            <w:pPr>
              <w:pStyle w:val="List2"/>
            </w:pPr>
            <w:r w:rsidRPr="00A82F33">
              <w:t>3.2.</w:t>
            </w:r>
            <w:r w:rsidRPr="00A82F33">
              <w:tab/>
              <w:t>Com</w:t>
            </w:r>
            <w:r w:rsidRPr="00A82F33">
              <w:t xml:space="preserve">mon investment objectives and the role of death benefits within superannuation schemes and their related </w:t>
            </w:r>
            <w:r w:rsidRPr="00A82F33">
              <w:rPr>
                <w:rStyle w:val="BoldandItalics"/>
              </w:rPr>
              <w:t>strategies</w:t>
            </w:r>
            <w:r w:rsidRPr="00A82F33">
              <w:t xml:space="preserve"> are identified and discussed</w:t>
            </w:r>
          </w:p>
          <w:p w:rsidR="00000000" w:rsidRPr="00A82F33" w:rsidP="00A82F33">
            <w:pPr>
              <w:pStyle w:val="List2"/>
            </w:pPr>
            <w:r w:rsidRPr="00A82F33">
              <w:t>3.3.</w:t>
            </w:r>
            <w:r w:rsidRPr="00A82F33">
              <w:tab/>
            </w:r>
            <w:r w:rsidRPr="00A82F33">
              <w:t>The role and nature of preserved and non-preserved components of superannuation funds are identified and discussed</w:t>
            </w:r>
          </w:p>
          <w:p w:rsidR="00000000" w:rsidRPr="00A82F33" w:rsidP="00A82F33">
            <w:pPr>
              <w:pStyle w:val="List2"/>
            </w:pPr>
            <w:r w:rsidRPr="00A82F33">
              <w:t>3.4.</w:t>
            </w:r>
            <w:r w:rsidRPr="00A82F33">
              <w:tab/>
              <w:t>The common costs of administering and managing superannuation funds are identified and discussed</w:t>
            </w:r>
          </w:p>
          <w:p w:rsidR="00000000" w:rsidP="00A82F33">
            <w:pPr>
              <w:pStyle w:val="List2"/>
              <w:rPr>
                <w:lang w:val="en-NZ"/>
              </w:rPr>
            </w:pPr>
            <w:r w:rsidRPr="00A82F33">
              <w:t>3.5.</w:t>
            </w:r>
            <w:r w:rsidRPr="00A82F33">
              <w:tab/>
              <w:t xml:space="preserve">A cross-section of superannuation </w:t>
            </w:r>
            <w:r w:rsidRPr="00A82F33">
              <w:t>funds' performance over time is analysed, compared and the variables that contributed to performance are analysed and discussed</w:t>
            </w:r>
          </w:p>
        </w:tc>
      </w:tr>
      <w:tr w:rsidTr="0039061F">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F33">
            <w:pPr>
              <w:pStyle w:val="List"/>
              <w:rPr>
                <w:lang w:val="en-NZ"/>
              </w:rPr>
            </w:pPr>
            <w:r w:rsidRPr="00A82F33">
              <w:t>4.</w:t>
            </w:r>
            <w:r w:rsidRPr="00A82F33">
              <w:tab/>
              <w:t>Foster the active management of superannuation funds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F33" w:rsidP="00A82F33">
            <w:pPr>
              <w:pStyle w:val="List2"/>
            </w:pPr>
            <w:r w:rsidRPr="00A82F33">
              <w:t>4.1.</w:t>
            </w:r>
            <w:r w:rsidRPr="00A82F33">
              <w:tab/>
              <w:t xml:space="preserve">The importance and means of </w:t>
            </w:r>
            <w:r w:rsidRPr="00A82F33">
              <w:rPr>
                <w:rStyle w:val="BoldandItalics"/>
              </w:rPr>
              <w:t>checking superannuation Statements</w:t>
            </w:r>
            <w:r w:rsidRPr="00A82F33">
              <w:t xml:space="preserve"> for</w:t>
            </w:r>
            <w:r w:rsidRPr="00A82F33">
              <w:t xml:space="preserve"> accuracy are identified and discussed </w:t>
            </w:r>
          </w:p>
          <w:p w:rsidR="00000000" w:rsidRPr="00A82F33" w:rsidP="00A82F33">
            <w:pPr>
              <w:pStyle w:val="List2"/>
            </w:pPr>
            <w:r w:rsidRPr="00A82F33">
              <w:t>4.2.</w:t>
            </w:r>
            <w:r w:rsidRPr="00A82F33">
              <w:tab/>
              <w:t xml:space="preserve">Techniques for analysing the performance, rate of </w:t>
            </w:r>
            <w:r w:rsidRPr="00A82F33">
              <w:t>return, government taxes and other costs are identified, practised and discussed</w:t>
            </w:r>
          </w:p>
          <w:p w:rsidR="00000000" w:rsidRPr="00A82F33" w:rsidP="00A82F33">
            <w:pPr>
              <w:pStyle w:val="List2"/>
            </w:pPr>
            <w:r w:rsidRPr="00A82F33">
              <w:t>4.3.</w:t>
            </w:r>
            <w:r w:rsidRPr="00A82F33">
              <w:tab/>
              <w:t>The government regulated minimum age when superannuation benefits can be ac</w:t>
            </w:r>
            <w:r w:rsidRPr="00A82F33">
              <w:t>cessed, and the regulation's impact, are identified and discussed</w:t>
            </w:r>
          </w:p>
          <w:p w:rsidR="00000000" w:rsidRPr="00A82F33" w:rsidP="00A82F33">
            <w:pPr>
              <w:pStyle w:val="List2"/>
            </w:pPr>
            <w:r w:rsidRPr="00A82F33">
              <w:t>4.4.</w:t>
            </w:r>
            <w:r w:rsidRPr="00A82F33">
              <w:tab/>
              <w:t xml:space="preserve">The range of structures and techniques for the </w:t>
            </w:r>
            <w:r w:rsidRPr="00A82F33">
              <w:rPr>
                <w:rStyle w:val="BoldandItalics"/>
              </w:rPr>
              <w:t>utilisation of superannuation funds</w:t>
            </w:r>
            <w:r w:rsidRPr="00A82F33">
              <w:t xml:space="preserve"> on retirement are identified, analysed and discussed</w:t>
            </w:r>
          </w:p>
          <w:p w:rsidR="00000000" w:rsidRPr="00A82F33" w:rsidP="00A82F33">
            <w:pPr>
              <w:pStyle w:val="List2"/>
            </w:pPr>
            <w:r w:rsidRPr="00A82F33">
              <w:t>4.5.</w:t>
            </w:r>
            <w:r w:rsidRPr="00A82F33">
              <w:tab/>
              <w:t>Mechanisms to gain information about a super</w:t>
            </w:r>
            <w:r w:rsidRPr="00A82F33">
              <w:t xml:space="preserve">annuation fund, track </w:t>
            </w:r>
            <w:r w:rsidRPr="00A82F33">
              <w:rPr>
                <w:rStyle w:val="BoldandItalics"/>
              </w:rPr>
              <w:t>lost superannuation contributions</w:t>
            </w:r>
            <w:r w:rsidRPr="00A82F33">
              <w:t xml:space="preserve"> or to lodge complaints if concerns or discrepancies arise about an individual's superannuation fund are identified and discussed</w:t>
            </w:r>
          </w:p>
          <w:p w:rsidR="00000000" w:rsidRPr="00A82F33" w:rsidP="00A82F33">
            <w:pPr>
              <w:pStyle w:val="List2"/>
            </w:pPr>
            <w:r w:rsidRPr="00A82F33">
              <w:t>4.6.</w:t>
            </w:r>
            <w:r w:rsidRPr="00A82F33">
              <w:tab/>
            </w:r>
            <w:r w:rsidRPr="00A82F33">
              <w:rPr>
                <w:rStyle w:val="BoldandItalics"/>
              </w:rPr>
              <w:t>Questions on superannuation issues</w:t>
            </w:r>
            <w:r w:rsidRPr="00A82F33">
              <w:t xml:space="preserve"> that may be put to employers an</w:t>
            </w:r>
            <w:r w:rsidRPr="00A82F33">
              <w:t>d fund providers are developed</w:t>
            </w:r>
          </w:p>
        </w:tc>
      </w:tr>
    </w:tbl>
    <w:p w:rsidR="00000000" w:rsidRPr="00A82F33" w:rsidP="00A82F33">
      <w:pPr>
        <w:pStyle w:val="BodyText"/>
      </w:pPr>
    </w:p>
    <w:p w:rsidR="00000000" w:rsidRPr="00A82F33" w:rsidP="00A82F33">
      <w:pPr>
        <w:pStyle w:val="AllowPageBreak"/>
      </w:pPr>
    </w:p>
    <w:p w:rsidR="00000000" w:rsidRPr="00A82F33" w:rsidP="00A82F33">
      <w:pPr>
        <w:pStyle w:val="Heading1"/>
      </w:pPr>
      <w:bookmarkStart w:id="9" w:name="O_78155"/>
      <w:bookmarkEnd w:id="9"/>
      <w:r w:rsidRPr="00A82F33">
        <w:t>Required Skills and Knowledge</w:t>
      </w:r>
    </w:p>
    <w:tbl>
      <w:tblPr>
        <w:tblW w:w="0" w:type="auto"/>
        <w:tblLayout w:type="fixed"/>
        <w:tblCellMar>
          <w:left w:w="62" w:type="dxa"/>
          <w:right w:w="62" w:type="dxa"/>
        </w:tblCellMar>
        <w:tblLook w:val="0000"/>
      </w:tblPr>
      <w:tblGrid>
        <w:gridCol w:w="8522"/>
      </w:tblGrid>
      <w:tr w:rsidTr="0039061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82F33">
            <w:pPr>
              <w:pStyle w:val="BodyText"/>
              <w:rPr>
                <w:lang w:val="en-NZ"/>
              </w:rPr>
            </w:pPr>
            <w:r w:rsidRPr="00A82F33">
              <w:rPr>
                <w:rStyle w:val="SpecialBold"/>
              </w:rPr>
              <w:t>REQUIRED SKILLS AND KNOWLEDGE</w:t>
            </w:r>
          </w:p>
        </w:tc>
      </w:tr>
      <w:tr w:rsidTr="0039061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82F33">
            <w:pPr>
              <w:pStyle w:val="BodyText"/>
              <w:rPr>
                <w:lang w:val="en-NZ"/>
              </w:rPr>
            </w:pPr>
            <w:r w:rsidRPr="00A82F33">
              <w:t>This section describes the skills and knowledge required for this unit.</w:t>
            </w:r>
          </w:p>
        </w:tc>
      </w:tr>
      <w:tr w:rsidTr="003906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F33">
            <w:pPr>
              <w:pStyle w:val="BodyText"/>
              <w:rPr>
                <w:lang w:val="en-NZ"/>
              </w:rPr>
            </w:pPr>
            <w:r w:rsidRPr="00A82F33">
              <w:rPr>
                <w:rStyle w:val="SpecialBold"/>
              </w:rPr>
              <w:t>Required skills</w:t>
            </w:r>
          </w:p>
        </w:tc>
      </w:tr>
      <w:tr w:rsidTr="003906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F33" w:rsidP="00A82F33">
            <w:pPr>
              <w:pStyle w:val="ListBullet"/>
            </w:pPr>
            <w:r w:rsidRPr="00A82F33">
              <w:t>communication skills to:</w:t>
            </w:r>
          </w:p>
          <w:p w:rsidR="00000000" w:rsidRPr="00A82F33" w:rsidP="00A82F33">
            <w:pPr>
              <w:pStyle w:val="ListBullet2"/>
            </w:pPr>
            <w:r w:rsidRPr="00A82F33">
              <w:t>clearly explain superannuation characteristics and benefits</w:t>
            </w:r>
          </w:p>
          <w:p w:rsidR="00000000" w:rsidRPr="00A82F33" w:rsidP="00A82F33">
            <w:pPr>
              <w:pStyle w:val="ListBullet2"/>
            </w:pPr>
            <w:r w:rsidRPr="00A82F33">
              <w:t>use questioning to develop clear understanding</w:t>
            </w:r>
          </w:p>
          <w:p w:rsidR="00000000" w:rsidRPr="00A82F33" w:rsidP="00A82F33">
            <w:pPr>
              <w:pStyle w:val="ListBullet2"/>
            </w:pPr>
            <w:r w:rsidRPr="00A82F33">
              <w:t>liaise with others, share information, listen and understand</w:t>
            </w:r>
          </w:p>
          <w:p w:rsidR="00000000" w:rsidRPr="00A82F33" w:rsidP="00A82F33">
            <w:pPr>
              <w:pStyle w:val="ListBullet2"/>
            </w:pPr>
            <w:r w:rsidRPr="00A82F33">
              <w:t>use language and concepts appropriate to cultural differences</w:t>
            </w:r>
          </w:p>
          <w:p w:rsidR="00000000" w:rsidRPr="00A82F33" w:rsidP="00A82F33">
            <w:pPr>
              <w:pStyle w:val="ListBullet"/>
            </w:pPr>
            <w:r w:rsidRPr="00A82F33">
              <w:t>numeracy and IT skills to</w:t>
            </w:r>
            <w:r w:rsidRPr="00A82F33">
              <w:t>:</w:t>
            </w:r>
          </w:p>
          <w:p w:rsidR="00000000" w:rsidRPr="00A82F33" w:rsidP="00A82F33">
            <w:pPr>
              <w:pStyle w:val="ListBullet2"/>
            </w:pPr>
            <w:r w:rsidRPr="00A82F33">
              <w:t>calculate superannuation costs, payments and accumulations over time</w:t>
            </w:r>
          </w:p>
          <w:p w:rsidR="00000000" w:rsidRPr="00A82F33" w:rsidP="00A82F33">
            <w:pPr>
              <w:pStyle w:val="ListBullet2"/>
            </w:pPr>
            <w:r w:rsidRPr="00A82F33">
              <w:t>use a calculator</w:t>
            </w:r>
          </w:p>
          <w:p w:rsidR="00000000" w:rsidRPr="00A82F33" w:rsidP="00A82F33">
            <w:pPr>
              <w:pStyle w:val="ListBullet2"/>
            </w:pPr>
            <w:r w:rsidRPr="00A82F33">
              <w:t>use internet information</w:t>
            </w:r>
          </w:p>
          <w:p w:rsidR="00000000" w:rsidRPr="00A82F33" w:rsidP="00A82F33">
            <w:pPr>
              <w:pStyle w:val="ListBullet"/>
            </w:pPr>
            <w:r w:rsidRPr="00A82F33">
              <w:t>literacy skills for interpreting relevant information</w:t>
            </w:r>
          </w:p>
          <w:p w:rsidR="00000000" w:rsidRPr="00A82F33" w:rsidP="00A82F33">
            <w:pPr>
              <w:pStyle w:val="ListBullet"/>
            </w:pPr>
            <w:r w:rsidRPr="00A82F33">
              <w:t>assessment and judgement skills to determine when to seek professional help</w:t>
            </w:r>
          </w:p>
          <w:p w:rsidR="00000000" w:rsidP="00A82F33">
            <w:pPr>
              <w:pStyle w:val="ListBullet"/>
              <w:rPr>
                <w:lang w:val="en-NZ"/>
              </w:rPr>
            </w:pPr>
            <w:r w:rsidRPr="00A82F33">
              <w:t>learning sk</w:t>
            </w:r>
            <w:r w:rsidRPr="00A82F33">
              <w:t>ills to maintain knowledge of superannuation and its management</w:t>
            </w:r>
          </w:p>
        </w:tc>
      </w:tr>
      <w:tr w:rsidTr="003906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F33">
            <w:pPr>
              <w:pStyle w:val="BodyText"/>
              <w:rPr>
                <w:lang w:val="en-NZ"/>
              </w:rPr>
            </w:pPr>
            <w:r w:rsidRPr="00A82F33">
              <w:rPr>
                <w:rStyle w:val="SpecialBold"/>
              </w:rPr>
              <w:t>Required knowledge</w:t>
            </w:r>
          </w:p>
        </w:tc>
      </w:tr>
      <w:tr w:rsidTr="003906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F33" w:rsidP="00A82F33">
            <w:pPr>
              <w:pStyle w:val="ListBullet"/>
            </w:pPr>
            <w:r w:rsidRPr="00A82F33">
              <w:t>consumer issues relating to superannuation information</w:t>
            </w:r>
          </w:p>
          <w:p w:rsidR="00000000" w:rsidRPr="00A82F33" w:rsidP="00A82F33">
            <w:pPr>
              <w:pStyle w:val="ListBullet"/>
            </w:pPr>
            <w:r w:rsidRPr="00A82F33">
              <w:t>the impact of legislation relating to superannuation</w:t>
            </w:r>
          </w:p>
          <w:p w:rsidR="00000000" w:rsidRPr="00A82F33" w:rsidP="00A82F33">
            <w:pPr>
              <w:pStyle w:val="ListBullet"/>
            </w:pPr>
            <w:r w:rsidRPr="00A82F33">
              <w:t>roles and relationships between participants within the Australian financial services industry, including banks and other financial intermediaries</w:t>
            </w:r>
          </w:p>
        </w:tc>
      </w:tr>
    </w:tbl>
    <w:p w:rsidR="00000000" w:rsidRPr="00A82F33" w:rsidP="00A82F33">
      <w:pPr>
        <w:pStyle w:val="BodyText"/>
      </w:pPr>
    </w:p>
    <w:p w:rsidR="00000000" w:rsidRPr="00A82F33" w:rsidP="00A82F33">
      <w:pPr>
        <w:pStyle w:val="AllowPageBreak"/>
      </w:pPr>
    </w:p>
    <w:p w:rsidR="00000000" w:rsidRPr="00A82F33" w:rsidP="00A82F33">
      <w:pPr>
        <w:pStyle w:val="Heading1"/>
      </w:pPr>
      <w:bookmarkStart w:id="10" w:name="O_78156"/>
      <w:bookmarkEnd w:id="10"/>
      <w:r w:rsidRPr="00A82F33">
        <w:t>Evidence Guide</w:t>
      </w:r>
    </w:p>
    <w:tbl>
      <w:tblPr>
        <w:tblW w:w="9570" w:type="dxa"/>
        <w:tblLayout w:type="fixed"/>
        <w:tblCellMar>
          <w:left w:w="62" w:type="dxa"/>
          <w:right w:w="62" w:type="dxa"/>
        </w:tblCellMar>
        <w:tblLook w:val="0000"/>
      </w:tblPr>
      <w:tblGrid>
        <w:gridCol w:w="2808"/>
        <w:gridCol w:w="6762"/>
      </w:tblGrid>
      <w:tr w:rsidTr="0039061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F33">
            <w:pPr>
              <w:pStyle w:val="BodyText"/>
              <w:rPr>
                <w:lang w:val="en-NZ"/>
              </w:rPr>
            </w:pPr>
            <w:r w:rsidRPr="00A82F33">
              <w:rPr>
                <w:rStyle w:val="SpecialBold"/>
              </w:rPr>
              <w:t>EVIDENCE GUIDE</w:t>
            </w:r>
          </w:p>
        </w:tc>
      </w:tr>
      <w:tr w:rsidTr="0039061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F33">
            <w:pPr>
              <w:pStyle w:val="BodyText"/>
              <w:rPr>
                <w:lang w:val="en-NZ"/>
              </w:rPr>
            </w:pPr>
            <w:r w:rsidRPr="00A82F33">
              <w:t>The Evidence Guide provides advice on assessment and must be read in conjunction with the performance criteria, required skills and knowledge, range statement and the Assessment Guidelines for the Training Package.</w:t>
            </w:r>
          </w:p>
        </w:tc>
      </w:tr>
      <w:tr w:rsidTr="0039061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F33">
            <w:pPr>
              <w:pStyle w:val="BodyText"/>
              <w:rPr>
                <w:lang w:val="en-NZ"/>
              </w:rPr>
            </w:pPr>
            <w:r w:rsidRPr="00A82F33">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F33">
            <w:pPr>
              <w:pStyle w:val="BodyText"/>
              <w:rPr>
                <w:lang w:val="en-NZ"/>
              </w:rPr>
            </w:pPr>
          </w:p>
        </w:tc>
      </w:tr>
      <w:tr w:rsidTr="0039061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F33">
            <w:pPr>
              <w:pStyle w:val="BodyText"/>
              <w:rPr>
                <w:lang w:val="en-NZ"/>
              </w:rPr>
            </w:pPr>
            <w:r w:rsidRPr="00A82F33">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F33" w:rsidP="00A82F33">
            <w:pPr>
              <w:pStyle w:val="BodyText"/>
            </w:pPr>
            <w:r w:rsidRPr="00A82F33">
              <w:t>Evidence of the ability to:</w:t>
            </w:r>
          </w:p>
          <w:p w:rsidR="00000000" w:rsidRPr="00A82F33" w:rsidP="00A82F33">
            <w:pPr>
              <w:pStyle w:val="ListBullet"/>
            </w:pPr>
            <w:r w:rsidRPr="00A82F33">
              <w:t>analyse and clearly explain the role of superannuation and other longer term investment vehicles used within the community at differen</w:t>
            </w:r>
            <w:r w:rsidRPr="00A82F33">
              <w:t>t points of the life cycle</w:t>
            </w:r>
          </w:p>
          <w:p w:rsidR="00000000" w:rsidRPr="00A82F33" w:rsidP="00A82F33">
            <w:pPr>
              <w:pStyle w:val="ListBullet"/>
            </w:pPr>
            <w:r w:rsidRPr="00A82F33">
              <w:t xml:space="preserve">analyse and critically evaluate varying types of investment vehicles </w:t>
            </w:r>
          </w:p>
          <w:p w:rsidR="00000000" w:rsidP="00A82F33">
            <w:pPr>
              <w:pStyle w:val="ListBullet"/>
              <w:rPr>
                <w:lang w:val="en-NZ"/>
              </w:rPr>
            </w:pPr>
            <w:r w:rsidRPr="00A82F33">
              <w:t>understand and apply the skills necessary to actively manage a superannuation investment.</w:t>
            </w:r>
          </w:p>
        </w:tc>
      </w:tr>
      <w:tr w:rsidTr="0039061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F33">
            <w:pPr>
              <w:pStyle w:val="BodyText"/>
              <w:rPr>
                <w:lang w:val="en-NZ"/>
              </w:rPr>
            </w:pPr>
            <w:r w:rsidRPr="00A82F33">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F33" w:rsidP="00A82F33">
            <w:pPr>
              <w:pStyle w:val="BodyText"/>
            </w:pPr>
            <w:r w:rsidRPr="00A82F33">
              <w:t>Assessment must ensure:</w:t>
            </w:r>
          </w:p>
          <w:p w:rsidR="00000000" w:rsidRPr="00A82F33" w:rsidP="00A82F33">
            <w:pPr>
              <w:pStyle w:val="ListBullet"/>
            </w:pPr>
            <w:r w:rsidRPr="00A82F33">
              <w:t>competency is demonstrated in the context of the range statement</w:t>
            </w:r>
          </w:p>
          <w:p w:rsidR="00000000" w:rsidRPr="00A82F33" w:rsidP="00A82F33">
            <w:pPr>
              <w:pStyle w:val="ListBullet"/>
            </w:pPr>
            <w:r w:rsidRPr="00A82F33">
              <w:t>access to and the use of a range of common office equipment, technology, software and consumables</w:t>
            </w:r>
          </w:p>
          <w:p w:rsidR="00000000" w:rsidP="00A82F33">
            <w:pPr>
              <w:pStyle w:val="ListBullet"/>
              <w:rPr>
                <w:lang w:val="en-NZ"/>
              </w:rPr>
            </w:pPr>
            <w:r w:rsidRPr="00A82F33">
              <w:t>access to information about the current structures of Australia's su</w:t>
            </w:r>
            <w:r w:rsidRPr="00A82F33">
              <w:t>perannuation system, information about a wide range of superannuation schemes and products, software and other relevant resources.</w:t>
            </w:r>
          </w:p>
        </w:tc>
      </w:tr>
      <w:tr w:rsidTr="0039061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F33">
            <w:pPr>
              <w:pStyle w:val="BodyText"/>
              <w:rPr>
                <w:lang w:val="en-NZ"/>
              </w:rPr>
            </w:pPr>
            <w:r w:rsidRPr="00A82F33">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F33" w:rsidP="00A82F33">
            <w:pPr>
              <w:pStyle w:val="BodyText"/>
            </w:pPr>
            <w:r w:rsidRPr="00A82F33">
              <w:t>A range of assessment methods should be used to assess practical skills and knowledge. The following ex</w:t>
            </w:r>
            <w:r w:rsidRPr="00A82F33">
              <w:t>amples, in combination, are appropriate for this unit:</w:t>
            </w:r>
          </w:p>
          <w:p w:rsidR="00000000" w:rsidRPr="00A82F33" w:rsidP="00A82F33">
            <w:pPr>
              <w:pStyle w:val="ListBullet"/>
            </w:pPr>
            <w:r w:rsidRPr="00A82F33">
              <w:t>evaluating an integrated activity which combines the elements of competency for the unit or a cluster of related units of competency</w:t>
            </w:r>
          </w:p>
          <w:p w:rsidR="00000000" w:rsidRPr="00A82F33" w:rsidP="00A82F33">
            <w:pPr>
              <w:pStyle w:val="ListBullet"/>
            </w:pPr>
            <w:r w:rsidRPr="00A82F33">
              <w:t>verbal or written questioning on underpinning knowledge and skills</w:t>
            </w:r>
          </w:p>
          <w:p w:rsidR="00000000" w:rsidRPr="00A82F33" w:rsidP="00A82F33">
            <w:pPr>
              <w:pStyle w:val="ListBullet"/>
            </w:pPr>
            <w:r w:rsidRPr="00A82F33">
              <w:t>setting and reviewing simulations or scenarios</w:t>
            </w:r>
          </w:p>
          <w:p w:rsidR="00000000" w:rsidP="00A82F33">
            <w:pPr>
              <w:pStyle w:val="ListBullet"/>
              <w:rPr>
                <w:lang w:val="en-NZ"/>
              </w:rPr>
            </w:pPr>
            <w:r w:rsidRPr="00A82F33">
              <w:t>group discussion to determine and confirm understanding.</w:t>
            </w:r>
          </w:p>
        </w:tc>
      </w:tr>
      <w:tr w:rsidTr="0039061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F33">
            <w:pPr>
              <w:pStyle w:val="BodyText"/>
              <w:rPr>
                <w:lang w:val="en-NZ"/>
              </w:rPr>
            </w:pPr>
            <w:r w:rsidRPr="00A82F33">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F33" w:rsidP="00A82F33">
            <w:pPr>
              <w:pStyle w:val="BodyText"/>
            </w:pPr>
          </w:p>
        </w:tc>
      </w:tr>
    </w:tbl>
    <w:p w:rsidR="00000000" w:rsidRPr="00A82F33" w:rsidP="00A82F33">
      <w:pPr>
        <w:pStyle w:val="BodyText"/>
      </w:pPr>
    </w:p>
    <w:p w:rsidR="00000000" w:rsidRPr="00A82F33" w:rsidP="00A82F33">
      <w:pPr>
        <w:pStyle w:val="AllowPageBreak"/>
      </w:pPr>
    </w:p>
    <w:p w:rsidR="00000000" w:rsidRPr="00A82F33" w:rsidP="00A82F33">
      <w:pPr>
        <w:pStyle w:val="Heading1"/>
      </w:pPr>
      <w:bookmarkStart w:id="11" w:name="O_78157"/>
      <w:bookmarkEnd w:id="11"/>
      <w:r w:rsidRPr="00A82F33">
        <w:t>Range Statement</w:t>
      </w:r>
    </w:p>
    <w:tbl>
      <w:tblPr>
        <w:tblW w:w="0" w:type="auto"/>
        <w:tblLayout w:type="fixed"/>
        <w:tblCellMar>
          <w:left w:w="62" w:type="dxa"/>
          <w:right w:w="62" w:type="dxa"/>
        </w:tblCellMar>
        <w:tblLook w:val="0000"/>
      </w:tblPr>
      <w:tblGrid>
        <w:gridCol w:w="2532"/>
        <w:gridCol w:w="5990"/>
      </w:tblGrid>
      <w:tr w:rsidTr="0039061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F33">
            <w:pPr>
              <w:pStyle w:val="BodyText"/>
              <w:rPr>
                <w:lang w:val="en-NZ"/>
              </w:rPr>
            </w:pPr>
            <w:r w:rsidRPr="00A82F33">
              <w:rPr>
                <w:rStyle w:val="SpecialBold"/>
              </w:rPr>
              <w:t>RANGE STATEMENT</w:t>
            </w:r>
          </w:p>
        </w:tc>
      </w:tr>
      <w:tr w:rsidTr="0039061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F33">
            <w:pPr>
              <w:pStyle w:val="BodyText"/>
              <w:rPr>
                <w:lang w:val="en-NZ"/>
              </w:rPr>
            </w:pPr>
            <w:r w:rsidRPr="00A82F33">
              <w:t>The range statement relates to the unit of competency as a whole. It allows for different work environments and situations that may affect performance. Bold italicised wording, if used in the performance criteria, is detailed below. Essential operating con</w:t>
            </w:r>
            <w:r w:rsidRPr="00A82F33">
              <w:t>ditions that may be present with training and assessment (depending on the work situation, needs of the candidate, accessibility of the item, and local industry and regional contexts) may also be included.</w:t>
            </w:r>
          </w:p>
        </w:tc>
      </w:tr>
      <w:tr w:rsidTr="0039061F">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F33">
            <w:pPr>
              <w:pStyle w:val="BodyText"/>
              <w:rPr>
                <w:lang w:val="en-NZ"/>
              </w:rPr>
            </w:pPr>
            <w:r w:rsidRPr="00A82F33">
              <w:t>Savings and investment patterns are influenced b</w:t>
            </w:r>
            <w:r w:rsidRPr="00A82F33">
              <w:t xml:space="preserve">y people's stage in the </w:t>
            </w:r>
            <w:r w:rsidRPr="00A82F33">
              <w:rPr>
                <w:rStyle w:val="BoldandItalics"/>
              </w:rPr>
              <w:t>life cycle</w:t>
            </w:r>
            <w:r w:rsidRPr="00A82F33">
              <w:t xml:space="preserve"> such as: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F33" w:rsidP="00A82F33">
            <w:pPr>
              <w:pStyle w:val="ListBullet"/>
            </w:pPr>
            <w:r w:rsidRPr="00A82F33">
              <w:t>dual income families or well established employment and reducing family responsibilities and costs</w:t>
            </w:r>
          </w:p>
          <w:p w:rsidR="00000000" w:rsidRPr="00A82F33" w:rsidP="00A82F33">
            <w:pPr>
              <w:pStyle w:val="ListBullet"/>
            </w:pPr>
            <w:r w:rsidRPr="00A82F33">
              <w:t>early stages of family formation, with significant housing costs</w:t>
            </w:r>
          </w:p>
          <w:p w:rsidR="00000000" w:rsidRPr="00A82F33" w:rsidP="00A82F33">
            <w:pPr>
              <w:pStyle w:val="ListBullet"/>
            </w:pPr>
            <w:r w:rsidRPr="00A82F33">
              <w:t>empty-nesters in pre-retirement with more signi</w:t>
            </w:r>
            <w:r w:rsidRPr="00A82F33">
              <w:t>ficant savings opportunities</w:t>
            </w:r>
          </w:p>
          <w:p w:rsidR="00000000" w:rsidRPr="00A82F33" w:rsidP="00A82F33">
            <w:pPr>
              <w:pStyle w:val="ListBullet"/>
            </w:pPr>
            <w:r w:rsidRPr="00A82F33">
              <w:t>retirees seeking to maximise income and, potentially, preserving capital</w:t>
            </w:r>
          </w:p>
          <w:p w:rsidR="00000000" w:rsidRPr="00A82F33" w:rsidP="00A82F33">
            <w:pPr>
              <w:pStyle w:val="ListBullet"/>
            </w:pPr>
            <w:r w:rsidRPr="00A82F33">
              <w:t>students working part-time</w:t>
            </w:r>
          </w:p>
          <w:p w:rsidR="00000000" w:rsidP="00A82F33">
            <w:pPr>
              <w:pStyle w:val="ListBullet"/>
              <w:rPr>
                <w:lang w:val="en-NZ"/>
              </w:rPr>
            </w:pPr>
            <w:r w:rsidRPr="00A82F33">
              <w:t>young people, new to the workforce, with limited income, high purchasing demands, potential Highe</w:t>
            </w:r>
            <w:r w:rsidRPr="00A82F33">
              <w:t>r Education Contribution Scheme (HECS) debt.</w:t>
            </w:r>
          </w:p>
        </w:tc>
      </w:tr>
      <w:tr w:rsidTr="0039061F">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F33">
            <w:pPr>
              <w:pStyle w:val="BodyText"/>
              <w:rPr>
                <w:lang w:val="en-NZ"/>
              </w:rPr>
            </w:pPr>
            <w:r w:rsidRPr="00A82F33">
              <w:t xml:space="preserve">A </w:t>
            </w:r>
            <w:r w:rsidRPr="00A82F33">
              <w:rPr>
                <w:rStyle w:val="BoldandItalics"/>
              </w:rPr>
              <w:t>range of savings and investment vehicles</w:t>
            </w:r>
            <w:r w:rsidRPr="00A82F33">
              <w:t xml:space="preserve"> used for short and long term savings and investment includes: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F33" w:rsidP="00A82F33">
            <w:pPr>
              <w:pStyle w:val="ListBullet"/>
            </w:pPr>
            <w:r w:rsidRPr="00A82F33">
              <w:t>longer term:</w:t>
            </w:r>
          </w:p>
          <w:p w:rsidR="00000000" w:rsidRPr="00A82F33" w:rsidP="00A82F33">
            <w:pPr>
              <w:pStyle w:val="ListBullet2"/>
            </w:pPr>
            <w:r w:rsidRPr="00A82F33">
              <w:t>superannuation</w:t>
            </w:r>
          </w:p>
          <w:p w:rsidR="00000000" w:rsidRPr="00A82F33" w:rsidP="00A82F33">
            <w:pPr>
              <w:pStyle w:val="ListBullet2"/>
            </w:pPr>
            <w:r w:rsidRPr="00A82F33">
              <w:t>property</w:t>
            </w:r>
          </w:p>
          <w:p w:rsidR="00000000" w:rsidRPr="00A82F33" w:rsidP="00A82F33">
            <w:pPr>
              <w:pStyle w:val="ListBullet2"/>
            </w:pPr>
            <w:r w:rsidRPr="00A82F33">
              <w:t>personal share portfolios</w:t>
            </w:r>
          </w:p>
          <w:p w:rsidR="00000000" w:rsidRPr="00A82F33" w:rsidP="00A82F33">
            <w:pPr>
              <w:pStyle w:val="ListBullet2"/>
            </w:pPr>
            <w:r w:rsidRPr="00A82F33">
              <w:t>bonds</w:t>
            </w:r>
          </w:p>
          <w:p w:rsidR="00000000" w:rsidRPr="00A82F33" w:rsidP="00A82F33">
            <w:pPr>
              <w:pStyle w:val="ListBullet"/>
            </w:pPr>
            <w:r w:rsidRPr="00A82F33">
              <w:t>shorter term:</w:t>
            </w:r>
          </w:p>
          <w:p w:rsidR="00000000" w:rsidRPr="00A82F33" w:rsidP="00A82F33">
            <w:pPr>
              <w:pStyle w:val="ListBullet2"/>
            </w:pPr>
            <w:r w:rsidRPr="00A82F33">
              <w:t>cash on deposit</w:t>
            </w:r>
          </w:p>
          <w:p w:rsidR="00000000" w:rsidRPr="00A82F33" w:rsidP="00A82F33">
            <w:pPr>
              <w:pStyle w:val="ListBullet2"/>
            </w:pPr>
            <w:r w:rsidRPr="00A82F33">
              <w:t>fixed term cash management</w:t>
            </w:r>
          </w:p>
          <w:p w:rsidR="00000000" w:rsidRPr="00A82F33" w:rsidP="00A82F33">
            <w:pPr>
              <w:pStyle w:val="ListBullet2"/>
            </w:pPr>
            <w:r w:rsidRPr="00A82F33">
              <w:t>money market investment account</w:t>
            </w:r>
          </w:p>
          <w:p w:rsidR="00000000" w:rsidP="00A82F33">
            <w:pPr>
              <w:pStyle w:val="ListBullet2"/>
              <w:rPr>
                <w:lang w:val="en-NZ"/>
              </w:rPr>
            </w:pPr>
            <w:r w:rsidRPr="00A82F33">
              <w:t>Christmas club or other special event savings.</w:t>
            </w:r>
          </w:p>
        </w:tc>
      </w:tr>
      <w:tr w:rsidTr="0039061F">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F33">
            <w:pPr>
              <w:pStyle w:val="BodyText"/>
              <w:rPr>
                <w:lang w:val="en-NZ"/>
              </w:rPr>
            </w:pPr>
            <w:r w:rsidRPr="00A82F33">
              <w:t xml:space="preserve">The range of </w:t>
            </w:r>
            <w:r w:rsidRPr="00A82F33">
              <w:rPr>
                <w:rStyle w:val="BoldandItalics"/>
              </w:rPr>
              <w:t>characteristics</w:t>
            </w:r>
            <w:r w:rsidRPr="00A82F33">
              <w:t xml:space="preserve"> of superannuation in Australia includes: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F33" w:rsidP="00A82F33">
            <w:pPr>
              <w:pStyle w:val="ListBullet"/>
            </w:pPr>
            <w:r w:rsidRPr="00A82F33">
              <w:t>'salary sacrificing' and 'topping up' contributions</w:t>
            </w:r>
          </w:p>
          <w:p w:rsidR="00000000" w:rsidRPr="00A82F33" w:rsidP="00A82F33">
            <w:pPr>
              <w:pStyle w:val="ListBullet"/>
            </w:pPr>
            <w:r w:rsidRPr="00A82F33">
              <w:t>ages at which people may access their superannuation savings</w:t>
            </w:r>
          </w:p>
          <w:p w:rsidR="00000000" w:rsidRPr="00A82F33" w:rsidP="00A82F33">
            <w:pPr>
              <w:pStyle w:val="ListBullet"/>
            </w:pPr>
            <w:r w:rsidRPr="00A82F33">
              <w:t>available tax concessions for self-employed people that take out superannuation</w:t>
            </w:r>
          </w:p>
          <w:p w:rsidR="00000000" w:rsidRPr="00A82F33" w:rsidP="00A82F33">
            <w:pPr>
              <w:pStyle w:val="ListBullet"/>
            </w:pPr>
            <w:r w:rsidRPr="00A82F33">
              <w:t>compulsory employer contributions as a percentage of earnings paid by employers as the superannuation guarantee</w:t>
            </w:r>
          </w:p>
          <w:p w:rsidR="00000000" w:rsidRPr="00A82F33" w:rsidP="00A82F33">
            <w:pPr>
              <w:pStyle w:val="ListBullet"/>
            </w:pPr>
            <w:r w:rsidRPr="00A82F33">
              <w:t>con</w:t>
            </w:r>
            <w:r w:rsidRPr="00A82F33">
              <w:t>tributions made on behalf of a spouse</w:t>
            </w:r>
          </w:p>
          <w:p w:rsidR="00000000" w:rsidRPr="00A82F33" w:rsidP="00A82F33">
            <w:pPr>
              <w:pStyle w:val="ListBullet"/>
            </w:pPr>
            <w:r w:rsidRPr="00A82F33">
              <w:t>role and responsibilities of scheme trustees</w:t>
            </w:r>
          </w:p>
          <w:p w:rsidR="00000000" w:rsidP="00A82F33">
            <w:pPr>
              <w:pStyle w:val="ListBullet"/>
              <w:rPr>
                <w:lang w:val="en-NZ"/>
              </w:rPr>
            </w:pPr>
            <w:r w:rsidRPr="00A82F33">
              <w:t>tax arrangements for superannuation accounts.</w:t>
            </w:r>
          </w:p>
        </w:tc>
      </w:tr>
      <w:tr w:rsidTr="0039061F">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F33">
            <w:pPr>
              <w:pStyle w:val="BodyText"/>
              <w:rPr>
                <w:lang w:val="en-NZ"/>
              </w:rPr>
            </w:pPr>
            <w:r w:rsidRPr="00A82F33">
              <w:t xml:space="preserve">The </w:t>
            </w:r>
            <w:r w:rsidRPr="00A82F33">
              <w:rPr>
                <w:rStyle w:val="BoldandItalics"/>
              </w:rPr>
              <w:t>regulators</w:t>
            </w:r>
            <w:r w:rsidRPr="00A82F33">
              <w:t xml:space="preserve"> within the superannuation industry are:</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F33" w:rsidP="00A82F33">
            <w:pPr>
              <w:pStyle w:val="ListBullet"/>
            </w:pPr>
            <w:r w:rsidRPr="00A82F33">
              <w:t>Australian Prudential Regulation Authority (APRA)</w:t>
            </w:r>
          </w:p>
          <w:p w:rsidR="00000000" w:rsidRPr="00A82F33" w:rsidP="00A82F33">
            <w:pPr>
              <w:pStyle w:val="ListBullet"/>
            </w:pPr>
            <w:r w:rsidRPr="00A82F33">
              <w:t>Australian Securitie</w:t>
            </w:r>
            <w:r w:rsidRPr="00A82F33">
              <w:t>s and Investments Commission (ASIC)</w:t>
            </w:r>
          </w:p>
          <w:p w:rsidR="00000000" w:rsidP="00A82F33">
            <w:pPr>
              <w:pStyle w:val="ListBullet"/>
              <w:rPr>
                <w:lang w:val="en-NZ"/>
              </w:rPr>
            </w:pPr>
            <w:r w:rsidRPr="00A82F33">
              <w:t>Australian Taxation Office (ATO).</w:t>
            </w:r>
          </w:p>
        </w:tc>
      </w:tr>
      <w:tr w:rsidTr="0039061F">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F33">
            <w:pPr>
              <w:pStyle w:val="BodyText"/>
              <w:rPr>
                <w:lang w:val="en-NZ"/>
              </w:rPr>
            </w:pPr>
            <w:r w:rsidRPr="00A82F33">
              <w:rPr>
                <w:rStyle w:val="BoldandItalics"/>
              </w:rPr>
              <w:t>Superannuation schemes</w:t>
            </w:r>
            <w:r w:rsidRPr="00A82F33">
              <w:t xml:space="preserve"> include:</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F33">
            <w:pPr>
              <w:pStyle w:val="ListBullet"/>
              <w:rPr>
                <w:lang w:val="en-NZ"/>
              </w:rPr>
            </w:pPr>
            <w:r w:rsidRPr="00A82F33">
              <w:t>accumulation funds.</w:t>
            </w:r>
          </w:p>
        </w:tc>
      </w:tr>
      <w:tr w:rsidTr="0039061F">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F33">
            <w:pPr>
              <w:pStyle w:val="BodyText"/>
              <w:rPr>
                <w:lang w:val="en-NZ"/>
              </w:rPr>
            </w:pPr>
            <w:r w:rsidRPr="00A82F33">
              <w:t xml:space="preserve">The types of superannuation </w:t>
            </w:r>
            <w:r w:rsidRPr="00A82F33">
              <w:rPr>
                <w:rStyle w:val="BoldandItalics"/>
              </w:rPr>
              <w:t>fund managers</w:t>
            </w:r>
            <w:r w:rsidRPr="00A82F33">
              <w:t xml:space="preserve"> include:</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F33" w:rsidP="00A82F33">
            <w:pPr>
              <w:pStyle w:val="ListBullet"/>
            </w:pPr>
            <w:r w:rsidRPr="00A82F33">
              <w:t>employer or corporate funds</w:t>
            </w:r>
          </w:p>
          <w:p w:rsidR="00000000" w:rsidRPr="00A82F33" w:rsidP="00A82F33">
            <w:pPr>
              <w:pStyle w:val="ListBullet"/>
            </w:pPr>
            <w:r w:rsidRPr="00A82F33">
              <w:t>industry funds</w:t>
            </w:r>
          </w:p>
          <w:p w:rsidR="00000000" w:rsidRPr="00A82F33" w:rsidP="00A82F33">
            <w:pPr>
              <w:pStyle w:val="ListBullet"/>
            </w:pPr>
            <w:r w:rsidRPr="00A82F33">
              <w:t>retail funds</w:t>
            </w:r>
          </w:p>
          <w:p w:rsidR="00000000" w:rsidP="00A82F33">
            <w:pPr>
              <w:pStyle w:val="ListBullet"/>
              <w:rPr>
                <w:lang w:val="en-NZ"/>
              </w:rPr>
            </w:pPr>
            <w:r w:rsidRPr="00A82F33">
              <w:t>self-managed funds.</w:t>
            </w:r>
          </w:p>
        </w:tc>
      </w:tr>
      <w:tr w:rsidTr="0039061F">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F33">
            <w:pPr>
              <w:pStyle w:val="BodyText"/>
              <w:rPr>
                <w:lang w:val="en-NZ"/>
              </w:rPr>
            </w:pPr>
            <w:r w:rsidRPr="00A82F33">
              <w:t xml:space="preserve">Investment </w:t>
            </w:r>
            <w:r w:rsidRPr="00A82F33">
              <w:rPr>
                <w:rStyle w:val="BoldandItalics"/>
              </w:rPr>
              <w:t>strategies</w:t>
            </w:r>
            <w:r w:rsidRPr="00A82F33">
              <w:t xml:space="preserve"> and choices include:</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F33" w:rsidP="00A82F33">
            <w:pPr>
              <w:pStyle w:val="ListBullet"/>
            </w:pPr>
            <w:r w:rsidRPr="00A82F33">
              <w:t>balanced</w:t>
            </w:r>
          </w:p>
          <w:p w:rsidR="00000000" w:rsidRPr="00A82F33" w:rsidP="00A82F33">
            <w:pPr>
              <w:pStyle w:val="ListBullet"/>
            </w:pPr>
            <w:r w:rsidRPr="00A82F33">
              <w:t>capital guaranteed</w:t>
            </w:r>
          </w:p>
          <w:p w:rsidR="00000000" w:rsidRPr="00A82F33" w:rsidP="00A82F33">
            <w:pPr>
              <w:pStyle w:val="ListBullet"/>
            </w:pPr>
            <w:r w:rsidRPr="00A82F33">
              <w:t>capital stable</w:t>
            </w:r>
          </w:p>
          <w:p w:rsidR="00000000" w:rsidP="00A82F33">
            <w:pPr>
              <w:pStyle w:val="ListBullet"/>
              <w:rPr>
                <w:lang w:val="en-NZ"/>
              </w:rPr>
            </w:pPr>
            <w:r w:rsidRPr="00A82F33">
              <w:t xml:space="preserve">growth. </w:t>
            </w:r>
          </w:p>
        </w:tc>
      </w:tr>
      <w:tr w:rsidTr="0039061F">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F33">
            <w:pPr>
              <w:pStyle w:val="BodyText"/>
              <w:rPr>
                <w:lang w:val="en-NZ"/>
              </w:rPr>
            </w:pPr>
            <w:r w:rsidRPr="00A82F33">
              <w:t xml:space="preserve">Common items that will be found </w:t>
            </w:r>
            <w:r w:rsidRPr="00A82F33">
              <w:rPr>
                <w:rStyle w:val="BoldandItalics"/>
              </w:rPr>
              <w:t>when checking superannuation Statements</w:t>
            </w:r>
            <w:r w:rsidRPr="00A82F33">
              <w:t xml:space="preserve"> may include:</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F33" w:rsidP="00A82F33">
            <w:pPr>
              <w:pStyle w:val="ListBullet"/>
            </w:pPr>
            <w:r w:rsidRPr="00A82F33">
              <w:t xml:space="preserve">benefit details </w:t>
            </w:r>
          </w:p>
          <w:p w:rsidR="00000000" w:rsidRPr="00A82F33" w:rsidP="00A82F33">
            <w:pPr>
              <w:pStyle w:val="ListBullet"/>
            </w:pPr>
            <w:r w:rsidRPr="00A82F33">
              <w:t>general details including:</w:t>
            </w:r>
          </w:p>
          <w:p w:rsidR="00000000" w:rsidRPr="00A82F33" w:rsidP="00A82F33">
            <w:pPr>
              <w:pStyle w:val="ListBullet2"/>
            </w:pPr>
            <w:r w:rsidRPr="00A82F33">
              <w:t>fund name</w:t>
            </w:r>
          </w:p>
          <w:p w:rsidR="00000000" w:rsidRPr="00A82F33" w:rsidP="00A82F33">
            <w:pPr>
              <w:pStyle w:val="ListBullet2"/>
            </w:pPr>
            <w:r w:rsidRPr="00A82F33">
              <w:t>member name and date of birth</w:t>
            </w:r>
          </w:p>
          <w:p w:rsidR="00000000" w:rsidRPr="00A82F33" w:rsidP="00A82F33">
            <w:pPr>
              <w:pStyle w:val="ListBullet2"/>
            </w:pPr>
            <w:r w:rsidRPr="00A82F33">
              <w:t>date the member joined the fund</w:t>
            </w:r>
          </w:p>
          <w:p w:rsidR="00000000" w:rsidRPr="00A82F33" w:rsidP="00A82F33">
            <w:pPr>
              <w:pStyle w:val="ListBullet2"/>
            </w:pPr>
            <w:r w:rsidRPr="00A82F33">
              <w:t>confirmation tax file number received</w:t>
            </w:r>
          </w:p>
          <w:p w:rsidR="00000000" w:rsidRPr="00A82F33" w:rsidP="00A82F33">
            <w:pPr>
              <w:pStyle w:val="ListBullet"/>
            </w:pPr>
            <w:r w:rsidRPr="00A82F33">
              <w:t>summary of account details including:</w:t>
            </w:r>
          </w:p>
          <w:p w:rsidR="00000000" w:rsidRPr="00A82F33" w:rsidP="00A82F33">
            <w:pPr>
              <w:pStyle w:val="ListBullet2"/>
            </w:pPr>
            <w:r w:rsidRPr="00A82F33">
              <w:t>opening balance</w:t>
            </w:r>
          </w:p>
          <w:p w:rsidR="00000000" w:rsidRPr="00A82F33" w:rsidP="00A82F33">
            <w:pPr>
              <w:pStyle w:val="ListBullet2"/>
            </w:pPr>
            <w:r w:rsidRPr="00A82F33">
              <w:t>list of contributions</w:t>
            </w:r>
          </w:p>
          <w:p w:rsidR="00000000" w:rsidRPr="00A82F33" w:rsidP="00A82F33">
            <w:pPr>
              <w:pStyle w:val="ListBullet2"/>
            </w:pPr>
            <w:r w:rsidRPr="00A82F33">
              <w:t>deductions including fees and withdrawals by the member</w:t>
            </w:r>
          </w:p>
          <w:p w:rsidR="00000000" w:rsidRPr="00A82F33" w:rsidP="00A82F33">
            <w:pPr>
              <w:pStyle w:val="ListBullet2"/>
            </w:pPr>
            <w:r w:rsidRPr="00A82F33">
              <w:t>investment earnings</w:t>
            </w:r>
          </w:p>
          <w:p w:rsidR="00000000" w:rsidRPr="00A82F33" w:rsidP="00A82F33">
            <w:pPr>
              <w:pStyle w:val="ListBullet2"/>
            </w:pPr>
            <w:r w:rsidRPr="00A82F33">
              <w:t>re</w:t>
            </w:r>
            <w:r w:rsidRPr="00A82F33">
              <w:t>bates</w:t>
            </w:r>
          </w:p>
          <w:p w:rsidR="00000000" w:rsidP="00A82F33">
            <w:pPr>
              <w:pStyle w:val="ListBullet2"/>
              <w:rPr>
                <w:lang w:val="en-NZ"/>
              </w:rPr>
            </w:pPr>
            <w:r w:rsidRPr="00A82F33">
              <w:t>closing balance.</w:t>
            </w:r>
          </w:p>
        </w:tc>
      </w:tr>
      <w:tr w:rsidTr="0039061F">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F33">
            <w:pPr>
              <w:pStyle w:val="BodyText"/>
              <w:rPr>
                <w:lang w:val="en-NZ"/>
              </w:rPr>
            </w:pPr>
            <w:r w:rsidRPr="00A82F33">
              <w:t xml:space="preserve">Structures and techniques for the </w:t>
            </w:r>
            <w:r w:rsidRPr="00A82F33">
              <w:rPr>
                <w:rStyle w:val="BoldandItalics"/>
              </w:rPr>
              <w:t>utilisation of superannuation funds</w:t>
            </w:r>
            <w:r w:rsidRPr="00A82F33">
              <w:t xml:space="preserve"> on retirement include:</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F33" w:rsidP="00A82F33">
            <w:pPr>
              <w:pStyle w:val="ListBullet"/>
            </w:pPr>
            <w:r w:rsidRPr="00A82F33">
              <w:t>a combination of the above</w:t>
            </w:r>
          </w:p>
          <w:p w:rsidR="00000000" w:rsidRPr="00A82F33" w:rsidP="00A82F33">
            <w:pPr>
              <w:pStyle w:val="ListBullet"/>
            </w:pPr>
            <w:r w:rsidRPr="00A82F33">
              <w:t>annuities</w:t>
            </w:r>
          </w:p>
          <w:p w:rsidR="00000000" w:rsidRPr="00A82F33" w:rsidP="00A82F33">
            <w:pPr>
              <w:pStyle w:val="ListBullet"/>
            </w:pPr>
            <w:r w:rsidRPr="00A82F33">
              <w:t>lump sum payment for further personal investment</w:t>
            </w:r>
          </w:p>
          <w:p w:rsidR="00000000" w:rsidRPr="00A82F33" w:rsidP="00A82F33">
            <w:pPr>
              <w:pStyle w:val="ListBullet"/>
            </w:pPr>
            <w:r w:rsidRPr="00A82F33">
              <w:t>supe</w:t>
            </w:r>
            <w:r w:rsidRPr="00A82F33">
              <w:t xml:space="preserve">rannuation funds may also be accessed early, under strict criteria, on 'compassionate grounds' which may include: </w:t>
            </w:r>
          </w:p>
          <w:p w:rsidR="00000000" w:rsidRPr="00A82F33" w:rsidP="00A82F33">
            <w:pPr>
              <w:pStyle w:val="ListBullet2"/>
            </w:pPr>
            <w:r w:rsidRPr="00A82F33">
              <w:t xml:space="preserve">medical grounds </w:t>
            </w:r>
          </w:p>
          <w:p w:rsidR="00000000" w:rsidRPr="00A82F33" w:rsidP="00A82F33">
            <w:pPr>
              <w:pStyle w:val="ListBullet2"/>
            </w:pPr>
            <w:r w:rsidRPr="00A82F33">
              <w:t xml:space="preserve">funeral and burial expenses </w:t>
            </w:r>
          </w:p>
          <w:p w:rsidR="00000000" w:rsidRPr="00A82F33" w:rsidP="00A82F33">
            <w:pPr>
              <w:pStyle w:val="ListBullet2"/>
            </w:pPr>
            <w:r w:rsidRPr="00A82F33">
              <w:t>the forced sale of a home by a mortgagee</w:t>
            </w:r>
          </w:p>
          <w:p w:rsidR="00000000" w:rsidP="00A82F33">
            <w:pPr>
              <w:pStyle w:val="ListBullet"/>
              <w:rPr>
                <w:lang w:val="en-NZ"/>
              </w:rPr>
            </w:pPr>
            <w:r w:rsidRPr="00A82F33">
              <w:t>superannuation pensions.</w:t>
            </w:r>
          </w:p>
        </w:tc>
      </w:tr>
      <w:tr w:rsidTr="0039061F">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F33">
            <w:pPr>
              <w:pStyle w:val="BodyText"/>
              <w:rPr>
                <w:lang w:val="en-NZ"/>
              </w:rPr>
            </w:pPr>
            <w:r w:rsidRPr="00A82F33">
              <w:rPr>
                <w:rStyle w:val="BoldandItalics"/>
              </w:rPr>
              <w:t>Lost superannuation contri</w:t>
            </w:r>
            <w:r w:rsidRPr="00A82F33">
              <w:rPr>
                <w:rStyle w:val="BoldandItalics"/>
              </w:rPr>
              <w:t>butions</w:t>
            </w:r>
            <w:r w:rsidRPr="00A82F33">
              <w:t xml:space="preserve"> occur when:</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F33" w:rsidP="00A82F33">
            <w:pPr>
              <w:pStyle w:val="ListBullet"/>
            </w:pPr>
            <w:r w:rsidRPr="00A82F33">
              <w:t>an employee changes job and the superannuation fund may lose track of the individual member. The ATO holds funds on behalf of lost superannuation members. Funds may be searched through the 'Lost Members Register'.</w:t>
            </w:r>
          </w:p>
          <w:p w:rsidR="00000000" w:rsidP="00A82F33">
            <w:pPr>
              <w:pStyle w:val="BodyText"/>
              <w:rPr>
                <w:lang w:val="en-NZ"/>
              </w:rPr>
            </w:pPr>
            <w:r w:rsidRPr="00A82F33">
              <w:rPr>
                <w:rStyle w:val="SpecialBold"/>
              </w:rPr>
              <w:t>NB</w:t>
            </w:r>
            <w:r w:rsidRPr="00A82F33">
              <w:t xml:space="preserve"> superannuation accounts can be tracked using 'Superseeker' and similar on-line tools.</w:t>
            </w:r>
          </w:p>
        </w:tc>
      </w:tr>
      <w:tr w:rsidTr="0039061F">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F33">
            <w:pPr>
              <w:pStyle w:val="BodyText"/>
              <w:rPr>
                <w:lang w:val="en-NZ"/>
              </w:rPr>
            </w:pPr>
            <w:r w:rsidRPr="00A82F33">
              <w:rPr>
                <w:rStyle w:val="BoldandItalics"/>
              </w:rPr>
              <w:t>Questions on superannuation issues</w:t>
            </w:r>
            <w:r w:rsidRPr="00A82F33">
              <w:t xml:space="preserve"> for employer and fund providers may include:</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F33" w:rsidP="00A82F33">
            <w:pPr>
              <w:pStyle w:val="ListBullet"/>
            </w:pPr>
            <w:r w:rsidRPr="00A82F33">
              <w:t>what are the different employment options impacting on superannuation:</w:t>
            </w:r>
          </w:p>
          <w:p w:rsidR="00000000" w:rsidRPr="00A82F33" w:rsidP="00A82F33">
            <w:pPr>
              <w:pStyle w:val="ListBullet2"/>
            </w:pPr>
            <w:r w:rsidRPr="00A82F33">
              <w:t>wage and salary</w:t>
            </w:r>
            <w:r w:rsidRPr="00A82F33">
              <w:t xml:space="preserve"> employee</w:t>
            </w:r>
          </w:p>
          <w:p w:rsidR="00000000" w:rsidRPr="00A82F33" w:rsidP="00A82F33">
            <w:pPr>
              <w:pStyle w:val="ListBullet2"/>
            </w:pPr>
            <w:r w:rsidRPr="00A82F33">
              <w:t>self employed</w:t>
            </w:r>
          </w:p>
          <w:p w:rsidR="00000000" w:rsidRPr="00A82F33" w:rsidP="00A82F33">
            <w:pPr>
              <w:pStyle w:val="ListBullet2"/>
            </w:pPr>
            <w:r w:rsidRPr="00A82F33">
              <w:t>contractor</w:t>
            </w:r>
          </w:p>
          <w:p w:rsidR="00000000" w:rsidRPr="00A82F33" w:rsidP="00A82F33">
            <w:pPr>
              <w:pStyle w:val="ListBullet2"/>
            </w:pPr>
            <w:r w:rsidRPr="00A82F33">
              <w:t>full-time, part-time and casual</w:t>
            </w:r>
          </w:p>
          <w:p w:rsidR="00000000" w:rsidRPr="00A82F33" w:rsidP="00A82F33">
            <w:pPr>
              <w:pStyle w:val="ListBullet2"/>
            </w:pPr>
            <w:r w:rsidRPr="00A82F33">
              <w:t>multiple employers.</w:t>
            </w:r>
          </w:p>
        </w:tc>
      </w:tr>
    </w:tbl>
    <w:p w:rsidR="0039061F" w:rsidP="00A82F33">
      <w:pPr>
        <w:pStyle w:val="BodyText"/>
      </w:pPr>
    </w:p>
    <w:p w:rsidR="0039061F" w:rsidP="00A82F33">
      <w:pPr>
        <w:pStyle w:val="BodyText"/>
      </w:pPr>
    </w:p>
    <w:p w:rsidR="00000000" w:rsidRPr="00A82F33" w:rsidP="00A82F33">
      <w:pPr>
        <w:pStyle w:val="Heading1"/>
      </w:pPr>
      <w:bookmarkStart w:id="12" w:name="O_78158"/>
      <w:bookmarkEnd w:id="12"/>
      <w:r w:rsidRPr="00A82F33">
        <w:t>Unit Sector(s)</w:t>
      </w:r>
    </w:p>
    <w:tbl>
      <w:tblPr>
        <w:tblW w:w="0" w:type="auto"/>
        <w:tblLayout w:type="fixed"/>
        <w:tblCellMar>
          <w:left w:w="62" w:type="dxa"/>
          <w:right w:w="62" w:type="dxa"/>
        </w:tblCellMar>
        <w:tblLook w:val="0000"/>
      </w:tblPr>
      <w:tblGrid>
        <w:gridCol w:w="2597"/>
        <w:gridCol w:w="5925"/>
      </w:tblGrid>
      <w:tr w:rsidTr="0039061F">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F33">
            <w:pPr>
              <w:pStyle w:val="BodyText"/>
              <w:rPr>
                <w:lang w:val="en-NZ"/>
              </w:rPr>
            </w:pPr>
            <w:r w:rsidRPr="00A82F33">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F33" w:rsidP="00A82F33">
            <w:pPr>
              <w:pStyle w:val="BodyText"/>
            </w:pPr>
            <w:r w:rsidRPr="00A82F33">
              <w:t>Financial literacy</w:t>
            </w:r>
          </w:p>
        </w:tc>
      </w:tr>
    </w:tbl>
    <w:p w:rsidR="00000000" w:rsidRPr="00A82F33" w:rsidP="00A82F33">
      <w:pPr>
        <w:pStyle w:val="BodyText"/>
      </w:pPr>
    </w:p>
    <w:p w:rsidR="00000000" w:rsidRPr="00A82F33" w:rsidP="00A82F33">
      <w:pPr>
        <w:pStyle w:val="AllowPageBreak"/>
      </w:pPr>
    </w:p>
    <w:p w:rsidR="00000000" w:rsidRPr="00A82F33" w:rsidP="00A82F33">
      <w:pPr>
        <w:pStyle w:val="Heading1"/>
      </w:pPr>
      <w:bookmarkStart w:id="13" w:name="O_156259"/>
      <w:bookmarkEnd w:id="13"/>
      <w:r w:rsidRPr="00A82F33">
        <w:t>Competency field</w:t>
      </w:r>
    </w:p>
    <w:tbl>
      <w:tblPr>
        <w:tblW w:w="0" w:type="auto"/>
        <w:tblLayout w:type="fixed"/>
        <w:tblCellMar>
          <w:left w:w="62" w:type="dxa"/>
          <w:right w:w="62" w:type="dxa"/>
        </w:tblCellMar>
        <w:tblLook w:val="0000"/>
      </w:tblPr>
      <w:tblGrid>
        <w:gridCol w:w="2754"/>
        <w:gridCol w:w="5768"/>
      </w:tblGrid>
      <w:tr w:rsidTr="0039061F">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F33">
            <w:pPr>
              <w:pStyle w:val="BodyText"/>
              <w:rPr>
                <w:lang w:val="en-NZ"/>
              </w:rPr>
            </w:pPr>
            <w:r w:rsidRPr="00A82F33">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F33" w:rsidP="00A82F33">
            <w:pPr>
              <w:pStyle w:val="BodyText"/>
            </w:pPr>
          </w:p>
        </w:tc>
      </w:tr>
    </w:tbl>
    <w:p w:rsidR="00000000" w:rsidRPr="00A82F33" w:rsidP="00A82F33">
      <w:pPr>
        <w:pStyle w:val="BodyText"/>
      </w:pPr>
    </w:p>
    <w:p w:rsidR="00000000" w:rsidRPr="00A82F33" w:rsidP="00A82F33">
      <w:pPr>
        <w:pStyle w:val="AllowPageBreak"/>
      </w:pPr>
    </w:p>
    <w:p w:rsidR="00000000" w:rsidRPr="00A82F33" w:rsidP="00A82F33">
      <w:pPr>
        <w:pStyle w:val="Heading1"/>
      </w:pPr>
      <w:bookmarkStart w:id="14" w:name="O_156258"/>
      <w:bookmarkEnd w:id="14"/>
      <w:r w:rsidRPr="00A82F33">
        <w:t>Co-requisite units</w:t>
      </w:r>
    </w:p>
    <w:tbl>
      <w:tblPr>
        <w:tblW w:w="0" w:type="auto"/>
        <w:tblLayout w:type="fixed"/>
        <w:tblCellMar>
          <w:left w:w="62" w:type="dxa"/>
          <w:right w:w="62" w:type="dxa"/>
        </w:tblCellMar>
        <w:tblLook w:val="0000"/>
      </w:tblPr>
      <w:tblGrid>
        <w:gridCol w:w="2629"/>
        <w:gridCol w:w="1324"/>
        <w:gridCol w:w="4569"/>
      </w:tblGrid>
      <w:tr w:rsidTr="0039061F">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F33">
            <w:pPr>
              <w:pStyle w:val="BodyText"/>
              <w:rPr>
                <w:lang w:val="en-NZ"/>
              </w:rPr>
            </w:pPr>
            <w:r w:rsidRPr="00A82F33">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F33">
            <w:pPr>
              <w:pStyle w:val="BodyText"/>
              <w:rPr>
                <w:lang w:val="en-NZ"/>
              </w:rPr>
            </w:pPr>
          </w:p>
        </w:tc>
      </w:tr>
      <w:tr w:rsidTr="0039061F">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F33" w:rsidP="00A82F33">
            <w:pPr>
              <w:pStyle w:val="BodyText"/>
            </w:pPr>
          </w:p>
        </w:tc>
      </w:tr>
    </w:tbl>
    <w:p w:rsidR="00000000" w:rsidRPr="00A82F33" w:rsidP="00A82F33">
      <w:pPr>
        <w:pStyle w:val="BodyText"/>
      </w:pPr>
    </w:p>
    <w:p w:rsidR="00000000" w:rsidRPr="00A82F33" w:rsidP="00A82F33"/>
    <w:sectPr w:rsidSect="00A82F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F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061F" w:rsidP="003906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F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61F" w:rsidP="00A82F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9061F" w:rsidP="00A82F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9061F" w:rsidP="00A82F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F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061F" w:rsidP="0039061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F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61F" w:rsidP="00A82F33">
    <w:pPr>
      <w:pStyle w:val="Header"/>
      <w:framePr w:wrap="around"/>
    </w:pPr>
    <w:r>
      <w:fldChar w:fldCharType="begin"/>
    </w:r>
    <w:r>
      <w:instrText xml:space="preserve"> TITLE   \* MERGEFORMAT </w:instrText>
    </w:r>
    <w:r>
      <w:fldChar w:fldCharType="separate"/>
    </w:r>
    <w:r>
      <w:t>FNSFLT204A Develop understanding of superannuation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9061F" w:rsidP="00A82F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703B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0E3C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0809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2F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2F33"/>
    <w:pPr>
      <w:spacing w:before="360" w:after="60"/>
      <w:outlineLvl w:val="0"/>
    </w:pPr>
    <w:rPr>
      <w:sz w:val="32"/>
    </w:rPr>
  </w:style>
  <w:style w:type="paragraph" w:styleId="Heading2">
    <w:name w:val="heading 2"/>
    <w:basedOn w:val="HeadingBase"/>
    <w:next w:val="BodyText"/>
    <w:link w:val="Heading2Char"/>
    <w:qFormat/>
    <w:rsid w:val="00A82F33"/>
    <w:pPr>
      <w:keepLines/>
      <w:spacing w:before="240" w:after="120"/>
      <w:outlineLvl w:val="1"/>
    </w:pPr>
    <w:rPr>
      <w:sz w:val="28"/>
      <w:szCs w:val="40"/>
    </w:rPr>
  </w:style>
  <w:style w:type="paragraph" w:styleId="Heading3">
    <w:name w:val="heading 3"/>
    <w:basedOn w:val="HeadingBase"/>
    <w:next w:val="BodyText"/>
    <w:link w:val="Heading3Char"/>
    <w:qFormat/>
    <w:rsid w:val="00A82F33"/>
    <w:pPr>
      <w:spacing w:before="180" w:after="120"/>
      <w:outlineLvl w:val="2"/>
    </w:pPr>
    <w:rPr>
      <w:spacing w:val="-10"/>
      <w:kern w:val="32"/>
    </w:rPr>
  </w:style>
  <w:style w:type="paragraph" w:styleId="Heading4">
    <w:name w:val="heading 4"/>
    <w:basedOn w:val="HeadingBase"/>
    <w:next w:val="BodyText"/>
    <w:link w:val="Heading4Char"/>
    <w:qFormat/>
    <w:rsid w:val="00A82F33"/>
    <w:pPr>
      <w:spacing w:before="160" w:after="120"/>
      <w:outlineLvl w:val="3"/>
    </w:pPr>
    <w:rPr>
      <w:sz w:val="22"/>
    </w:rPr>
  </w:style>
  <w:style w:type="paragraph" w:styleId="Heading5">
    <w:name w:val="heading 5"/>
    <w:basedOn w:val="HeadingBase"/>
    <w:next w:val="Normal"/>
    <w:link w:val="Heading5Char"/>
    <w:qFormat/>
    <w:rsid w:val="00A82F33"/>
    <w:pPr>
      <w:spacing w:before="80"/>
      <w:outlineLvl w:val="4"/>
    </w:pPr>
    <w:rPr>
      <w:color w:val="918585"/>
      <w:sz w:val="20"/>
    </w:rPr>
  </w:style>
  <w:style w:type="paragraph" w:styleId="Heading6">
    <w:name w:val="heading 6"/>
    <w:basedOn w:val="HeadingBase"/>
    <w:next w:val="Normal"/>
    <w:link w:val="Heading6Char"/>
    <w:qFormat/>
    <w:rsid w:val="00A82F33"/>
    <w:pPr>
      <w:spacing w:before="60"/>
      <w:outlineLvl w:val="5"/>
    </w:pPr>
    <w:rPr>
      <w:color w:val="918585"/>
      <w:sz w:val="20"/>
    </w:rPr>
  </w:style>
  <w:style w:type="paragraph" w:styleId="Heading7">
    <w:name w:val="heading 7"/>
    <w:basedOn w:val="Normal"/>
    <w:next w:val="Normal"/>
    <w:link w:val="Heading7Char"/>
    <w:qFormat/>
    <w:rsid w:val="00A82F33"/>
    <w:pPr>
      <w:ind w:left="720"/>
      <w:outlineLvl w:val="6"/>
    </w:pPr>
    <w:rPr>
      <w:i/>
    </w:rPr>
  </w:style>
  <w:style w:type="paragraph" w:styleId="Heading8">
    <w:name w:val="heading 8"/>
    <w:basedOn w:val="Normal"/>
    <w:next w:val="Normal"/>
    <w:link w:val="Heading8Char"/>
    <w:qFormat/>
    <w:rsid w:val="00A82F33"/>
    <w:pPr>
      <w:ind w:left="720"/>
      <w:outlineLvl w:val="7"/>
    </w:pPr>
    <w:rPr>
      <w:i/>
    </w:rPr>
  </w:style>
  <w:style w:type="paragraph" w:styleId="Heading9">
    <w:name w:val="heading 9"/>
    <w:basedOn w:val="Normal"/>
    <w:next w:val="Normal"/>
    <w:link w:val="Heading9Char"/>
    <w:qFormat/>
    <w:rsid w:val="00A82F33"/>
    <w:pPr>
      <w:ind w:left="720"/>
      <w:outlineLvl w:val="8"/>
    </w:pPr>
    <w:rPr>
      <w:i/>
    </w:rPr>
  </w:style>
  <w:style w:type="character" w:default="1" w:styleId="DefaultParagraphFont">
    <w:name w:val="Default Paragraph Font"/>
    <w:uiPriority w:val="1"/>
    <w:unhideWhenUsed/>
    <w:rsid w:val="00A82F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2F33"/>
  </w:style>
  <w:style w:type="character" w:customStyle="1" w:styleId="Heading1Char">
    <w:name w:val="Heading 1 Char"/>
    <w:basedOn w:val="DefaultParagraphFont"/>
    <w:link w:val="Heading1"/>
    <w:rsid w:val="00A82F33"/>
    <w:rPr>
      <w:rFonts w:ascii="Times New Roman" w:eastAsia="Times New Roman" w:hAnsi="Times New Roman" w:cs="Times New Roman"/>
      <w:b/>
      <w:sz w:val="32"/>
      <w:szCs w:val="20"/>
      <w:lang w:eastAsia="en-US"/>
    </w:rPr>
  </w:style>
  <w:style w:type="paragraph" w:styleId="BodyText">
    <w:name w:val="Body Text"/>
    <w:basedOn w:val="Normal"/>
    <w:link w:val="BodyTextChar"/>
    <w:rsid w:val="00A82F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2F33"/>
    <w:rPr>
      <w:rFonts w:ascii="Times New Roman" w:eastAsia="Times New Roman" w:hAnsi="Times New Roman" w:cs="Times New Roman"/>
      <w:sz w:val="24"/>
      <w:lang w:val="en-US" w:eastAsia="en-US"/>
    </w:rPr>
  </w:style>
  <w:style w:type="paragraph" w:styleId="Footer">
    <w:name w:val="footer"/>
    <w:basedOn w:val="Normal"/>
    <w:link w:val="FooterChar"/>
    <w:rsid w:val="00A82F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2F33"/>
    <w:rPr>
      <w:rFonts w:ascii="Times New Roman" w:eastAsia="Times New Roman" w:hAnsi="Times New Roman" w:cs="Times New Roman"/>
      <w:sz w:val="16"/>
      <w:lang w:val="en-US" w:eastAsia="en-US"/>
    </w:rPr>
  </w:style>
  <w:style w:type="paragraph" w:styleId="List">
    <w:name w:val="List"/>
    <w:basedOn w:val="BodyText"/>
    <w:next w:val="BodyText"/>
    <w:rsid w:val="00A82F33"/>
    <w:pPr>
      <w:tabs>
        <w:tab w:val="left" w:pos="340"/>
      </w:tabs>
      <w:spacing w:before="60" w:after="60"/>
      <w:ind w:left="340" w:hanging="340"/>
    </w:pPr>
  </w:style>
  <w:style w:type="paragraph" w:styleId="ListBullet">
    <w:name w:val="List Bullet"/>
    <w:basedOn w:val="List"/>
    <w:rsid w:val="00A82F33"/>
    <w:pPr>
      <w:numPr>
        <w:numId w:val="13"/>
      </w:numPr>
      <w:tabs>
        <w:tab w:val="clear" w:pos="340"/>
      </w:tabs>
      <w:spacing w:before="40" w:after="40"/>
    </w:pPr>
  </w:style>
  <w:style w:type="character" w:customStyle="1" w:styleId="SpecialBold">
    <w:name w:val="Special Bold"/>
    <w:basedOn w:val="DefaultParagraphFont"/>
    <w:rsid w:val="00A82F33"/>
    <w:rPr>
      <w:b/>
      <w:spacing w:val="0"/>
    </w:rPr>
  </w:style>
  <w:style w:type="paragraph" w:styleId="ListBullet2">
    <w:name w:val="List Bullet 2"/>
    <w:basedOn w:val="List2"/>
    <w:rsid w:val="00A82F33"/>
    <w:pPr>
      <w:numPr>
        <w:numId w:val="14"/>
      </w:numPr>
      <w:tabs>
        <w:tab w:val="clear" w:pos="680"/>
      </w:tabs>
    </w:pPr>
  </w:style>
  <w:style w:type="paragraph" w:styleId="Header">
    <w:name w:val="header"/>
    <w:basedOn w:val="Normal"/>
    <w:link w:val="HeaderChar"/>
    <w:rsid w:val="00A82F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2F3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2F33"/>
    <w:pPr>
      <w:spacing w:before="240" w:after="120"/>
      <w:outlineLvl w:val="0"/>
    </w:pPr>
    <w:rPr>
      <w:rFonts w:ascii="Times New Roman" w:hAnsi="Times New Roman"/>
      <w:b/>
      <w:sz w:val="28"/>
    </w:rPr>
  </w:style>
  <w:style w:type="paragraph" w:customStyle="1" w:styleId="AllowPageBreak">
    <w:name w:val="AllowPageBreak"/>
    <w:rsid w:val="00A82F3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82F33"/>
    <w:pPr>
      <w:tabs>
        <w:tab w:val="left" w:pos="680"/>
      </w:tabs>
      <w:spacing w:before="60" w:after="60"/>
      <w:ind w:left="680" w:hanging="340"/>
    </w:pPr>
  </w:style>
  <w:style w:type="character" w:customStyle="1" w:styleId="BoldandItalics">
    <w:name w:val="Bold and Italics"/>
    <w:qFormat/>
    <w:rsid w:val="00A82F33"/>
    <w:rPr>
      <w:b/>
      <w:i/>
      <w:u w:val="none"/>
    </w:rPr>
  </w:style>
  <w:style w:type="character" w:customStyle="1" w:styleId="Heading2Char">
    <w:name w:val="Heading 2 Char"/>
    <w:basedOn w:val="DefaultParagraphFont"/>
    <w:link w:val="Heading2"/>
    <w:rsid w:val="00A82F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2F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2F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2F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2F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2F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2F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2F33"/>
    <w:rPr>
      <w:rFonts w:ascii="Courier New" w:eastAsia="Times New Roman" w:hAnsi="Courier New" w:cs="Times New Roman"/>
      <w:i/>
      <w:szCs w:val="20"/>
      <w:lang w:val="en-US" w:eastAsia="en-US"/>
    </w:rPr>
  </w:style>
  <w:style w:type="paragraph" w:customStyle="1" w:styleId="HeadingBase">
    <w:name w:val="Heading Base"/>
    <w:rsid w:val="00A82F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2F33"/>
    <w:pPr>
      <w:tabs>
        <w:tab w:val="right" w:leader="dot" w:pos="9072"/>
      </w:tabs>
      <w:ind w:left="567"/>
    </w:pPr>
    <w:rPr>
      <w:szCs w:val="22"/>
    </w:rPr>
  </w:style>
  <w:style w:type="paragraph" w:customStyle="1" w:styleId="TOCBase">
    <w:name w:val="TOC Base"/>
    <w:rsid w:val="00A82F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2F33"/>
    <w:pPr>
      <w:tabs>
        <w:tab w:val="right" w:leader="dot" w:pos="9072"/>
      </w:tabs>
      <w:spacing w:before="40" w:after="40"/>
      <w:ind w:left="284"/>
    </w:pPr>
    <w:rPr>
      <w:rFonts w:ascii="Times New Roman" w:hAnsi="Times New Roman"/>
    </w:rPr>
  </w:style>
  <w:style w:type="paragraph" w:styleId="TOC1">
    <w:name w:val="toc 1"/>
    <w:basedOn w:val="TOCBase"/>
    <w:next w:val="Normal"/>
    <w:rsid w:val="00A82F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2F33"/>
    <w:pPr>
      <w:spacing w:before="5040"/>
      <w:jc w:val="center"/>
    </w:pPr>
    <w:rPr>
      <w:sz w:val="48"/>
      <w:szCs w:val="72"/>
      <w:lang w:val="en-US"/>
    </w:rPr>
  </w:style>
  <w:style w:type="character" w:customStyle="1" w:styleId="TitleChar">
    <w:name w:val="Title Char"/>
    <w:basedOn w:val="DefaultParagraphFont"/>
    <w:link w:val="Title"/>
    <w:rsid w:val="00A82F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2F33"/>
    <w:pPr>
      <w:tabs>
        <w:tab w:val="left" w:pos="3600"/>
        <w:tab w:val="left" w:pos="3958"/>
      </w:tabs>
    </w:pPr>
  </w:style>
  <w:style w:type="paragraph" w:customStyle="1" w:styleId="Note">
    <w:name w:val="Note"/>
    <w:basedOn w:val="BodyText"/>
    <w:rsid w:val="00A82F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2F33"/>
    <w:pPr>
      <w:framePr w:wrap="auto" w:hAnchor="text" w:y="6049"/>
    </w:pPr>
    <w:rPr>
      <w:color w:val="000000"/>
      <w:sz w:val="40"/>
    </w:rPr>
  </w:style>
  <w:style w:type="paragraph" w:customStyle="1" w:styleId="TOCTitle">
    <w:name w:val="TOCTitle"/>
    <w:basedOn w:val="Heading1"/>
    <w:rsid w:val="00A82F33"/>
    <w:pPr>
      <w:spacing w:after="240"/>
      <w:jc w:val="center"/>
      <w:outlineLvl w:val="9"/>
    </w:pPr>
    <w:rPr>
      <w:caps/>
    </w:rPr>
  </w:style>
  <w:style w:type="paragraph" w:customStyle="1" w:styleId="Version">
    <w:name w:val="Version"/>
    <w:rsid w:val="00A82F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2F33"/>
    <w:pPr>
      <w:keepNext w:val="0"/>
      <w:tabs>
        <w:tab w:val="right" w:pos="4176"/>
      </w:tabs>
      <w:ind w:left="198" w:hanging="198"/>
    </w:pPr>
    <w:rPr>
      <w:rFonts w:ascii="Garamond" w:hAnsi="Garamond"/>
    </w:rPr>
  </w:style>
  <w:style w:type="paragraph" w:styleId="IndexHeading">
    <w:name w:val="index heading"/>
    <w:basedOn w:val="Normal"/>
    <w:next w:val="Index1"/>
    <w:semiHidden/>
    <w:rsid w:val="00A82F33"/>
    <w:pPr>
      <w:spacing w:before="120" w:after="120"/>
    </w:pPr>
    <w:rPr>
      <w:rFonts w:ascii="Arial" w:hAnsi="Arial"/>
      <w:b/>
      <w:color w:val="918585"/>
      <w:sz w:val="24"/>
    </w:rPr>
  </w:style>
  <w:style w:type="paragraph" w:customStyle="1" w:styleId="Chapter">
    <w:name w:val="Chapter"/>
    <w:basedOn w:val="Normal"/>
    <w:rsid w:val="00A82F33"/>
    <w:pPr>
      <w:spacing w:before="240"/>
    </w:pPr>
    <w:rPr>
      <w:rFonts w:ascii="Times New Roman" w:hAnsi="Times New Roman"/>
      <w:smallCaps/>
      <w:spacing w:val="80"/>
      <w:sz w:val="28"/>
    </w:rPr>
  </w:style>
  <w:style w:type="paragraph" w:customStyle="1" w:styleId="InChapter">
    <w:name w:val="InChapter"/>
    <w:basedOn w:val="Heading3"/>
    <w:rsid w:val="00A82F33"/>
    <w:pPr>
      <w:spacing w:after="240"/>
      <w:outlineLvl w:val="9"/>
    </w:pPr>
    <w:rPr>
      <w:noProof/>
    </w:rPr>
  </w:style>
  <w:style w:type="paragraph" w:styleId="Index2">
    <w:name w:val="index 2"/>
    <w:basedOn w:val="Normal"/>
    <w:next w:val="Normal"/>
    <w:semiHidden/>
    <w:rsid w:val="00A82F33"/>
    <w:pPr>
      <w:tabs>
        <w:tab w:val="right" w:pos="4176"/>
      </w:tabs>
      <w:ind w:left="568" w:hanging="284"/>
    </w:pPr>
    <w:rPr>
      <w:rFonts w:ascii="Garamond" w:hAnsi="Garamond"/>
    </w:rPr>
  </w:style>
  <w:style w:type="paragraph" w:customStyle="1" w:styleId="Byline">
    <w:name w:val="Byline"/>
    <w:rsid w:val="00A82F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2F33"/>
    <w:pPr>
      <w:tabs>
        <w:tab w:val="clear" w:pos="3600"/>
        <w:tab w:val="clear" w:pos="3958"/>
      </w:tabs>
      <w:jc w:val="right"/>
    </w:pPr>
  </w:style>
  <w:style w:type="character" w:styleId="Emphasis">
    <w:name w:val="Emphasis"/>
    <w:basedOn w:val="DefaultParagraphFont"/>
    <w:qFormat/>
    <w:rsid w:val="00A82F33"/>
    <w:rPr>
      <w:i/>
    </w:rPr>
  </w:style>
  <w:style w:type="paragraph" w:styleId="Caption">
    <w:name w:val="caption"/>
    <w:basedOn w:val="BodyText"/>
    <w:next w:val="Normal"/>
    <w:qFormat/>
    <w:rsid w:val="00A82F33"/>
    <w:pPr>
      <w:framePr w:w="2268" w:hSpace="181" w:vSpace="181" w:wrap="around" w:vAnchor="text" w:hAnchor="page" w:x="1135" w:y="285" w:anchorLock="1"/>
    </w:pPr>
    <w:rPr>
      <w:i/>
    </w:rPr>
  </w:style>
  <w:style w:type="paragraph" w:customStyle="1" w:styleId="MiniTOCTitle">
    <w:name w:val="MiniTOCTitle"/>
    <w:basedOn w:val="Heading4"/>
    <w:rsid w:val="00A82F33"/>
    <w:pPr>
      <w:spacing w:before="240"/>
      <w:outlineLvl w:val="9"/>
    </w:pPr>
    <w:rPr>
      <w:noProof/>
      <w:sz w:val="24"/>
    </w:rPr>
  </w:style>
  <w:style w:type="paragraph" w:customStyle="1" w:styleId="MiniTOCItem">
    <w:name w:val="MiniTOCItem"/>
    <w:basedOn w:val="ListBullet"/>
    <w:rsid w:val="00A82F33"/>
    <w:pPr>
      <w:numPr>
        <w:numId w:val="0"/>
      </w:numPr>
      <w:tabs>
        <w:tab w:val="right" w:leader="dot" w:pos="6521"/>
      </w:tabs>
      <w:spacing w:before="0" w:after="0"/>
    </w:pPr>
  </w:style>
  <w:style w:type="paragraph" w:customStyle="1" w:styleId="TOFTitle">
    <w:name w:val="TOFTitle"/>
    <w:basedOn w:val="TOCTitle"/>
    <w:rsid w:val="00A82F33"/>
  </w:style>
  <w:style w:type="paragraph" w:styleId="TableofFigures">
    <w:name w:val="table of figures"/>
    <w:basedOn w:val="Normal"/>
    <w:next w:val="Normal"/>
    <w:semiHidden/>
    <w:rsid w:val="00A82F33"/>
    <w:pPr>
      <w:tabs>
        <w:tab w:val="right" w:leader="dot" w:pos="9072"/>
      </w:tabs>
      <w:ind w:left="970" w:hanging="403"/>
    </w:pPr>
    <w:rPr>
      <w:rFonts w:ascii="Times New Roman" w:hAnsi="Times New Roman"/>
      <w:b/>
    </w:rPr>
  </w:style>
  <w:style w:type="paragraph" w:styleId="ListNumber">
    <w:name w:val="List Number"/>
    <w:basedOn w:val="List"/>
    <w:rsid w:val="00A82F33"/>
    <w:pPr>
      <w:numPr>
        <w:numId w:val="11"/>
      </w:numPr>
    </w:pPr>
  </w:style>
  <w:style w:type="character" w:customStyle="1" w:styleId="WingdingSymbols">
    <w:name w:val="Wingding Symbols"/>
    <w:rsid w:val="00A82F33"/>
    <w:rPr>
      <w:rFonts w:ascii="Wingdings" w:hAnsi="Wingdings"/>
    </w:rPr>
  </w:style>
  <w:style w:type="paragraph" w:customStyle="1" w:styleId="TableHeading">
    <w:name w:val="Table Heading"/>
    <w:basedOn w:val="HeadingBase"/>
    <w:rsid w:val="00A82F33"/>
    <w:pPr>
      <w:keepLines/>
      <w:pBdr>
        <w:bottom w:val="single" w:sz="6" w:space="1" w:color="918585"/>
      </w:pBdr>
      <w:spacing w:before="240"/>
    </w:pPr>
  </w:style>
  <w:style w:type="character" w:customStyle="1" w:styleId="HotSpot">
    <w:name w:val="HotSpot"/>
    <w:rsid w:val="00A82F33"/>
    <w:rPr>
      <w:color w:val="0033CC"/>
      <w:u w:val="none"/>
    </w:rPr>
  </w:style>
  <w:style w:type="paragraph" w:customStyle="1" w:styleId="BodyTextRight">
    <w:name w:val="Body Text Right"/>
    <w:basedOn w:val="BodyText"/>
    <w:rsid w:val="00A82F33"/>
    <w:pPr>
      <w:spacing w:before="0" w:after="0"/>
      <w:jc w:val="right"/>
    </w:pPr>
  </w:style>
  <w:style w:type="paragraph" w:styleId="Index3">
    <w:name w:val="index 3"/>
    <w:basedOn w:val="ListNumber2"/>
    <w:next w:val="Normal"/>
    <w:semiHidden/>
    <w:rsid w:val="00A82F33"/>
    <w:pPr>
      <w:numPr>
        <w:numId w:val="0"/>
      </w:numPr>
      <w:tabs>
        <w:tab w:val="right" w:leader="dot" w:pos="4176"/>
      </w:tabs>
    </w:pPr>
  </w:style>
  <w:style w:type="paragraph" w:styleId="ListNumber2">
    <w:name w:val="List Number 2"/>
    <w:basedOn w:val="List2"/>
    <w:rsid w:val="00A82F33"/>
    <w:pPr>
      <w:numPr>
        <w:numId w:val="10"/>
      </w:numPr>
      <w:tabs>
        <w:tab w:val="clear" w:pos="1060"/>
      </w:tabs>
    </w:pPr>
  </w:style>
  <w:style w:type="paragraph" w:customStyle="1" w:styleId="MarginNote">
    <w:name w:val="Margin Note"/>
    <w:basedOn w:val="BodyText"/>
    <w:rsid w:val="00A82F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2F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2F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2F33"/>
    <w:rPr>
      <w:sz w:val="32"/>
    </w:rPr>
  </w:style>
  <w:style w:type="paragraph" w:customStyle="1" w:styleId="HeadingProcedure">
    <w:name w:val="Heading Procedure"/>
    <w:basedOn w:val="HeadingBase"/>
    <w:next w:val="Normal"/>
    <w:rsid w:val="00A82F33"/>
    <w:pPr>
      <w:tabs>
        <w:tab w:val="left" w:pos="0"/>
      </w:tabs>
      <w:spacing w:before="120" w:after="60"/>
    </w:pPr>
    <w:rPr>
      <w:i/>
      <w:color w:val="918585"/>
      <w:sz w:val="22"/>
    </w:rPr>
  </w:style>
  <w:style w:type="paragraph" w:customStyle="1" w:styleId="TableBodyText">
    <w:name w:val="Table Body Text"/>
    <w:basedOn w:val="BodyText"/>
    <w:rsid w:val="00A82F33"/>
    <w:pPr>
      <w:spacing w:before="60" w:after="60"/>
    </w:pPr>
  </w:style>
  <w:style w:type="paragraph" w:styleId="ListContinue">
    <w:name w:val="List Continue"/>
    <w:basedOn w:val="List"/>
    <w:rsid w:val="00A82F33"/>
    <w:pPr>
      <w:ind w:firstLine="0"/>
    </w:pPr>
  </w:style>
  <w:style w:type="paragraph" w:customStyle="1" w:styleId="ListNote">
    <w:name w:val="List Note"/>
    <w:basedOn w:val="List"/>
    <w:rsid w:val="00A82F33"/>
    <w:pPr>
      <w:pBdr>
        <w:top w:val="single" w:sz="6" w:space="2" w:color="918585"/>
        <w:bottom w:val="single" w:sz="6" w:space="2" w:color="918585"/>
      </w:pBdr>
      <w:tabs>
        <w:tab w:val="left" w:pos="1021"/>
      </w:tabs>
      <w:ind w:firstLine="0"/>
    </w:pPr>
  </w:style>
  <w:style w:type="paragraph" w:customStyle="1" w:styleId="Warning">
    <w:name w:val="Warning"/>
    <w:basedOn w:val="BodyText"/>
    <w:rsid w:val="00A82F33"/>
    <w:pPr>
      <w:shd w:val="clear" w:color="auto" w:fill="D9D9D9"/>
      <w:tabs>
        <w:tab w:val="left" w:pos="992"/>
      </w:tabs>
      <w:ind w:left="119" w:right="119"/>
    </w:pPr>
    <w:rPr>
      <w:sz w:val="20"/>
    </w:rPr>
  </w:style>
  <w:style w:type="paragraph" w:customStyle="1" w:styleId="MarginIcons">
    <w:name w:val="Margin Icons"/>
    <w:basedOn w:val="BodyText"/>
    <w:rsid w:val="00A82F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2F33"/>
    <w:rPr>
      <w:rFonts w:ascii="Courier New" w:hAnsi="Courier New"/>
    </w:rPr>
  </w:style>
  <w:style w:type="paragraph" w:customStyle="1" w:styleId="NoteBullet">
    <w:name w:val="Note Bullet"/>
    <w:basedOn w:val="Note"/>
    <w:rsid w:val="00A82F33"/>
    <w:pPr>
      <w:tabs>
        <w:tab w:val="clear" w:pos="680"/>
      </w:tabs>
      <w:spacing w:before="60" w:after="60"/>
    </w:pPr>
  </w:style>
  <w:style w:type="paragraph" w:customStyle="1" w:styleId="SubHeading2">
    <w:name w:val="SubHeading2"/>
    <w:basedOn w:val="HeadingBase"/>
    <w:rsid w:val="00A82F33"/>
    <w:pPr>
      <w:spacing w:before="240" w:after="60"/>
    </w:pPr>
    <w:rPr>
      <w:sz w:val="20"/>
    </w:rPr>
  </w:style>
  <w:style w:type="paragraph" w:customStyle="1" w:styleId="SubHeading1">
    <w:name w:val="SubHeading1"/>
    <w:basedOn w:val="HeadingBase"/>
    <w:rsid w:val="00A82F33"/>
    <w:pPr>
      <w:spacing w:before="240" w:after="60"/>
    </w:pPr>
    <w:rPr>
      <w:color w:val="918585"/>
      <w:sz w:val="22"/>
    </w:rPr>
  </w:style>
  <w:style w:type="paragraph" w:customStyle="1" w:styleId="SideHeading">
    <w:name w:val="Side Heading"/>
    <w:basedOn w:val="HeadingBase"/>
    <w:rsid w:val="00A82F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2F33"/>
    <w:pPr>
      <w:numPr>
        <w:numId w:val="12"/>
      </w:numPr>
    </w:pPr>
  </w:style>
  <w:style w:type="paragraph" w:styleId="PlainText">
    <w:name w:val="Plain Text"/>
    <w:basedOn w:val="Normal"/>
    <w:link w:val="PlainTextChar"/>
    <w:rsid w:val="00A82F33"/>
    <w:rPr>
      <w:sz w:val="20"/>
    </w:rPr>
  </w:style>
  <w:style w:type="character" w:customStyle="1" w:styleId="PlainTextChar">
    <w:name w:val="Plain Text Char"/>
    <w:basedOn w:val="DefaultParagraphFont"/>
    <w:link w:val="PlainText"/>
    <w:rsid w:val="00A82F3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82F33"/>
    <w:rPr>
      <w:b/>
      <w:smallCaps/>
    </w:rPr>
  </w:style>
  <w:style w:type="paragraph" w:customStyle="1" w:styleId="TableListNumber">
    <w:name w:val="Table List Number"/>
    <w:basedOn w:val="ListNumber"/>
    <w:rsid w:val="00A82F33"/>
    <w:pPr>
      <w:numPr>
        <w:numId w:val="0"/>
      </w:numPr>
    </w:pPr>
  </w:style>
  <w:style w:type="paragraph" w:styleId="TOC4">
    <w:name w:val="toc 4"/>
    <w:basedOn w:val="TOCBase"/>
    <w:next w:val="Normal"/>
    <w:semiHidden/>
    <w:rsid w:val="00A82F33"/>
    <w:pPr>
      <w:tabs>
        <w:tab w:val="right" w:leader="dot" w:pos="9071"/>
      </w:tabs>
      <w:ind w:left="1701"/>
    </w:pPr>
  </w:style>
  <w:style w:type="paragraph" w:customStyle="1" w:styleId="ListAlpha">
    <w:name w:val="List Alpha"/>
    <w:basedOn w:val="List"/>
    <w:rsid w:val="00A82F33"/>
    <w:pPr>
      <w:numPr>
        <w:numId w:val="9"/>
      </w:numPr>
    </w:pPr>
  </w:style>
  <w:style w:type="paragraph" w:customStyle="1" w:styleId="ListAlpha2">
    <w:name w:val="List Alpha 2"/>
    <w:basedOn w:val="List2"/>
    <w:rsid w:val="00A82F33"/>
    <w:pPr>
      <w:numPr>
        <w:numId w:val="8"/>
      </w:numPr>
    </w:pPr>
  </w:style>
  <w:style w:type="paragraph" w:styleId="List3">
    <w:name w:val="List 3"/>
    <w:basedOn w:val="BodyText"/>
    <w:rsid w:val="00A82F33"/>
    <w:pPr>
      <w:tabs>
        <w:tab w:val="left" w:pos="1021"/>
      </w:tabs>
      <w:spacing w:before="60" w:after="60"/>
      <w:ind w:left="1020" w:hanging="340"/>
    </w:pPr>
  </w:style>
  <w:style w:type="paragraph" w:styleId="List4">
    <w:name w:val="List 4"/>
    <w:basedOn w:val="BodyText"/>
    <w:rsid w:val="00A82F33"/>
    <w:pPr>
      <w:tabs>
        <w:tab w:val="left" w:pos="1361"/>
      </w:tabs>
      <w:spacing w:before="60" w:after="60"/>
      <w:ind w:left="1361" w:hanging="340"/>
    </w:pPr>
  </w:style>
  <w:style w:type="paragraph" w:styleId="List5">
    <w:name w:val="List 5"/>
    <w:basedOn w:val="BodyText"/>
    <w:rsid w:val="00A82F33"/>
    <w:pPr>
      <w:tabs>
        <w:tab w:val="left" w:pos="1701"/>
      </w:tabs>
      <w:spacing w:before="60" w:after="60"/>
      <w:ind w:left="1701" w:hanging="340"/>
    </w:pPr>
  </w:style>
  <w:style w:type="paragraph" w:styleId="ListBullet3">
    <w:name w:val="List Bullet 3"/>
    <w:basedOn w:val="List3"/>
    <w:rsid w:val="00A82F33"/>
    <w:pPr>
      <w:numPr>
        <w:numId w:val="15"/>
      </w:numPr>
      <w:tabs>
        <w:tab w:val="clear" w:pos="1021"/>
      </w:tabs>
      <w:ind w:left="1037" w:hanging="357"/>
    </w:pPr>
  </w:style>
  <w:style w:type="paragraph" w:styleId="ListBullet4">
    <w:name w:val="List Bullet 4"/>
    <w:basedOn w:val="List4"/>
    <w:rsid w:val="00A82F33"/>
    <w:pPr>
      <w:numPr>
        <w:numId w:val="3"/>
      </w:numPr>
    </w:pPr>
  </w:style>
  <w:style w:type="paragraph" w:styleId="ListBullet5">
    <w:name w:val="List Bullet 5"/>
    <w:basedOn w:val="List5"/>
    <w:rsid w:val="00A82F33"/>
    <w:pPr>
      <w:numPr>
        <w:numId w:val="4"/>
      </w:numPr>
    </w:pPr>
  </w:style>
  <w:style w:type="paragraph" w:styleId="ListContinue2">
    <w:name w:val="List Continue 2"/>
    <w:basedOn w:val="List2"/>
    <w:rsid w:val="00A82F33"/>
    <w:pPr>
      <w:ind w:firstLine="0"/>
    </w:pPr>
  </w:style>
  <w:style w:type="paragraph" w:styleId="ListContinue3">
    <w:name w:val="List Continue 3"/>
    <w:basedOn w:val="List3"/>
    <w:rsid w:val="00A82F33"/>
    <w:pPr>
      <w:ind w:left="1021" w:firstLine="0"/>
    </w:pPr>
  </w:style>
  <w:style w:type="paragraph" w:styleId="ListContinue4">
    <w:name w:val="List Continue 4"/>
    <w:basedOn w:val="List4"/>
    <w:rsid w:val="00A82F33"/>
    <w:pPr>
      <w:ind w:firstLine="0"/>
    </w:pPr>
  </w:style>
  <w:style w:type="paragraph" w:styleId="ListContinue5">
    <w:name w:val="List Continue 5"/>
    <w:basedOn w:val="List5"/>
    <w:rsid w:val="00A82F33"/>
    <w:pPr>
      <w:ind w:firstLine="0"/>
    </w:pPr>
  </w:style>
  <w:style w:type="paragraph" w:styleId="ListNumber3">
    <w:name w:val="List Number 3"/>
    <w:basedOn w:val="List3"/>
    <w:rsid w:val="00A82F33"/>
    <w:pPr>
      <w:numPr>
        <w:numId w:val="5"/>
      </w:numPr>
    </w:pPr>
  </w:style>
  <w:style w:type="paragraph" w:styleId="ListNumber4">
    <w:name w:val="List Number 4"/>
    <w:basedOn w:val="List4"/>
    <w:rsid w:val="00A82F33"/>
    <w:pPr>
      <w:numPr>
        <w:numId w:val="6"/>
      </w:numPr>
    </w:pPr>
  </w:style>
  <w:style w:type="paragraph" w:styleId="ListNumber5">
    <w:name w:val="List Number 5"/>
    <w:basedOn w:val="List5"/>
    <w:rsid w:val="00A82F33"/>
    <w:pPr>
      <w:numPr>
        <w:numId w:val="7"/>
      </w:numPr>
    </w:pPr>
  </w:style>
  <w:style w:type="paragraph" w:styleId="BlockText">
    <w:name w:val="Block Text"/>
    <w:basedOn w:val="Normal"/>
    <w:rsid w:val="00A82F33"/>
    <w:pPr>
      <w:spacing w:after="120"/>
      <w:ind w:left="1440" w:right="1440"/>
    </w:pPr>
  </w:style>
  <w:style w:type="character" w:customStyle="1" w:styleId="Subscript">
    <w:name w:val="Subscript"/>
    <w:basedOn w:val="DefaultParagraphFont"/>
    <w:rsid w:val="00A82F33"/>
    <w:rPr>
      <w:sz w:val="16"/>
      <w:vertAlign w:val="subscript"/>
    </w:rPr>
  </w:style>
  <w:style w:type="character" w:customStyle="1" w:styleId="Superscript">
    <w:name w:val="Superscript"/>
    <w:basedOn w:val="DefaultParagraphFont"/>
    <w:rsid w:val="00A82F33"/>
    <w:rPr>
      <w:sz w:val="16"/>
      <w:vertAlign w:val="superscript"/>
    </w:rPr>
  </w:style>
  <w:style w:type="character" w:customStyle="1" w:styleId="Symbols">
    <w:name w:val="Symbols"/>
    <w:basedOn w:val="DefaultParagraphFont"/>
    <w:rsid w:val="00A82F33"/>
    <w:rPr>
      <w:rFonts w:ascii="Symbol" w:hAnsi="Symbol"/>
    </w:rPr>
  </w:style>
  <w:style w:type="character" w:customStyle="1" w:styleId="MenuOptions">
    <w:name w:val="Menu Options"/>
    <w:basedOn w:val="DefaultParagraphFont"/>
    <w:rsid w:val="00A82F33"/>
    <w:rPr>
      <w:rFonts w:ascii="Arial Narrow" w:hAnsi="Arial Narrow"/>
      <w:smallCaps/>
    </w:rPr>
  </w:style>
  <w:style w:type="character" w:customStyle="1" w:styleId="Buttons">
    <w:name w:val="Buttons"/>
    <w:basedOn w:val="DefaultParagraphFont"/>
    <w:rsid w:val="00A82F33"/>
    <w:rPr>
      <w:b/>
    </w:rPr>
  </w:style>
  <w:style w:type="character" w:customStyle="1" w:styleId="Underlined">
    <w:name w:val="Underlined"/>
    <w:basedOn w:val="DefaultParagraphFont"/>
    <w:rsid w:val="00A82F33"/>
    <w:rPr>
      <w:u w:val="single"/>
    </w:rPr>
  </w:style>
  <w:style w:type="paragraph" w:customStyle="1" w:styleId="TableBodyTextRight">
    <w:name w:val="Table Body Text Right"/>
    <w:basedOn w:val="TableBodyText"/>
    <w:rsid w:val="00A82F33"/>
    <w:pPr>
      <w:widowControl w:val="0"/>
      <w:autoSpaceDE w:val="0"/>
      <w:autoSpaceDN w:val="0"/>
      <w:adjustRightInd w:val="0"/>
      <w:jc w:val="right"/>
    </w:pPr>
    <w:rPr>
      <w:rFonts w:cs="Arial"/>
      <w:szCs w:val="18"/>
    </w:rPr>
  </w:style>
  <w:style w:type="paragraph" w:customStyle="1" w:styleId="CopyrightText">
    <w:name w:val="Copyright Text"/>
    <w:basedOn w:val="BodyText"/>
    <w:rsid w:val="00A82F33"/>
    <w:rPr>
      <w:sz w:val="18"/>
    </w:rPr>
  </w:style>
  <w:style w:type="paragraph" w:customStyle="1" w:styleId="BodySmallRight">
    <w:name w:val="Body Small Right"/>
    <w:basedOn w:val="BodyTextRight"/>
    <w:rsid w:val="00A82F33"/>
    <w:rPr>
      <w:sz w:val="18"/>
      <w:szCs w:val="18"/>
    </w:rPr>
  </w:style>
  <w:style w:type="paragraph" w:customStyle="1" w:styleId="MarginEdition">
    <w:name w:val="Margin Edition"/>
    <w:basedOn w:val="MarginNote"/>
    <w:rsid w:val="00A82F33"/>
    <w:pPr>
      <w:spacing w:before="0" w:after="0"/>
    </w:pPr>
    <w:rPr>
      <w:rFonts w:ascii="Times New Roman" w:hAnsi="Times New Roman"/>
      <w:color w:val="999999"/>
    </w:rPr>
  </w:style>
  <w:style w:type="paragraph" w:customStyle="1" w:styleId="Spacer">
    <w:name w:val="Spacer"/>
    <w:basedOn w:val="Normal"/>
    <w:rsid w:val="00A82F33"/>
    <w:rPr>
      <w:sz w:val="2"/>
      <w:szCs w:val="2"/>
    </w:rPr>
  </w:style>
  <w:style w:type="character" w:customStyle="1" w:styleId="Small">
    <w:name w:val="Small"/>
    <w:basedOn w:val="DefaultParagraphFont"/>
    <w:rsid w:val="00A82F33"/>
    <w:rPr>
      <w:sz w:val="16"/>
    </w:rPr>
  </w:style>
  <w:style w:type="paragraph" w:customStyle="1" w:styleId="WideTable">
    <w:name w:val="Wide Table"/>
    <w:basedOn w:val="Normal"/>
    <w:rsid w:val="00A82F33"/>
    <w:pPr>
      <w:ind w:left="-1418"/>
    </w:pPr>
    <w:rPr>
      <w:sz w:val="2"/>
      <w:szCs w:val="2"/>
    </w:rPr>
  </w:style>
  <w:style w:type="character" w:styleId="PageNumber">
    <w:name w:val="page number"/>
    <w:basedOn w:val="DefaultParagraphFont"/>
    <w:rsid w:val="00A82F33"/>
  </w:style>
  <w:style w:type="paragraph" w:styleId="Quote">
    <w:name w:val="Quote"/>
    <w:basedOn w:val="Heading1"/>
    <w:link w:val="QuoteChar"/>
    <w:qFormat/>
    <w:rsid w:val="00A82F33"/>
    <w:rPr>
      <w:b w:val="0"/>
      <w:sz w:val="72"/>
      <w:szCs w:val="72"/>
      <w:lang w:val="en-NZ"/>
    </w:rPr>
  </w:style>
  <w:style w:type="character" w:customStyle="1" w:styleId="QuoteChar">
    <w:name w:val="Quote Char"/>
    <w:basedOn w:val="DefaultParagraphFont"/>
    <w:link w:val="Quote"/>
    <w:rsid w:val="00A82F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2F33"/>
    <w:pPr>
      <w:pageBreakBefore/>
    </w:pPr>
  </w:style>
  <w:style w:type="paragraph" w:customStyle="1" w:styleId="Border">
    <w:name w:val="Border"/>
    <w:basedOn w:val="Normal"/>
    <w:qFormat/>
    <w:rsid w:val="00A82F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2F33"/>
    <w:rPr>
      <w:b/>
      <w:bCs/>
      <w:i/>
      <w:iCs/>
      <w:color w:val="auto"/>
    </w:rPr>
  </w:style>
  <w:style w:type="paragraph" w:styleId="IntenseQuote">
    <w:name w:val="Intense Quote"/>
    <w:basedOn w:val="Normal"/>
    <w:next w:val="Normal"/>
    <w:link w:val="IntenseQuoteChar"/>
    <w:uiPriority w:val="30"/>
    <w:qFormat/>
    <w:rsid w:val="00A82F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2F3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82F33"/>
    <w:rPr>
      <w:smallCaps/>
      <w:color w:val="auto"/>
      <w:u w:val="single"/>
    </w:rPr>
  </w:style>
  <w:style w:type="character" w:styleId="IntenseReference">
    <w:name w:val="Intense Reference"/>
    <w:basedOn w:val="DefaultParagraphFont"/>
    <w:uiPriority w:val="32"/>
    <w:qFormat/>
    <w:rsid w:val="00A82F33"/>
    <w:rPr>
      <w:b/>
      <w:bCs/>
      <w:smallCaps/>
      <w:color w:val="auto"/>
      <w:spacing w:val="5"/>
      <w:u w:val="single"/>
    </w:rPr>
  </w:style>
  <w:style w:type="paragraph" w:customStyle="1" w:styleId="2ColumnHeading">
    <w:name w:val="2Column Heading"/>
    <w:basedOn w:val="BodyText"/>
    <w:qFormat/>
    <w:rsid w:val="00A82F33"/>
    <w:pPr>
      <w:spacing w:after="60"/>
      <w:ind w:left="-2268"/>
    </w:pPr>
    <w:rPr>
      <w:b/>
    </w:rPr>
  </w:style>
  <w:style w:type="paragraph" w:customStyle="1" w:styleId="Heading1TOC">
    <w:name w:val="Heading1 TOC"/>
    <w:basedOn w:val="Normal"/>
    <w:qFormat/>
    <w:rsid w:val="00A82F33"/>
    <w:pPr>
      <w:spacing w:before="240" w:after="120"/>
    </w:pPr>
    <w:rPr>
      <w:rFonts w:ascii="Times New Roman" w:hAnsi="Times New Roman"/>
      <w:b/>
      <w:sz w:val="32"/>
    </w:rPr>
  </w:style>
  <w:style w:type="paragraph" w:customStyle="1" w:styleId="Heading2TOC">
    <w:name w:val="Heading2 TOC"/>
    <w:basedOn w:val="Normal"/>
    <w:qFormat/>
    <w:rsid w:val="00A82F33"/>
    <w:pPr>
      <w:spacing w:before="240" w:after="60"/>
    </w:pPr>
    <w:rPr>
      <w:rFonts w:ascii="Times New Roman" w:hAnsi="Times New Roman"/>
      <w:b/>
      <w:sz w:val="28"/>
    </w:rPr>
  </w:style>
  <w:style w:type="character" w:customStyle="1" w:styleId="Underline">
    <w:name w:val="Underline"/>
    <w:basedOn w:val="DefaultParagraphFont"/>
    <w:qFormat/>
    <w:rsid w:val="00A82F33"/>
    <w:rPr>
      <w:u w:val="single"/>
    </w:rPr>
  </w:style>
  <w:style w:type="paragraph" w:styleId="BalloonText">
    <w:name w:val="Balloon Text"/>
    <w:basedOn w:val="Normal"/>
    <w:link w:val="BalloonTextChar"/>
    <w:rsid w:val="00A82F33"/>
    <w:rPr>
      <w:rFonts w:ascii="Tahoma" w:hAnsi="Tahoma" w:cs="Tahoma"/>
      <w:sz w:val="16"/>
      <w:szCs w:val="16"/>
    </w:rPr>
  </w:style>
  <w:style w:type="character" w:customStyle="1" w:styleId="BalloonTextChar">
    <w:name w:val="Balloon Text Char"/>
    <w:basedOn w:val="DefaultParagraphFont"/>
    <w:link w:val="BalloonText"/>
    <w:rsid w:val="00A82F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2F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2F3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1509</Words>
  <Characters>9534</Characters>
  <Application>Microsoft Office Word</Application>
  <DocSecurity>0</DocSecurity>
  <Lines>360</Lines>
  <Paragraphs>173</Paragraphs>
  <ScaleCrop>false</ScaleCrop>
  <Company>Author-it Software Corporation Ltd.</Company>
  <LinksUpToDate>false</LinksUpToDate>
  <CharactersWithSpaces>10964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FNSFLT204A Develop understanding of superannuation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2012-05-26T16:16:00Z</dcterms:created>
  <dcterms:modified xsi:type="dcterms:W3CDTF">2012-05-26T16:16:00Z</dcterms:modified>
</cp:coreProperties>
</file>