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C40" w:rsidP="00783C40">
      <w:pPr>
        <w:pStyle w:val="Title"/>
      </w:pPr>
      <w:r>
        <w:fldChar w:fldCharType="begin"/>
      </w:r>
      <w:r>
        <w:instrText xml:space="preserve"> TITLE   \* MERGEFORMAT </w:instrText>
      </w:r>
      <w:r>
        <w:fldChar w:fldCharType="separate"/>
      </w:r>
      <w:r>
        <w:t>FNSFLT203A Develop understanding of debt and consumer credit</w:t>
      </w:r>
      <w:r>
        <w:fldChar w:fldCharType="end"/>
      </w:r>
    </w:p>
    <w:p w:rsidR="00783C40" w:rsidP="00783C40">
      <w:pPr>
        <w:pStyle w:val="Version"/>
        <w:sectPr w:rsidSect="005F67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677E" w:rsidP="005F677E">
      <w:pPr>
        <w:pStyle w:val="SuperHeading"/>
      </w:pPr>
      <w:r w:rsidRPr="005F677E">
        <w:t>FNSFLT203A Develop understanding of debt and consumer credit</w:t>
      </w:r>
    </w:p>
    <w:p w:rsidR="00000000" w:rsidRPr="005F677E" w:rsidP="005F677E">
      <w:pPr>
        <w:pStyle w:val="SuperHeading"/>
      </w:pPr>
    </w:p>
    <w:p w:rsidR="00000000" w:rsidRPr="005F677E" w:rsidP="005F677E">
      <w:pPr>
        <w:pStyle w:val="Heading1"/>
      </w:pPr>
      <w:bookmarkStart w:id="1" w:name="O_78135"/>
      <w:bookmarkEnd w:id="1"/>
      <w:r w:rsidRPr="005F677E">
        <w:t>Modification History</w:t>
      </w:r>
    </w:p>
    <w:p w:rsidR="00000000" w:rsidRPr="005F677E" w:rsidP="005F677E">
      <w:pPr>
        <w:pStyle w:val="BodyText"/>
      </w:pPr>
      <w:r w:rsidRPr="005F677E">
        <w:t>Not applicable.</w:t>
      </w:r>
    </w:p>
    <w:p w:rsidR="00000000" w:rsidRPr="005F677E" w:rsidP="005F677E">
      <w:pPr>
        <w:pStyle w:val="AllowPageBreak"/>
      </w:pPr>
    </w:p>
    <w:p w:rsidR="00000000" w:rsidRPr="005F677E" w:rsidP="005F677E">
      <w:pPr>
        <w:pStyle w:val="Heading1"/>
      </w:pPr>
      <w:bookmarkStart w:id="2" w:name="O_78136"/>
      <w:bookmarkEnd w:id="2"/>
      <w:r w:rsidRPr="005F677E">
        <w:t>Unit Descriptor</w:t>
      </w:r>
    </w:p>
    <w:tbl>
      <w:tblPr>
        <w:tblW w:w="0" w:type="auto"/>
        <w:tblLayout w:type="fixed"/>
        <w:tblCellMar>
          <w:left w:w="62" w:type="dxa"/>
          <w:right w:w="62" w:type="dxa"/>
        </w:tblCellMar>
        <w:tblLook w:val="0000"/>
      </w:tblPr>
      <w:tblGrid>
        <w:gridCol w:w="2646"/>
        <w:gridCol w:w="5876"/>
      </w:tblGrid>
      <w:tr w:rsidTr="00783C40">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BodyText"/>
            </w:pPr>
            <w:r w:rsidRPr="005F677E">
              <w:t>This unit describes the performance outcomes, skills and knowledge required to understand th</w:t>
            </w:r>
            <w:r w:rsidRPr="005F677E">
              <w:t>e functions and implications of different forms of credit and the strategies and methods to make appropriate and effective decisions regarding the management of personal debt and the use of credit facilities.</w:t>
            </w:r>
          </w:p>
          <w:p w:rsidR="00000000" w:rsidRPr="005F677E" w:rsidP="005F677E">
            <w:pPr>
              <w:pStyle w:val="BodyText"/>
            </w:pPr>
          </w:p>
          <w:p w:rsidR="00000000" w:rsidRPr="005F677E" w:rsidP="005F677E">
            <w:pPr>
              <w:pStyle w:val="BodyText"/>
            </w:pPr>
            <w:r w:rsidRPr="005F677E">
              <w:t>No licensing, legislative, regulatory or certi</w:t>
            </w:r>
            <w:r w:rsidRPr="005F677E">
              <w:t>fication requirements apply to this unit at the time of endorsement.</w:t>
            </w:r>
          </w:p>
        </w:tc>
      </w:tr>
    </w:tbl>
    <w:p w:rsidR="00000000" w:rsidRPr="005F677E" w:rsidP="005F677E">
      <w:pPr>
        <w:pStyle w:val="BodyText"/>
      </w:pPr>
    </w:p>
    <w:p w:rsidR="00000000" w:rsidRPr="005F677E" w:rsidP="005F677E">
      <w:pPr>
        <w:pStyle w:val="AllowPageBreak"/>
      </w:pPr>
    </w:p>
    <w:p w:rsidR="00000000" w:rsidRPr="005F677E" w:rsidP="005F677E">
      <w:pPr>
        <w:pStyle w:val="Heading1"/>
      </w:pPr>
      <w:bookmarkStart w:id="3" w:name="O_78137"/>
      <w:bookmarkEnd w:id="3"/>
      <w:r w:rsidRPr="005F677E">
        <w:t>Application of the Unit</w:t>
      </w:r>
    </w:p>
    <w:tbl>
      <w:tblPr>
        <w:tblW w:w="0" w:type="auto"/>
        <w:tblLayout w:type="fixed"/>
        <w:tblCellMar>
          <w:left w:w="62" w:type="dxa"/>
          <w:right w:w="62" w:type="dxa"/>
        </w:tblCellMar>
        <w:tblLook w:val="0000"/>
      </w:tblPr>
      <w:tblGrid>
        <w:gridCol w:w="2719"/>
        <w:gridCol w:w="5803"/>
      </w:tblGrid>
      <w:tr w:rsidTr="00783C40">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Application of the unit</w:t>
            </w:r>
          </w:p>
        </w:tc>
        <w:tc>
          <w:tcPr>
            <w:tcW w:w="5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BodyText"/>
            </w:pPr>
            <w:r w:rsidRPr="005F677E">
              <w:t>This unit has wide application and may be used in workplaces, schools, adult and community learning organisations or registered training organisations in order to build the financial literacy of learners. The unit may also be used as part of pre-vocational</w:t>
            </w:r>
            <w:r w:rsidRPr="005F677E">
              <w:t xml:space="preserve"> or new apprenticeship programs or as part of services provided by counselling or advisory organisations.</w:t>
            </w:r>
          </w:p>
        </w:tc>
      </w:tr>
    </w:tbl>
    <w:p w:rsidR="00000000" w:rsidRPr="005F677E" w:rsidP="005F677E">
      <w:pPr>
        <w:pStyle w:val="BodyText"/>
      </w:pPr>
    </w:p>
    <w:p w:rsidR="00000000" w:rsidRPr="005F677E" w:rsidP="005F677E">
      <w:pPr>
        <w:pStyle w:val="AllowPageBreak"/>
      </w:pPr>
    </w:p>
    <w:p w:rsidR="00000000" w:rsidRPr="005F677E" w:rsidP="005F677E">
      <w:pPr>
        <w:pStyle w:val="Heading1"/>
      </w:pPr>
      <w:bookmarkStart w:id="4" w:name="O_78138"/>
      <w:bookmarkEnd w:id="4"/>
      <w:r w:rsidRPr="005F677E">
        <w:t>Licensing/Regulatory Information</w:t>
      </w:r>
    </w:p>
    <w:p w:rsidR="00000000" w:rsidRPr="005F677E" w:rsidP="005F677E">
      <w:pPr>
        <w:pStyle w:val="BodyText"/>
      </w:pPr>
      <w:r w:rsidRPr="005F677E">
        <w:t>Not applicable.</w:t>
      </w:r>
    </w:p>
    <w:p w:rsidR="00000000" w:rsidRPr="005F677E" w:rsidP="005F677E">
      <w:pPr>
        <w:pStyle w:val="AllowPageBreak"/>
      </w:pPr>
    </w:p>
    <w:p w:rsidR="00000000" w:rsidRPr="005F677E" w:rsidP="005F677E">
      <w:pPr>
        <w:pStyle w:val="Heading1"/>
      </w:pPr>
      <w:bookmarkStart w:id="5" w:name="O_78140"/>
      <w:bookmarkEnd w:id="5"/>
      <w:r w:rsidRPr="005F677E">
        <w:t>Pre-Requisites</w:t>
      </w:r>
    </w:p>
    <w:tbl>
      <w:tblPr>
        <w:tblW w:w="0" w:type="auto"/>
        <w:tblLayout w:type="fixed"/>
        <w:tblCellMar>
          <w:left w:w="62" w:type="dxa"/>
          <w:right w:w="62" w:type="dxa"/>
        </w:tblCellMar>
        <w:tblLook w:val="0000"/>
      </w:tblPr>
      <w:tblGrid>
        <w:gridCol w:w="2745"/>
        <w:gridCol w:w="1301"/>
        <w:gridCol w:w="4476"/>
      </w:tblGrid>
      <w:tr w:rsidTr="00783C4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p>
        </w:tc>
      </w:tr>
      <w:tr w:rsidTr="00783C4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p>
        </w:tc>
      </w:tr>
      <w:tr w:rsidTr="00783C4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BodyText"/>
            </w:pPr>
          </w:p>
        </w:tc>
      </w:tr>
    </w:tbl>
    <w:p w:rsidR="00000000" w:rsidRPr="005F677E" w:rsidP="005F677E">
      <w:pPr>
        <w:pStyle w:val="BodyText"/>
      </w:pPr>
    </w:p>
    <w:p w:rsidR="00000000" w:rsidRPr="005F677E" w:rsidP="005F677E">
      <w:pPr>
        <w:pStyle w:val="AllowPageBreak"/>
      </w:pPr>
    </w:p>
    <w:p w:rsidR="00000000" w:rsidRPr="005F677E" w:rsidP="005F677E">
      <w:pPr>
        <w:pStyle w:val="Heading1"/>
      </w:pPr>
      <w:bookmarkStart w:id="6" w:name="O_78139"/>
      <w:bookmarkEnd w:id="6"/>
      <w:r w:rsidRPr="005F677E">
        <w:t>Employability Skills Information</w:t>
      </w:r>
    </w:p>
    <w:tbl>
      <w:tblPr>
        <w:tblW w:w="0" w:type="auto"/>
        <w:tblLayout w:type="fixed"/>
        <w:tblCellMar>
          <w:left w:w="62" w:type="dxa"/>
          <w:right w:w="62" w:type="dxa"/>
        </w:tblCellMar>
        <w:tblLook w:val="0000"/>
      </w:tblPr>
      <w:tblGrid>
        <w:gridCol w:w="2762"/>
        <w:gridCol w:w="5760"/>
      </w:tblGrid>
      <w:tr w:rsidTr="00783C4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BodyText"/>
            </w:pPr>
            <w:r w:rsidRPr="005F677E">
              <w:t>This unit contains employability skills.</w:t>
            </w:r>
          </w:p>
        </w:tc>
      </w:tr>
    </w:tbl>
    <w:p w:rsidR="00000000" w:rsidRPr="005F677E" w:rsidP="005F677E">
      <w:pPr>
        <w:pStyle w:val="BodyText"/>
      </w:pPr>
    </w:p>
    <w:p w:rsidR="00000000" w:rsidRPr="005F677E" w:rsidP="005F677E">
      <w:pPr>
        <w:pStyle w:val="AllowPageBreak"/>
      </w:pPr>
    </w:p>
    <w:p w:rsidR="00000000" w:rsidRPr="005F677E" w:rsidP="005F677E">
      <w:pPr>
        <w:pStyle w:val="Heading1"/>
      </w:pPr>
      <w:bookmarkStart w:id="7" w:name="O_78141"/>
      <w:bookmarkEnd w:id="7"/>
      <w:r w:rsidRPr="005F677E">
        <w:t>Elements and Performance Criteria Pre-Content</w:t>
      </w:r>
    </w:p>
    <w:tbl>
      <w:tblPr>
        <w:tblW w:w="0" w:type="auto"/>
        <w:tblLayout w:type="fixed"/>
        <w:tblCellMar>
          <w:left w:w="62" w:type="dxa"/>
          <w:right w:w="62" w:type="dxa"/>
        </w:tblCellMar>
        <w:tblLook w:val="0000"/>
      </w:tblPr>
      <w:tblGrid>
        <w:gridCol w:w="2536"/>
        <w:gridCol w:w="5986"/>
      </w:tblGrid>
      <w:tr w:rsidTr="00783C4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BodyText"/>
            </w:pPr>
            <w:r w:rsidRPr="005F677E">
              <w:t>Performance criteria describe the performance needed to demonstrate achievement of the element. Where bold italicised text is used, further information is detailed in the required skills and knowledge section and the range statement. Assessment of performa</w:t>
            </w:r>
            <w:r w:rsidRPr="005F677E">
              <w:t>nce is to be consistent with the evidence guide.</w:t>
            </w:r>
          </w:p>
        </w:tc>
      </w:tr>
    </w:tbl>
    <w:p w:rsidR="00000000" w:rsidRPr="005F677E" w:rsidP="005F677E">
      <w:pPr>
        <w:pStyle w:val="BodyText"/>
      </w:pPr>
    </w:p>
    <w:p w:rsidR="00000000" w:rsidRPr="005F677E" w:rsidP="005F677E">
      <w:pPr>
        <w:pStyle w:val="AllowPageBreak"/>
      </w:pPr>
    </w:p>
    <w:p w:rsidR="00000000" w:rsidRPr="005F677E" w:rsidP="005F677E">
      <w:pPr>
        <w:pStyle w:val="Heading1"/>
      </w:pPr>
      <w:bookmarkStart w:id="8" w:name="O_78142"/>
      <w:bookmarkEnd w:id="8"/>
      <w:r w:rsidRPr="005F677E">
        <w:t>Elements and Performance Criteria</w:t>
      </w:r>
    </w:p>
    <w:tbl>
      <w:tblPr>
        <w:tblW w:w="0" w:type="auto"/>
        <w:tblLayout w:type="fixed"/>
        <w:tblCellMar>
          <w:left w:w="62" w:type="dxa"/>
          <w:right w:w="62" w:type="dxa"/>
        </w:tblCellMar>
        <w:tblLook w:val="0000"/>
      </w:tblPr>
      <w:tblGrid>
        <w:gridCol w:w="2536"/>
        <w:gridCol w:w="5986"/>
      </w:tblGrid>
      <w:tr w:rsidTr="00783C40">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BodyText"/>
            </w:pPr>
            <w:r w:rsidRPr="005F677E">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PERFORMANCE CRITERIA</w:t>
            </w:r>
          </w:p>
        </w:tc>
      </w:tr>
      <w:tr w:rsidTr="00783C4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List"/>
              <w:rPr>
                <w:lang w:val="en-NZ"/>
              </w:rPr>
            </w:pPr>
            <w:r w:rsidRPr="005F677E">
              <w:t>1.</w:t>
            </w:r>
            <w:r w:rsidRPr="005F677E">
              <w:tab/>
              <w:t>Identify and discuss the role of credit in society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2"/>
            </w:pPr>
            <w:r w:rsidRPr="005F677E">
              <w:t>1.1.</w:t>
            </w:r>
            <w:r w:rsidRPr="005F677E">
              <w:tab/>
            </w:r>
            <w:r w:rsidRPr="005F677E">
              <w:t>The concepts and terminology of credit provided by a financial institute and debt incurred by a borrower are analysed and discussed</w:t>
            </w:r>
          </w:p>
          <w:p w:rsidR="00000000" w:rsidRPr="005F677E" w:rsidP="005F677E">
            <w:pPr>
              <w:pStyle w:val="List2"/>
            </w:pPr>
            <w:r w:rsidRPr="005F677E">
              <w:t>1.2.</w:t>
            </w:r>
            <w:r w:rsidRPr="005F677E">
              <w:tab/>
              <w:t xml:space="preserve">The historical and current </w:t>
            </w:r>
            <w:r w:rsidRPr="005F677E">
              <w:rPr>
                <w:rStyle w:val="BoldandItalics"/>
              </w:rPr>
              <w:t>role of consumer credit</w:t>
            </w:r>
            <w:r w:rsidRPr="005F677E">
              <w:t xml:space="preserve"> within Australian society is identified and </w:t>
            </w:r>
            <w:r w:rsidRPr="005F677E">
              <w:rPr>
                <w:rStyle w:val="BoldandItalics"/>
              </w:rPr>
              <w:t>advantages and disadvant</w:t>
            </w:r>
            <w:r w:rsidRPr="005F677E">
              <w:rPr>
                <w:rStyle w:val="BoldandItalics"/>
              </w:rPr>
              <w:t>ages of credit</w:t>
            </w:r>
            <w:r w:rsidRPr="005F677E">
              <w:t xml:space="preserve"> use are analysed and discussed</w:t>
            </w:r>
          </w:p>
          <w:p w:rsidR="00000000" w:rsidP="005F677E">
            <w:pPr>
              <w:pStyle w:val="List2"/>
              <w:rPr>
                <w:lang w:val="en-NZ"/>
              </w:rPr>
            </w:pPr>
            <w:r w:rsidRPr="005F677E">
              <w:t>1.3.</w:t>
            </w:r>
            <w:r w:rsidRPr="005F677E">
              <w:tab/>
              <w:t>The impact of consumer debt on the national economy is analysed and discussed</w:t>
            </w:r>
          </w:p>
        </w:tc>
      </w:tr>
      <w:tr w:rsidTr="00783C4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List"/>
              <w:rPr>
                <w:lang w:val="en-NZ"/>
              </w:rPr>
            </w:pPr>
            <w:r w:rsidRPr="005F677E">
              <w:t>2.</w:t>
            </w:r>
            <w:r w:rsidRPr="005F677E">
              <w:tab/>
              <w:t>Identify and discuss the range of credit options available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2"/>
            </w:pPr>
            <w:r w:rsidRPr="005F677E">
              <w:t>2.1.</w:t>
            </w:r>
            <w:r w:rsidRPr="005F677E">
              <w:tab/>
              <w:t xml:space="preserve">Types of </w:t>
            </w:r>
            <w:r w:rsidRPr="005F677E">
              <w:rPr>
                <w:rStyle w:val="BoldandItalics"/>
              </w:rPr>
              <w:t>credit facilities</w:t>
            </w:r>
            <w:r w:rsidRPr="005F677E">
              <w:t xml:space="preserve"> used by businesses are analysed </w:t>
            </w:r>
            <w:r w:rsidRPr="005F677E">
              <w:t>and compared</w:t>
            </w:r>
          </w:p>
          <w:p w:rsidR="00000000" w:rsidRPr="005F677E" w:rsidP="005F677E">
            <w:pPr>
              <w:pStyle w:val="List2"/>
            </w:pPr>
            <w:r w:rsidRPr="005F677E">
              <w:t>2.2.</w:t>
            </w:r>
            <w:r w:rsidRPr="005F677E">
              <w:tab/>
              <w:t>Types of credit facilities used by individuals are analysed and compared</w:t>
            </w:r>
          </w:p>
          <w:p w:rsidR="00000000" w:rsidRPr="005F677E" w:rsidP="005F677E">
            <w:pPr>
              <w:pStyle w:val="List2"/>
            </w:pPr>
            <w:r w:rsidRPr="005F677E">
              <w:t>2.3.</w:t>
            </w:r>
            <w:r w:rsidRPr="005F677E">
              <w:tab/>
            </w:r>
            <w:r w:rsidRPr="005F677E">
              <w:rPr>
                <w:rStyle w:val="BoldandItalics"/>
              </w:rPr>
              <w:t>Differences between unsecured and secured loans</w:t>
            </w:r>
            <w:r w:rsidRPr="005F677E">
              <w:t xml:space="preserve"> are analysed and discussed</w:t>
            </w:r>
          </w:p>
          <w:p w:rsidR="00000000" w:rsidP="005F677E">
            <w:pPr>
              <w:pStyle w:val="List2"/>
              <w:rPr>
                <w:lang w:val="en-NZ"/>
              </w:rPr>
            </w:pPr>
            <w:r w:rsidRPr="005F677E">
              <w:t>2.4.</w:t>
            </w:r>
            <w:r w:rsidRPr="005F677E">
              <w:tab/>
            </w:r>
            <w:r w:rsidRPr="005F677E">
              <w:rPr>
                <w:rStyle w:val="BoldandItalics"/>
              </w:rPr>
              <w:t>Implications of default</w:t>
            </w:r>
            <w:r w:rsidRPr="005F677E">
              <w:t xml:space="preserve"> on secured loans are explained to the client</w:t>
            </w:r>
          </w:p>
        </w:tc>
      </w:tr>
      <w:tr w:rsidTr="00783C4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List"/>
              <w:rPr>
                <w:lang w:val="en-NZ"/>
              </w:rPr>
            </w:pPr>
            <w:r w:rsidRPr="005F677E">
              <w:t>3.</w:t>
            </w:r>
            <w:r w:rsidRPr="005F677E">
              <w:tab/>
              <w:t>Identif</w:t>
            </w:r>
            <w:r w:rsidRPr="005F677E">
              <w:t>y and discuss costs of using credit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2"/>
            </w:pPr>
            <w:r w:rsidRPr="005F677E">
              <w:t>3.1.</w:t>
            </w:r>
            <w:r w:rsidRPr="005F677E">
              <w:tab/>
            </w:r>
            <w:r w:rsidRPr="005F677E">
              <w:rPr>
                <w:rStyle w:val="BoldandItalics"/>
              </w:rPr>
              <w:t>Fees and costs</w:t>
            </w:r>
            <w:r w:rsidRPr="005F677E">
              <w:t xml:space="preserve"> associated with different types of credit options are </w:t>
            </w:r>
            <w:r w:rsidRPr="005F677E">
              <w:rPr>
                <w:rStyle w:val="BoldandItalics"/>
              </w:rPr>
              <w:t>analysed and compared</w:t>
            </w:r>
          </w:p>
          <w:p w:rsidR="00000000" w:rsidRPr="005F677E" w:rsidP="005F677E">
            <w:pPr>
              <w:pStyle w:val="List2"/>
            </w:pPr>
            <w:r w:rsidRPr="005F677E">
              <w:t>3.2.</w:t>
            </w:r>
            <w:r w:rsidRPr="005F677E">
              <w:tab/>
              <w:t>The features and associated risks of fixed versus variable interest rates are analysed and compared</w:t>
            </w:r>
          </w:p>
          <w:p w:rsidR="00000000" w:rsidP="005F677E">
            <w:pPr>
              <w:pStyle w:val="List2"/>
              <w:rPr>
                <w:lang w:val="en-NZ"/>
              </w:rPr>
            </w:pPr>
            <w:r w:rsidRPr="005F677E">
              <w:t>3.3.</w:t>
            </w:r>
            <w:r w:rsidRPr="005F677E">
              <w:tab/>
            </w:r>
            <w:r w:rsidRPr="005F677E">
              <w:rPr>
                <w:rStyle w:val="BoldandItalics"/>
              </w:rPr>
              <w:t>Ways to compare advertised interest rates</w:t>
            </w:r>
            <w:r w:rsidRPr="005F677E">
              <w:t xml:space="preserve"> and the effects of fees and charges are analysed and discussed</w:t>
            </w:r>
          </w:p>
        </w:tc>
      </w:tr>
      <w:tr w:rsidTr="00783C4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List"/>
              <w:rPr>
                <w:lang w:val="en-NZ"/>
              </w:rPr>
            </w:pPr>
            <w:r w:rsidRPr="005F677E">
              <w:t>4.</w:t>
            </w:r>
            <w:r w:rsidRPr="005F677E">
              <w:tab/>
              <w:t>Analyse and discuss the effective use of consumer credit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2"/>
            </w:pPr>
            <w:r w:rsidRPr="005F677E">
              <w:t>4.1.</w:t>
            </w:r>
            <w:r w:rsidRPr="005F677E">
              <w:tab/>
              <w:t>Ways to avoid excessive or unmanageable debt are analysed and discussed</w:t>
            </w:r>
          </w:p>
          <w:p w:rsidR="00000000" w:rsidRPr="005F677E" w:rsidP="005F677E">
            <w:pPr>
              <w:pStyle w:val="List2"/>
            </w:pPr>
            <w:r w:rsidRPr="005F677E">
              <w:t>4.2.</w:t>
            </w:r>
            <w:r w:rsidRPr="005F677E">
              <w:tab/>
            </w:r>
            <w:r w:rsidRPr="005F677E">
              <w:rPr>
                <w:rStyle w:val="BoldandItalics"/>
              </w:rPr>
              <w:t>Strategi</w:t>
            </w:r>
            <w:r w:rsidRPr="005F677E">
              <w:rPr>
                <w:rStyle w:val="BoldandItalics"/>
              </w:rPr>
              <w:t>es to minimise fees</w:t>
            </w:r>
            <w:r w:rsidRPr="005F677E">
              <w:t xml:space="preserve"> on credit are identified and discussed</w:t>
            </w:r>
          </w:p>
          <w:p w:rsidR="00000000" w:rsidRPr="005F677E" w:rsidP="005F677E">
            <w:pPr>
              <w:pStyle w:val="List2"/>
            </w:pPr>
            <w:r w:rsidRPr="005F677E">
              <w:t>4.3.</w:t>
            </w:r>
            <w:r w:rsidRPr="005F677E">
              <w:tab/>
              <w:t>The importance of meeting minimum payments on credit cards is analysed and discussed</w:t>
            </w:r>
          </w:p>
          <w:p w:rsidR="00000000" w:rsidP="005F677E">
            <w:pPr>
              <w:pStyle w:val="List2"/>
              <w:rPr>
                <w:lang w:val="en-NZ"/>
              </w:rPr>
            </w:pPr>
            <w:r w:rsidRPr="005F677E">
              <w:t>4.4.</w:t>
            </w:r>
            <w:r w:rsidRPr="005F677E">
              <w:tab/>
            </w:r>
            <w:r w:rsidRPr="005F677E">
              <w:rPr>
                <w:rStyle w:val="BoldandItalics"/>
              </w:rPr>
              <w:t>Ways to avoid credit card fraud</w:t>
            </w:r>
            <w:r w:rsidRPr="005F677E">
              <w:t xml:space="preserve"> are identified, analysed and discussed</w:t>
            </w:r>
          </w:p>
        </w:tc>
      </w:tr>
      <w:tr w:rsidTr="00783C4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List"/>
              <w:rPr>
                <w:lang w:val="en-NZ"/>
              </w:rPr>
            </w:pPr>
            <w:r w:rsidRPr="005F677E">
              <w:t>5.</w:t>
            </w:r>
            <w:r w:rsidRPr="005F677E">
              <w:tab/>
              <w:t>Manage personal credit rati</w:t>
            </w:r>
            <w:r w:rsidRPr="005F677E">
              <w:t>ng and history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2"/>
            </w:pPr>
            <w:r w:rsidRPr="005F677E">
              <w:t>5.1.</w:t>
            </w:r>
            <w:r w:rsidRPr="005F677E">
              <w:tab/>
              <w:t>The role of credit reference agencies is analysed and discussed</w:t>
            </w:r>
          </w:p>
          <w:p w:rsidR="00000000" w:rsidRPr="005F677E" w:rsidP="005F677E">
            <w:pPr>
              <w:pStyle w:val="List2"/>
            </w:pPr>
            <w:r w:rsidRPr="005F677E">
              <w:t>5.2.</w:t>
            </w:r>
            <w:r w:rsidRPr="005F677E">
              <w:tab/>
              <w:t xml:space="preserve">The purpose and use of </w:t>
            </w:r>
            <w:r w:rsidRPr="005F677E">
              <w:rPr>
                <w:rStyle w:val="BoldandItalics"/>
              </w:rPr>
              <w:t>credit reference reports</w:t>
            </w:r>
            <w:r w:rsidRPr="005F677E">
              <w:t xml:space="preserve"> in assessing loan applications is analysed and discussed</w:t>
            </w:r>
          </w:p>
          <w:p w:rsidR="00000000" w:rsidRPr="005F677E" w:rsidP="005F677E">
            <w:pPr>
              <w:pStyle w:val="List2"/>
            </w:pPr>
            <w:r w:rsidRPr="005F677E">
              <w:t>5.3.</w:t>
            </w:r>
            <w:r w:rsidRPr="005F677E">
              <w:tab/>
            </w:r>
            <w:r w:rsidRPr="005F677E">
              <w:rPr>
                <w:rStyle w:val="BoldandItalics"/>
              </w:rPr>
              <w:t>Implications of establishing a poor credit history</w:t>
            </w:r>
            <w:r w:rsidRPr="005F677E">
              <w:t xml:space="preserve"> are an</w:t>
            </w:r>
            <w:r w:rsidRPr="005F677E">
              <w:t>alysed and discussed</w:t>
            </w:r>
          </w:p>
          <w:p w:rsidR="00000000" w:rsidRPr="005F677E" w:rsidP="005F677E">
            <w:pPr>
              <w:pStyle w:val="List2"/>
            </w:pPr>
            <w:r w:rsidRPr="005F677E">
              <w:t>5.4.</w:t>
            </w:r>
            <w:r w:rsidRPr="005F677E">
              <w:tab/>
              <w:t xml:space="preserve">The right to access and </w:t>
            </w:r>
            <w:r w:rsidRPr="005F677E">
              <w:rPr>
                <w:rStyle w:val="BoldandItalics"/>
              </w:rPr>
              <w:t xml:space="preserve">methods of obtaining own </w:t>
            </w:r>
            <w:r w:rsidRPr="005F677E">
              <w:rPr>
                <w:rStyle w:val="BoldandItalics"/>
              </w:rPr>
              <w:t>credit reference report</w:t>
            </w:r>
            <w:r w:rsidRPr="005F677E">
              <w:t xml:space="preserve"> are analysed and discussed</w:t>
            </w:r>
          </w:p>
        </w:tc>
      </w:tr>
    </w:tbl>
    <w:p w:rsidR="00000000" w:rsidRPr="005F677E" w:rsidP="005F677E">
      <w:pPr>
        <w:pStyle w:val="BodyText"/>
      </w:pPr>
    </w:p>
    <w:p w:rsidR="00000000" w:rsidRPr="005F677E" w:rsidP="005F677E">
      <w:pPr>
        <w:pStyle w:val="AllowPageBreak"/>
      </w:pPr>
    </w:p>
    <w:p w:rsidR="00000000" w:rsidRPr="005F677E" w:rsidP="005F677E">
      <w:pPr>
        <w:pStyle w:val="Heading1"/>
      </w:pPr>
      <w:bookmarkStart w:id="9" w:name="O_78143"/>
      <w:bookmarkEnd w:id="9"/>
      <w:r w:rsidRPr="005F677E">
        <w:t>Required Skills and Knowledge</w:t>
      </w:r>
    </w:p>
    <w:tbl>
      <w:tblPr>
        <w:tblW w:w="0" w:type="auto"/>
        <w:tblLayout w:type="fixed"/>
        <w:tblCellMar>
          <w:left w:w="62" w:type="dxa"/>
          <w:right w:w="62" w:type="dxa"/>
        </w:tblCellMar>
        <w:tblLook w:val="0000"/>
      </w:tblPr>
      <w:tblGrid>
        <w:gridCol w:w="8522"/>
      </w:tblGrid>
      <w:tr w:rsidTr="00783C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REQUIRED SKILLS AND KNOWLEDGE</w:t>
            </w:r>
          </w:p>
        </w:tc>
      </w:tr>
      <w:tr w:rsidTr="00783C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t>This section describes the skills and knowledge required for this unit.</w:t>
            </w:r>
          </w:p>
        </w:tc>
      </w:tr>
      <w:tr w:rsidTr="00783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Required skills</w:t>
            </w:r>
          </w:p>
        </w:tc>
      </w:tr>
      <w:tr w:rsidTr="00783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Bullet"/>
            </w:pPr>
            <w:r w:rsidRPr="005F677E">
              <w:t>communication skills to:</w:t>
            </w:r>
          </w:p>
          <w:p w:rsidR="00000000" w:rsidRPr="005F677E" w:rsidP="005F677E">
            <w:pPr>
              <w:pStyle w:val="ListBullet2"/>
            </w:pPr>
            <w:r w:rsidRPr="005F677E">
              <w:t>clearly explain debt and credit implications</w:t>
            </w:r>
          </w:p>
          <w:p w:rsidR="00000000" w:rsidRPr="005F677E" w:rsidP="005F677E">
            <w:pPr>
              <w:pStyle w:val="ListBullet2"/>
            </w:pPr>
            <w:r w:rsidRPr="005F677E">
              <w:t>use questioning to develop clear understanding</w:t>
            </w:r>
          </w:p>
          <w:p w:rsidR="00000000" w:rsidRPr="005F677E" w:rsidP="005F677E">
            <w:pPr>
              <w:pStyle w:val="ListBullet2"/>
            </w:pPr>
            <w:r w:rsidRPr="005F677E">
              <w:t>liaise with others, share information, listen and understand</w:t>
            </w:r>
          </w:p>
          <w:p w:rsidR="00000000" w:rsidRPr="005F677E" w:rsidP="005F677E">
            <w:pPr>
              <w:pStyle w:val="ListBullet2"/>
            </w:pPr>
            <w:r w:rsidRPr="005F677E">
              <w:t>use language and concepts appropriate to cultural differences</w:t>
            </w:r>
          </w:p>
          <w:p w:rsidR="00000000" w:rsidRPr="005F677E" w:rsidP="005F677E">
            <w:pPr>
              <w:pStyle w:val="ListBullet"/>
            </w:pPr>
            <w:r w:rsidRPr="005F677E">
              <w:t>numeracy and IT skills to:</w:t>
            </w:r>
          </w:p>
          <w:p w:rsidR="00000000" w:rsidRPr="005F677E" w:rsidP="005F677E">
            <w:pPr>
              <w:pStyle w:val="ListBullet2"/>
            </w:pPr>
            <w:r w:rsidRPr="005F677E">
              <w:t>calculate credit costs and payments</w:t>
            </w:r>
          </w:p>
          <w:p w:rsidR="00000000" w:rsidRPr="005F677E" w:rsidP="005F677E">
            <w:pPr>
              <w:pStyle w:val="ListBullet2"/>
            </w:pPr>
            <w:r w:rsidRPr="005F677E">
              <w:t>use a calculator</w:t>
            </w:r>
          </w:p>
          <w:p w:rsidR="00000000" w:rsidRPr="005F677E" w:rsidP="005F677E">
            <w:pPr>
              <w:pStyle w:val="ListBullet2"/>
            </w:pPr>
            <w:r w:rsidRPr="005F677E">
              <w:t>use internet information</w:t>
            </w:r>
          </w:p>
          <w:p w:rsidR="00000000" w:rsidRPr="005F677E" w:rsidP="005F677E">
            <w:pPr>
              <w:pStyle w:val="ListBullet"/>
            </w:pPr>
            <w:r w:rsidRPr="005F677E">
              <w:t>literacy skills for inter</w:t>
            </w:r>
            <w:r w:rsidRPr="005F677E">
              <w:t>preting relevant information</w:t>
            </w:r>
          </w:p>
          <w:p w:rsidR="00000000" w:rsidP="005F677E">
            <w:pPr>
              <w:pStyle w:val="ListBullet"/>
              <w:rPr>
                <w:lang w:val="en-NZ"/>
              </w:rPr>
            </w:pPr>
            <w:r w:rsidRPr="005F677E">
              <w:t>learning skills to maintain knowledge of credit issues and management</w:t>
            </w:r>
          </w:p>
        </w:tc>
      </w:tr>
      <w:tr w:rsidTr="00783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Required knowledge</w:t>
            </w:r>
          </w:p>
        </w:tc>
      </w:tr>
      <w:tr w:rsidTr="00783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Bullet"/>
            </w:pPr>
            <w:r w:rsidRPr="005F677E">
              <w:t>principles of lending and credit</w:t>
            </w:r>
          </w:p>
          <w:p w:rsidR="00000000" w:rsidRPr="005F677E" w:rsidP="005F677E">
            <w:pPr>
              <w:pStyle w:val="ListBullet"/>
            </w:pPr>
            <w:r w:rsidRPr="005F677E">
              <w:t>role of credit in society</w:t>
            </w:r>
          </w:p>
          <w:p w:rsidR="00000000" w:rsidRPr="005F677E" w:rsidP="005F677E">
            <w:pPr>
              <w:pStyle w:val="ListBullet"/>
            </w:pPr>
            <w:r w:rsidRPr="005F677E">
              <w:t>the role of financial institutions, regulatory bodies, credit reference agencies and consumer advisory bodies that are involved in the provision and management of credit</w:t>
            </w:r>
          </w:p>
        </w:tc>
      </w:tr>
    </w:tbl>
    <w:p w:rsidR="00000000" w:rsidRPr="005F677E" w:rsidP="005F677E">
      <w:pPr>
        <w:pStyle w:val="BodyText"/>
      </w:pPr>
    </w:p>
    <w:p w:rsidR="00000000" w:rsidRPr="005F677E" w:rsidP="005F677E">
      <w:pPr>
        <w:pStyle w:val="AllowPageBreak"/>
      </w:pPr>
    </w:p>
    <w:p w:rsidR="00000000" w:rsidRPr="005F677E" w:rsidP="005F677E">
      <w:pPr>
        <w:pStyle w:val="Heading1"/>
      </w:pPr>
      <w:bookmarkStart w:id="10" w:name="O_78144"/>
      <w:bookmarkEnd w:id="10"/>
      <w:r w:rsidRPr="005F677E">
        <w:t>Evidence Guide</w:t>
      </w:r>
    </w:p>
    <w:tbl>
      <w:tblPr>
        <w:tblW w:w="9570" w:type="dxa"/>
        <w:tblLayout w:type="fixed"/>
        <w:tblCellMar>
          <w:left w:w="62" w:type="dxa"/>
          <w:right w:w="62" w:type="dxa"/>
        </w:tblCellMar>
        <w:tblLook w:val="0000"/>
      </w:tblPr>
      <w:tblGrid>
        <w:gridCol w:w="2808"/>
        <w:gridCol w:w="6762"/>
      </w:tblGrid>
      <w:tr w:rsidTr="00783C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EVIDENCE GUIDE</w:t>
            </w:r>
          </w:p>
        </w:tc>
      </w:tr>
      <w:tr w:rsidTr="00783C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t>The Evidence Guide provides advice on assessment and must be read in conjunction with the performance criteria, required skills and knowledge, range statement and the Assessment Guidelines for the Training Package.</w:t>
            </w:r>
          </w:p>
        </w:tc>
      </w:tr>
      <w:tr w:rsidTr="00783C4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p>
        </w:tc>
      </w:tr>
      <w:tr w:rsidTr="00783C4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Critical aspec</w:t>
            </w:r>
            <w:r w:rsidRPr="005F677E">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BodyText"/>
            </w:pPr>
            <w:r w:rsidRPr="005F677E">
              <w:t>Evidence of the ability to:</w:t>
            </w:r>
          </w:p>
          <w:p w:rsidR="00000000" w:rsidRPr="005F677E" w:rsidP="005F677E">
            <w:pPr>
              <w:pStyle w:val="ListBullet"/>
            </w:pPr>
            <w:r w:rsidRPr="005F677E">
              <w:t>analyse and clearly explain the role of credit within the community</w:t>
            </w:r>
          </w:p>
          <w:p w:rsidR="00000000" w:rsidRPr="005F677E" w:rsidP="005F677E">
            <w:pPr>
              <w:pStyle w:val="ListBullet"/>
            </w:pPr>
            <w:r w:rsidRPr="005F677E">
              <w:t>analyse and clearly explain the different types of consumer credit options currently available</w:t>
            </w:r>
          </w:p>
          <w:p w:rsidR="00000000" w:rsidP="005F677E">
            <w:pPr>
              <w:pStyle w:val="ListBullet"/>
              <w:rPr>
                <w:lang w:val="en-NZ"/>
              </w:rPr>
            </w:pPr>
            <w:r w:rsidRPr="005F677E">
              <w:t>analyse and clearly explain the associated implications and risks of the various credit schemes available, as well as the implication of establishing a poor cred</w:t>
            </w:r>
            <w:r w:rsidRPr="005F677E">
              <w:t>it reference history.</w:t>
            </w:r>
          </w:p>
        </w:tc>
      </w:tr>
      <w:tr w:rsidTr="00783C4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BodyText"/>
            </w:pPr>
            <w:r w:rsidRPr="005F677E">
              <w:t>Assessment must ensure:</w:t>
            </w:r>
          </w:p>
          <w:p w:rsidR="00000000" w:rsidRPr="005F677E" w:rsidP="005F677E">
            <w:pPr>
              <w:pStyle w:val="ListBullet"/>
            </w:pPr>
            <w:r w:rsidRPr="005F677E">
              <w:t xml:space="preserve">competency is demonstrated in the context of the the range statement </w:t>
            </w:r>
          </w:p>
          <w:p w:rsidR="00000000" w:rsidRPr="005F677E" w:rsidP="005F677E">
            <w:pPr>
              <w:pStyle w:val="ListBullet"/>
            </w:pPr>
            <w:r w:rsidRPr="005F677E">
              <w:t>access to and the use of a range of common office equipment, technology, software and con</w:t>
            </w:r>
            <w:r w:rsidRPr="005F677E">
              <w:t>sumables</w:t>
            </w:r>
          </w:p>
          <w:p w:rsidR="00000000" w:rsidP="005F677E">
            <w:pPr>
              <w:pStyle w:val="ListBullet"/>
              <w:rPr>
                <w:lang w:val="en-NZ"/>
              </w:rPr>
            </w:pPr>
            <w:r w:rsidRPr="005F677E">
              <w:t>access to internet to source information.</w:t>
            </w:r>
          </w:p>
        </w:tc>
      </w:tr>
      <w:tr w:rsidTr="00783C4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BodyText"/>
            </w:pPr>
            <w:r w:rsidRPr="005F677E">
              <w:t>A range of assessment methods should be used to assess practical skills and knowledge. The following examples, in combination, are appropriate for this unit:</w:t>
            </w:r>
          </w:p>
          <w:p w:rsidR="00000000" w:rsidRPr="005F677E" w:rsidP="005F677E">
            <w:pPr>
              <w:pStyle w:val="ListBullet"/>
            </w:pPr>
            <w:r w:rsidRPr="005F677E">
              <w:t>evaluating an integrated</w:t>
            </w:r>
            <w:r w:rsidRPr="005F677E">
              <w:t xml:space="preserve"> activity which combines the elements of competency for the unit or a cluster of related units of competency</w:t>
            </w:r>
          </w:p>
          <w:p w:rsidR="00000000" w:rsidRPr="005F677E" w:rsidP="005F677E">
            <w:pPr>
              <w:pStyle w:val="ListBullet"/>
            </w:pPr>
            <w:r w:rsidRPr="005F677E">
              <w:t xml:space="preserve">verbal or written questioning on underpinning knowledge and skills </w:t>
            </w:r>
          </w:p>
          <w:p w:rsidR="00000000" w:rsidRPr="005F677E" w:rsidP="005F677E">
            <w:pPr>
              <w:pStyle w:val="ListBullet"/>
            </w:pPr>
            <w:r w:rsidRPr="005F677E">
              <w:t>setting and reviewing simulations or scenarios</w:t>
            </w:r>
          </w:p>
          <w:p w:rsidR="00000000" w:rsidP="005F677E">
            <w:pPr>
              <w:pStyle w:val="ListBullet"/>
              <w:rPr>
                <w:lang w:val="en-NZ"/>
              </w:rPr>
            </w:pPr>
            <w:r w:rsidRPr="005F677E">
              <w:t>group discussion to determine an</w:t>
            </w:r>
            <w:r w:rsidRPr="005F677E">
              <w:t>d confirm understanding.</w:t>
            </w:r>
          </w:p>
        </w:tc>
      </w:tr>
      <w:tr w:rsidTr="00783C4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BodyText"/>
            </w:pPr>
          </w:p>
        </w:tc>
      </w:tr>
    </w:tbl>
    <w:p w:rsidR="00000000" w:rsidRPr="005F677E" w:rsidP="005F677E">
      <w:pPr>
        <w:pStyle w:val="BodyText"/>
      </w:pPr>
    </w:p>
    <w:p w:rsidR="00000000" w:rsidRPr="005F677E" w:rsidP="005F677E">
      <w:pPr>
        <w:pStyle w:val="AllowPageBreak"/>
      </w:pPr>
    </w:p>
    <w:p w:rsidR="00000000" w:rsidRPr="005F677E" w:rsidP="005F677E">
      <w:pPr>
        <w:pStyle w:val="Heading1"/>
      </w:pPr>
      <w:bookmarkStart w:id="11" w:name="O_78145"/>
      <w:bookmarkEnd w:id="11"/>
      <w:r w:rsidRPr="005F677E">
        <w:t>Range Statement</w:t>
      </w:r>
    </w:p>
    <w:tbl>
      <w:tblPr>
        <w:tblW w:w="0" w:type="auto"/>
        <w:tblLayout w:type="fixed"/>
        <w:tblCellMar>
          <w:left w:w="62" w:type="dxa"/>
          <w:right w:w="62" w:type="dxa"/>
        </w:tblCellMar>
        <w:tblLook w:val="0000"/>
      </w:tblPr>
      <w:tblGrid>
        <w:gridCol w:w="2523"/>
        <w:gridCol w:w="5999"/>
      </w:tblGrid>
      <w:tr w:rsidTr="00783C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RANGE STATEMENT</w:t>
            </w:r>
          </w:p>
        </w:tc>
      </w:tr>
      <w:tr w:rsidTr="00783C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t xml:space="preserve">The range statement relates to the unit of competency as a whole. It allows for different work environments and situations that may affect </w:t>
            </w:r>
            <w:r w:rsidRPr="005F677E">
              <w:t>performance. Bold italicised wording, if used in the performance criteria, is detailed below. Essential operating conditions that may be present with training and assessment (depending on the work situation, needs of the candidate, accessibility of the ite</w:t>
            </w:r>
            <w:r w:rsidRPr="005F677E">
              <w:t>m, and local industry and regional contexts) may also be included.</w:t>
            </w:r>
          </w:p>
        </w:tc>
      </w:tr>
      <w:tr w:rsidTr="00783C4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t xml:space="preserve">The </w:t>
            </w:r>
            <w:r w:rsidRPr="005F677E">
              <w:rPr>
                <w:rStyle w:val="BoldandItalics"/>
              </w:rPr>
              <w:t>role of consumer credit</w:t>
            </w:r>
            <w:r w:rsidRPr="005F677E">
              <w:t xml:space="preserve"> includes: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ListBullet"/>
              <w:rPr>
                <w:lang w:val="en-NZ"/>
              </w:rPr>
            </w:pPr>
            <w:r w:rsidRPr="005F677E">
              <w:t>enabling approved applicants the ability to purchase items (goods and/or services) where the cost of the item exceeds current savings available.</w:t>
            </w:r>
          </w:p>
        </w:tc>
      </w:tr>
      <w:tr w:rsidTr="00783C4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BoldandItalics"/>
              </w:rPr>
              <w:t>Advantages and disadvantages of credit</w:t>
            </w:r>
            <w:r w:rsidRPr="005F677E">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Bullet"/>
            </w:pPr>
            <w:r w:rsidRPr="005F677E">
              <w:t>advantages:</w:t>
            </w:r>
          </w:p>
          <w:p w:rsidR="00000000" w:rsidRPr="005F677E" w:rsidP="005F677E">
            <w:pPr>
              <w:pStyle w:val="ListBullet2"/>
            </w:pPr>
            <w:r w:rsidRPr="005F677E">
              <w:t xml:space="preserve">obtain and can use purchased item immediately </w:t>
            </w:r>
          </w:p>
          <w:p w:rsidR="00000000" w:rsidRPr="005F677E" w:rsidP="005F677E">
            <w:pPr>
              <w:pStyle w:val="ListBullet2"/>
            </w:pPr>
            <w:r w:rsidRPr="005F677E">
              <w:t>minimises the need to carry cash or write cheques</w:t>
            </w:r>
          </w:p>
          <w:p w:rsidR="00000000" w:rsidRPr="005F677E" w:rsidP="005F677E">
            <w:pPr>
              <w:pStyle w:val="ListBullet2"/>
            </w:pPr>
            <w:r w:rsidRPr="005F677E">
              <w:t>allows for instalment payments on expensive items</w:t>
            </w:r>
          </w:p>
          <w:p w:rsidR="00000000" w:rsidRPr="005F677E" w:rsidP="005F677E">
            <w:pPr>
              <w:pStyle w:val="ListBullet2"/>
            </w:pPr>
            <w:r w:rsidRPr="005F677E">
              <w:t>convenient form of payment when travelling,</w:t>
            </w:r>
            <w:r w:rsidRPr="005F677E">
              <w:t xml:space="preserve"> especially overseas</w:t>
            </w:r>
          </w:p>
          <w:p w:rsidR="00000000" w:rsidRPr="005F677E" w:rsidP="005F677E">
            <w:pPr>
              <w:pStyle w:val="ListBullet"/>
            </w:pPr>
            <w:r w:rsidRPr="005F677E">
              <w:t>disadvantages:</w:t>
            </w:r>
          </w:p>
          <w:p w:rsidR="00000000" w:rsidRPr="005F677E" w:rsidP="005F677E">
            <w:pPr>
              <w:pStyle w:val="ListBullet2"/>
            </w:pPr>
            <w:r w:rsidRPr="005F677E">
              <w:t>may increase cost of items purchased due to interest accrued</w:t>
            </w:r>
          </w:p>
          <w:p w:rsidR="00000000" w:rsidRPr="005F677E" w:rsidP="005F677E">
            <w:pPr>
              <w:pStyle w:val="ListBullet2"/>
            </w:pPr>
            <w:r w:rsidRPr="005F677E">
              <w:t>usually attracts other fees such as account servicing fees</w:t>
            </w:r>
          </w:p>
          <w:p w:rsidR="00000000" w:rsidRPr="005F677E" w:rsidP="005F677E">
            <w:pPr>
              <w:pStyle w:val="ListBullet2"/>
            </w:pPr>
            <w:r w:rsidRPr="005F677E">
              <w:t>can lead to compulsive buying habits</w:t>
            </w:r>
          </w:p>
          <w:p w:rsidR="00000000" w:rsidP="005F677E">
            <w:pPr>
              <w:pStyle w:val="ListBullet2"/>
              <w:rPr>
                <w:lang w:val="en-NZ"/>
              </w:rPr>
            </w:pPr>
            <w:r w:rsidRPr="005F677E">
              <w:t>creates a false sense of wealth.</w:t>
            </w:r>
          </w:p>
        </w:tc>
      </w:tr>
      <w:tr w:rsidTr="00783C4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t xml:space="preserve">Consumer </w:t>
            </w:r>
            <w:r w:rsidRPr="005F677E">
              <w:rPr>
                <w:rStyle w:val="BoldandItalics"/>
              </w:rPr>
              <w:t>credit facilities</w:t>
            </w:r>
            <w:r w:rsidRPr="005F677E">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Bullet"/>
            </w:pPr>
            <w:r w:rsidRPr="005F677E">
              <w:t>fixed:</w:t>
            </w:r>
          </w:p>
          <w:p w:rsidR="00000000" w:rsidRPr="005F677E" w:rsidP="005F677E">
            <w:pPr>
              <w:pStyle w:val="ListBullet2"/>
            </w:pPr>
            <w:r w:rsidRPr="005F677E">
              <w:t>personal loans</w:t>
            </w:r>
          </w:p>
          <w:p w:rsidR="00000000" w:rsidRPr="005F677E" w:rsidP="005F677E">
            <w:pPr>
              <w:pStyle w:val="ListBullet2"/>
            </w:pPr>
            <w:r w:rsidRPr="005F677E">
              <w:t>leases including mobile phones, cars, business premises, office equipment including personal computers</w:t>
            </w:r>
          </w:p>
          <w:p w:rsidR="00000000" w:rsidRPr="005F677E" w:rsidP="005F677E">
            <w:pPr>
              <w:pStyle w:val="ListBullet2"/>
            </w:pPr>
            <w:r w:rsidRPr="005F677E">
              <w:t>hire purchase</w:t>
            </w:r>
          </w:p>
          <w:p w:rsidR="00000000" w:rsidRPr="005F677E" w:rsidP="005F677E">
            <w:pPr>
              <w:pStyle w:val="ListBullet2"/>
            </w:pPr>
            <w:r w:rsidRPr="005F677E">
              <w:t>'buy now, pay later' schemes</w:t>
            </w:r>
          </w:p>
          <w:p w:rsidR="00000000" w:rsidRPr="005F677E" w:rsidP="005F677E">
            <w:pPr>
              <w:pStyle w:val="ListBullet"/>
            </w:pPr>
            <w:r w:rsidRPr="005F677E">
              <w:t>revolving:</w:t>
            </w:r>
          </w:p>
          <w:p w:rsidR="00000000" w:rsidRPr="005F677E" w:rsidP="005F677E">
            <w:pPr>
              <w:pStyle w:val="ListBullet2"/>
            </w:pPr>
            <w:r w:rsidRPr="005F677E">
              <w:t>credit cards</w:t>
            </w:r>
          </w:p>
          <w:p w:rsidR="00000000" w:rsidRPr="005F677E" w:rsidP="005F677E">
            <w:pPr>
              <w:pStyle w:val="ListBullet2"/>
            </w:pPr>
            <w:r w:rsidRPr="005F677E">
              <w:t>store cards</w:t>
            </w:r>
          </w:p>
          <w:p w:rsidR="00000000" w:rsidP="005F677E">
            <w:pPr>
              <w:pStyle w:val="ListBullet2"/>
              <w:rPr>
                <w:lang w:val="en-NZ"/>
              </w:rPr>
            </w:pPr>
            <w:r w:rsidRPr="005F677E">
              <w:t>overdraft.</w:t>
            </w:r>
          </w:p>
        </w:tc>
      </w:tr>
      <w:tr w:rsidTr="00783C4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BoldandItalics"/>
              </w:rPr>
              <w:t>Differences between unsecured and secured loans</w:t>
            </w:r>
            <w:r w:rsidRPr="005F677E">
              <w:t xml:space="preserve">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Bullet"/>
            </w:pPr>
            <w:r w:rsidRPr="005F677E">
              <w:t>a secured loan is supported by an underlying asset while an unsecured loan is not</w:t>
            </w:r>
          </w:p>
          <w:p w:rsidR="00000000" w:rsidP="005F677E">
            <w:pPr>
              <w:pStyle w:val="ListBullet"/>
              <w:rPr>
                <w:lang w:val="en-NZ"/>
              </w:rPr>
            </w:pPr>
            <w:r w:rsidRPr="005F677E">
              <w:t>unsecured loans attract higher interest rates due to increased risk to the lending institution.</w:t>
            </w:r>
          </w:p>
        </w:tc>
      </w:tr>
      <w:tr w:rsidTr="00783C4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BoldandItalics"/>
              </w:rPr>
              <w:t>Implications of def</w:t>
            </w:r>
            <w:r w:rsidRPr="005F677E">
              <w:rPr>
                <w:rStyle w:val="BoldandItalics"/>
              </w:rPr>
              <w:t>ault</w:t>
            </w:r>
            <w:r w:rsidRPr="005F677E">
              <w:t xml:space="preserve"> on secured loans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Bullet"/>
            </w:pPr>
            <w:r w:rsidRPr="005F677E">
              <w:t>any shortfall in sale of repossessed asset against outstanding loan amount must be paid by borrower</w:t>
            </w:r>
          </w:p>
          <w:p w:rsidR="00000000" w:rsidP="005F677E">
            <w:pPr>
              <w:pStyle w:val="ListBullet"/>
              <w:rPr>
                <w:lang w:val="en-NZ"/>
              </w:rPr>
            </w:pPr>
            <w:r w:rsidRPr="005F677E">
              <w:t>repossession of the underlying asset by the lending institution.</w:t>
            </w:r>
          </w:p>
        </w:tc>
      </w:tr>
      <w:tr w:rsidTr="00783C4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BoldandItalics"/>
              </w:rPr>
              <w:t>Fees and costs</w:t>
            </w:r>
            <w:r w:rsidRPr="005F677E">
              <w:t xml:space="preserve"> associated with different credit options ma</w:t>
            </w:r>
            <w:r w:rsidRPr="005F677E">
              <w:t>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Bullet"/>
            </w:pPr>
            <w:r w:rsidRPr="005F677E">
              <w:t>account servicing fees</w:t>
            </w:r>
          </w:p>
          <w:p w:rsidR="00000000" w:rsidRPr="005F677E" w:rsidP="005F677E">
            <w:pPr>
              <w:pStyle w:val="ListBullet"/>
            </w:pPr>
            <w:r w:rsidRPr="005F677E">
              <w:t>credit purchase fees</w:t>
            </w:r>
          </w:p>
          <w:p w:rsidR="00000000" w:rsidRPr="005F677E" w:rsidP="005F677E">
            <w:pPr>
              <w:pStyle w:val="ListBullet"/>
            </w:pPr>
            <w:r w:rsidRPr="005F677E">
              <w:t>late payment fees</w:t>
            </w:r>
          </w:p>
          <w:p w:rsidR="00000000" w:rsidRPr="005F677E" w:rsidP="005F677E">
            <w:pPr>
              <w:pStyle w:val="ListBullet"/>
            </w:pPr>
            <w:r w:rsidRPr="005F677E">
              <w:t>loan establishment fees</w:t>
            </w:r>
          </w:p>
          <w:p w:rsidR="00000000" w:rsidP="005F677E">
            <w:pPr>
              <w:pStyle w:val="ListBullet"/>
              <w:rPr>
                <w:lang w:val="en-NZ"/>
              </w:rPr>
            </w:pPr>
            <w:r w:rsidRPr="005F677E">
              <w:t>withdrawing from a foreign Automatic Teller Machine (i.e. the ATM of a lending institution other than your own).</w:t>
            </w:r>
          </w:p>
        </w:tc>
      </w:tr>
      <w:tr w:rsidTr="00783C4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t xml:space="preserve">Fees and costs may be </w:t>
            </w:r>
            <w:r w:rsidRPr="005F677E">
              <w:rPr>
                <w:rStyle w:val="BoldandItalics"/>
              </w:rPr>
              <w:t>analysed and compared</w:t>
            </w:r>
            <w:r w:rsidRPr="005F677E">
              <w:t xml:space="preserve"> using:</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Bullet"/>
            </w:pPr>
            <w:r w:rsidRPr="005F677E">
              <w:t>manually, comparing fees and costs drawn from tables and charts provided by financial institutions and analysed using a calculator</w:t>
            </w:r>
          </w:p>
          <w:p w:rsidR="00000000" w:rsidRPr="005F677E" w:rsidP="005F677E">
            <w:pPr>
              <w:pStyle w:val="ListBullet"/>
            </w:pPr>
            <w:r w:rsidRPr="005F677E">
              <w:t>online, web-based, calculation tools</w:t>
            </w:r>
          </w:p>
          <w:p w:rsidR="00000000" w:rsidP="005F677E">
            <w:pPr>
              <w:pStyle w:val="ListBullet"/>
              <w:rPr>
                <w:lang w:val="en-NZ"/>
              </w:rPr>
            </w:pPr>
            <w:r w:rsidRPr="005F677E">
              <w:t>software applications such as spreadsheets.</w:t>
            </w:r>
          </w:p>
        </w:tc>
      </w:tr>
      <w:tr w:rsidTr="00783C4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BoldandItalics"/>
              </w:rPr>
              <w:t>Ways to compare advertised interes</w:t>
            </w:r>
            <w:r w:rsidRPr="005F677E">
              <w:rPr>
                <w:rStyle w:val="BoldandItalics"/>
              </w:rPr>
              <w:t>t rates</w:t>
            </w:r>
            <w:r w:rsidRPr="005F677E">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ListBullet"/>
              <w:rPr>
                <w:lang w:val="en-NZ"/>
              </w:rPr>
            </w:pPr>
            <w:r w:rsidRPr="005F677E">
              <w:t>informing the client of the 'comparison rate' which includes all associated fees and charges.</w:t>
            </w:r>
          </w:p>
        </w:tc>
      </w:tr>
      <w:tr w:rsidTr="00783C4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BoldandItalics"/>
              </w:rPr>
              <w:t>Strategies to minimise fees</w:t>
            </w:r>
            <w:r w:rsidRPr="005F677E">
              <w:t xml:space="preserve"> on credit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Bullet"/>
            </w:pPr>
            <w:r w:rsidRPr="005F677E">
              <w:t>consolidating savings and credit facilities with the one institution where account serv</w:t>
            </w:r>
            <w:r w:rsidRPr="005F677E">
              <w:t>icing fees can be cancelled out</w:t>
            </w:r>
          </w:p>
          <w:p w:rsidR="00000000" w:rsidRPr="005F677E" w:rsidP="005F677E">
            <w:pPr>
              <w:pStyle w:val="ListBullet"/>
            </w:pPr>
            <w:r w:rsidRPr="005F677E">
              <w:t>knowing how many free transactions come with the card</w:t>
            </w:r>
          </w:p>
          <w:p w:rsidR="00000000" w:rsidP="005F677E">
            <w:pPr>
              <w:pStyle w:val="ListBullet"/>
              <w:rPr>
                <w:lang w:val="en-NZ"/>
              </w:rPr>
            </w:pPr>
            <w:r w:rsidRPr="005F677E">
              <w:t>paying the minimum monthly instalment on time.</w:t>
            </w:r>
          </w:p>
        </w:tc>
      </w:tr>
      <w:tr w:rsidTr="00783C4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BoldandItalics"/>
              </w:rPr>
              <w:t>Ways to avoid credit card fraud</w:t>
            </w:r>
            <w:r w:rsidRPr="005F677E">
              <w:t xml:space="preserve">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Bullet"/>
            </w:pPr>
            <w:r w:rsidRPr="005F677E">
              <w:t>not disclosing Personal Identification Number (PIN) to anyone</w:t>
            </w:r>
          </w:p>
          <w:p w:rsidR="00000000" w:rsidRPr="005F677E" w:rsidP="005F677E">
            <w:pPr>
              <w:pStyle w:val="ListBullet"/>
            </w:pPr>
            <w:r w:rsidRPr="005F677E">
              <w:t>selecting a PIN only the card holder would know</w:t>
            </w:r>
          </w:p>
          <w:p w:rsidR="00000000" w:rsidP="005F677E">
            <w:pPr>
              <w:pStyle w:val="ListBullet"/>
              <w:rPr>
                <w:lang w:val="en-NZ"/>
              </w:rPr>
            </w:pPr>
            <w:r w:rsidRPr="005F677E">
              <w:t>signing the back of the credit card.</w:t>
            </w:r>
          </w:p>
        </w:tc>
      </w:tr>
      <w:tr w:rsidTr="00783C4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BoldandItalics"/>
              </w:rPr>
              <w:t>Credit reference reports</w:t>
            </w:r>
            <w:r w:rsidRPr="005F677E">
              <w:t xml:space="preserve"> refers to:</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ListBullet"/>
              <w:rPr>
                <w:lang w:val="en-NZ"/>
              </w:rPr>
            </w:pPr>
            <w:r w:rsidRPr="005F677E">
              <w:t xml:space="preserve">reports established and maintained by credit reference agencies which record all negative events (i.e. defaults) listed by creditors </w:t>
            </w:r>
            <w:r w:rsidRPr="005F677E">
              <w:t>against debtors.</w:t>
            </w:r>
          </w:p>
        </w:tc>
      </w:tr>
      <w:tr w:rsidTr="00783C4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BoldandItalics"/>
              </w:rPr>
              <w:t>Implications of establishing a poor credit history</w:t>
            </w:r>
            <w:r w:rsidRPr="005F677E">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Bullet"/>
            </w:pPr>
            <w:r w:rsidRPr="005F677E">
              <w:t>higher interest rate penalties</w:t>
            </w:r>
          </w:p>
          <w:p w:rsidR="00000000" w:rsidRPr="005F677E" w:rsidP="005F677E">
            <w:pPr>
              <w:pStyle w:val="ListBullet"/>
            </w:pPr>
            <w:r w:rsidRPr="005F677E">
              <w:t>inability to obtain finance in the future</w:t>
            </w:r>
          </w:p>
          <w:p w:rsidR="00000000" w:rsidRPr="005F677E" w:rsidP="005F677E">
            <w:pPr>
              <w:pStyle w:val="ListBullet"/>
            </w:pPr>
            <w:r w:rsidRPr="005F677E">
              <w:t>may disadvantage applications for rental accommodation</w:t>
            </w:r>
          </w:p>
          <w:p w:rsidR="00000000" w:rsidP="005F677E">
            <w:pPr>
              <w:pStyle w:val="ListBullet"/>
              <w:rPr>
                <w:lang w:val="en-NZ"/>
              </w:rPr>
            </w:pPr>
            <w:r w:rsidRPr="005F677E">
              <w:t>necessity to obtain guarantor in future loans</w:t>
            </w:r>
            <w:r w:rsidRPr="005F677E">
              <w:t>.</w:t>
            </w:r>
          </w:p>
        </w:tc>
      </w:tr>
      <w:tr w:rsidTr="00783C4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BoldandItalics"/>
              </w:rPr>
              <w:t>Methods of obtaining own credit reference file</w:t>
            </w:r>
            <w:r w:rsidRPr="005F677E">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ListBullet"/>
            </w:pPr>
            <w:r w:rsidRPr="005F677E">
              <w:t>writing, emailing or telephoning the relevant agency requesting a copy of your file, having provided relevant details to identify self.</w:t>
            </w:r>
          </w:p>
        </w:tc>
      </w:tr>
    </w:tbl>
    <w:p w:rsidR="00783C40" w:rsidP="005F677E">
      <w:pPr>
        <w:pStyle w:val="BodyText"/>
      </w:pPr>
    </w:p>
    <w:p w:rsidR="00783C40" w:rsidP="005F677E">
      <w:pPr>
        <w:pStyle w:val="BodyText"/>
      </w:pPr>
    </w:p>
    <w:p w:rsidR="00000000" w:rsidRPr="005F677E" w:rsidP="005F677E">
      <w:pPr>
        <w:pStyle w:val="Heading1"/>
      </w:pPr>
      <w:bookmarkStart w:id="12" w:name="O_78146"/>
      <w:bookmarkEnd w:id="12"/>
      <w:r w:rsidRPr="005F677E">
        <w:t>Unit Sector(s)</w:t>
      </w:r>
    </w:p>
    <w:tbl>
      <w:tblPr>
        <w:tblW w:w="0" w:type="auto"/>
        <w:tblLayout w:type="fixed"/>
        <w:tblCellMar>
          <w:left w:w="62" w:type="dxa"/>
          <w:right w:w="62" w:type="dxa"/>
        </w:tblCellMar>
        <w:tblLook w:val="0000"/>
      </w:tblPr>
      <w:tblGrid>
        <w:gridCol w:w="2597"/>
        <w:gridCol w:w="5925"/>
      </w:tblGrid>
      <w:tr w:rsidTr="00783C40">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BodyText"/>
            </w:pPr>
            <w:r w:rsidRPr="005F677E">
              <w:t>Financial literacy</w:t>
            </w:r>
          </w:p>
        </w:tc>
      </w:tr>
    </w:tbl>
    <w:p w:rsidR="00000000" w:rsidRPr="005F677E" w:rsidP="005F677E">
      <w:pPr>
        <w:pStyle w:val="BodyText"/>
      </w:pPr>
    </w:p>
    <w:p w:rsidR="00000000" w:rsidRPr="005F677E" w:rsidP="005F677E">
      <w:pPr>
        <w:pStyle w:val="AllowPageBreak"/>
      </w:pPr>
    </w:p>
    <w:p w:rsidR="00000000" w:rsidRPr="005F677E" w:rsidP="005F677E">
      <w:pPr>
        <w:pStyle w:val="Heading1"/>
      </w:pPr>
      <w:bookmarkStart w:id="13" w:name="O_156257"/>
      <w:bookmarkEnd w:id="13"/>
      <w:r w:rsidRPr="005F677E">
        <w:t>Competency field</w:t>
      </w:r>
    </w:p>
    <w:tbl>
      <w:tblPr>
        <w:tblW w:w="0" w:type="auto"/>
        <w:tblLayout w:type="fixed"/>
        <w:tblCellMar>
          <w:left w:w="62" w:type="dxa"/>
          <w:right w:w="62" w:type="dxa"/>
        </w:tblCellMar>
        <w:tblLook w:val="0000"/>
      </w:tblPr>
      <w:tblGrid>
        <w:gridCol w:w="2754"/>
        <w:gridCol w:w="5768"/>
      </w:tblGrid>
      <w:tr w:rsidTr="00783C4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BodyText"/>
            </w:pPr>
          </w:p>
        </w:tc>
      </w:tr>
    </w:tbl>
    <w:p w:rsidR="00000000" w:rsidRPr="005F677E" w:rsidP="005F677E">
      <w:pPr>
        <w:pStyle w:val="BodyText"/>
      </w:pPr>
    </w:p>
    <w:p w:rsidR="00000000" w:rsidRPr="005F677E" w:rsidP="005F677E">
      <w:pPr>
        <w:pStyle w:val="AllowPageBreak"/>
      </w:pPr>
    </w:p>
    <w:p w:rsidR="00000000" w:rsidRPr="005F677E" w:rsidP="005F677E">
      <w:pPr>
        <w:pStyle w:val="Heading1"/>
      </w:pPr>
      <w:bookmarkStart w:id="14" w:name="O_156256"/>
      <w:bookmarkEnd w:id="14"/>
      <w:r w:rsidRPr="005F677E">
        <w:t>Co-requisite units</w:t>
      </w:r>
    </w:p>
    <w:tbl>
      <w:tblPr>
        <w:tblW w:w="0" w:type="auto"/>
        <w:tblLayout w:type="fixed"/>
        <w:tblCellMar>
          <w:left w:w="62" w:type="dxa"/>
          <w:right w:w="62" w:type="dxa"/>
        </w:tblCellMar>
        <w:tblLook w:val="0000"/>
      </w:tblPr>
      <w:tblGrid>
        <w:gridCol w:w="2629"/>
        <w:gridCol w:w="1324"/>
        <w:gridCol w:w="4569"/>
      </w:tblGrid>
      <w:tr w:rsidTr="00783C4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p>
        </w:tc>
      </w:tr>
      <w:tr w:rsidTr="00783C4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BodyText"/>
            </w:pPr>
          </w:p>
        </w:tc>
      </w:tr>
    </w:tbl>
    <w:p w:rsidR="00000000" w:rsidRPr="005F677E" w:rsidP="005F677E">
      <w:pPr>
        <w:pStyle w:val="BodyText"/>
      </w:pPr>
    </w:p>
    <w:p w:rsidR="00000000" w:rsidRPr="005F677E" w:rsidP="005F677E"/>
    <w:sectPr w:rsidSect="005F67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C40" w:rsidP="00783C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40" w:rsidP="005F67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3C40" w:rsidP="005F67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3C40" w:rsidP="005F67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C40" w:rsidP="00783C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40" w:rsidP="005F677E">
    <w:pPr>
      <w:pStyle w:val="Header"/>
      <w:framePr w:wrap="around"/>
    </w:pPr>
    <w:r>
      <w:fldChar w:fldCharType="begin"/>
    </w:r>
    <w:r>
      <w:instrText xml:space="preserve"> TITLE   \* MERGEFORMAT </w:instrText>
    </w:r>
    <w:r>
      <w:fldChar w:fldCharType="separate"/>
    </w:r>
    <w:r>
      <w:t>FNSFLT203A Develop understanding of debt and consumer credit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3C40" w:rsidP="005F67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8EFD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A6E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347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7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677E"/>
    <w:pPr>
      <w:spacing w:before="360" w:after="60"/>
      <w:outlineLvl w:val="0"/>
    </w:pPr>
    <w:rPr>
      <w:sz w:val="32"/>
    </w:rPr>
  </w:style>
  <w:style w:type="paragraph" w:styleId="Heading2">
    <w:name w:val="heading 2"/>
    <w:basedOn w:val="HeadingBase"/>
    <w:next w:val="BodyText"/>
    <w:link w:val="Heading2Char"/>
    <w:qFormat/>
    <w:rsid w:val="005F677E"/>
    <w:pPr>
      <w:keepLines/>
      <w:spacing w:before="240" w:after="120"/>
      <w:outlineLvl w:val="1"/>
    </w:pPr>
    <w:rPr>
      <w:sz w:val="28"/>
      <w:szCs w:val="40"/>
    </w:rPr>
  </w:style>
  <w:style w:type="paragraph" w:styleId="Heading3">
    <w:name w:val="heading 3"/>
    <w:basedOn w:val="HeadingBase"/>
    <w:next w:val="BodyText"/>
    <w:link w:val="Heading3Char"/>
    <w:qFormat/>
    <w:rsid w:val="005F677E"/>
    <w:pPr>
      <w:spacing w:before="180" w:after="120"/>
      <w:outlineLvl w:val="2"/>
    </w:pPr>
    <w:rPr>
      <w:spacing w:val="-10"/>
      <w:kern w:val="32"/>
    </w:rPr>
  </w:style>
  <w:style w:type="paragraph" w:styleId="Heading4">
    <w:name w:val="heading 4"/>
    <w:basedOn w:val="HeadingBase"/>
    <w:next w:val="BodyText"/>
    <w:link w:val="Heading4Char"/>
    <w:qFormat/>
    <w:rsid w:val="005F677E"/>
    <w:pPr>
      <w:spacing w:before="160" w:after="120"/>
      <w:outlineLvl w:val="3"/>
    </w:pPr>
    <w:rPr>
      <w:sz w:val="22"/>
    </w:rPr>
  </w:style>
  <w:style w:type="paragraph" w:styleId="Heading5">
    <w:name w:val="heading 5"/>
    <w:basedOn w:val="HeadingBase"/>
    <w:next w:val="Normal"/>
    <w:link w:val="Heading5Char"/>
    <w:qFormat/>
    <w:rsid w:val="005F677E"/>
    <w:pPr>
      <w:spacing w:before="80"/>
      <w:outlineLvl w:val="4"/>
    </w:pPr>
    <w:rPr>
      <w:color w:val="918585"/>
      <w:sz w:val="20"/>
    </w:rPr>
  </w:style>
  <w:style w:type="paragraph" w:styleId="Heading6">
    <w:name w:val="heading 6"/>
    <w:basedOn w:val="HeadingBase"/>
    <w:next w:val="Normal"/>
    <w:link w:val="Heading6Char"/>
    <w:qFormat/>
    <w:rsid w:val="005F677E"/>
    <w:pPr>
      <w:spacing w:before="60"/>
      <w:outlineLvl w:val="5"/>
    </w:pPr>
    <w:rPr>
      <w:color w:val="918585"/>
      <w:sz w:val="20"/>
    </w:rPr>
  </w:style>
  <w:style w:type="paragraph" w:styleId="Heading7">
    <w:name w:val="heading 7"/>
    <w:basedOn w:val="Normal"/>
    <w:next w:val="Normal"/>
    <w:link w:val="Heading7Char"/>
    <w:qFormat/>
    <w:rsid w:val="005F677E"/>
    <w:pPr>
      <w:ind w:left="720"/>
      <w:outlineLvl w:val="6"/>
    </w:pPr>
    <w:rPr>
      <w:i/>
    </w:rPr>
  </w:style>
  <w:style w:type="paragraph" w:styleId="Heading8">
    <w:name w:val="heading 8"/>
    <w:basedOn w:val="Normal"/>
    <w:next w:val="Normal"/>
    <w:link w:val="Heading8Char"/>
    <w:qFormat/>
    <w:rsid w:val="005F677E"/>
    <w:pPr>
      <w:ind w:left="720"/>
      <w:outlineLvl w:val="7"/>
    </w:pPr>
    <w:rPr>
      <w:i/>
    </w:rPr>
  </w:style>
  <w:style w:type="paragraph" w:styleId="Heading9">
    <w:name w:val="heading 9"/>
    <w:basedOn w:val="Normal"/>
    <w:next w:val="Normal"/>
    <w:link w:val="Heading9Char"/>
    <w:qFormat/>
    <w:rsid w:val="005F677E"/>
    <w:pPr>
      <w:ind w:left="720"/>
      <w:outlineLvl w:val="8"/>
    </w:pPr>
    <w:rPr>
      <w:i/>
    </w:rPr>
  </w:style>
  <w:style w:type="character" w:default="1" w:styleId="DefaultParagraphFont">
    <w:name w:val="Default Paragraph Font"/>
    <w:uiPriority w:val="1"/>
    <w:unhideWhenUsed/>
    <w:rsid w:val="005F6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77E"/>
  </w:style>
  <w:style w:type="character" w:customStyle="1" w:styleId="Heading1Char">
    <w:name w:val="Heading 1 Char"/>
    <w:basedOn w:val="DefaultParagraphFont"/>
    <w:link w:val="Heading1"/>
    <w:rsid w:val="005F677E"/>
    <w:rPr>
      <w:rFonts w:ascii="Times New Roman" w:eastAsia="Times New Roman" w:hAnsi="Times New Roman" w:cs="Times New Roman"/>
      <w:b/>
      <w:sz w:val="32"/>
      <w:szCs w:val="20"/>
      <w:lang w:eastAsia="en-US"/>
    </w:rPr>
  </w:style>
  <w:style w:type="paragraph" w:styleId="BodyText">
    <w:name w:val="Body Text"/>
    <w:basedOn w:val="Normal"/>
    <w:link w:val="BodyTextChar"/>
    <w:rsid w:val="005F67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677E"/>
    <w:rPr>
      <w:rFonts w:ascii="Times New Roman" w:eastAsia="Times New Roman" w:hAnsi="Times New Roman" w:cs="Times New Roman"/>
      <w:sz w:val="24"/>
      <w:lang w:val="en-US" w:eastAsia="en-US"/>
    </w:rPr>
  </w:style>
  <w:style w:type="paragraph" w:styleId="Footer">
    <w:name w:val="footer"/>
    <w:basedOn w:val="Normal"/>
    <w:link w:val="FooterChar"/>
    <w:rsid w:val="005F6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77E"/>
    <w:rPr>
      <w:rFonts w:ascii="Times New Roman" w:eastAsia="Times New Roman" w:hAnsi="Times New Roman" w:cs="Times New Roman"/>
      <w:sz w:val="16"/>
      <w:lang w:val="en-US" w:eastAsia="en-US"/>
    </w:rPr>
  </w:style>
  <w:style w:type="paragraph" w:styleId="List">
    <w:name w:val="List"/>
    <w:basedOn w:val="BodyText"/>
    <w:next w:val="BodyText"/>
    <w:rsid w:val="005F677E"/>
    <w:pPr>
      <w:tabs>
        <w:tab w:val="left" w:pos="340"/>
      </w:tabs>
      <w:spacing w:before="60" w:after="60"/>
      <w:ind w:left="340" w:hanging="340"/>
    </w:pPr>
  </w:style>
  <w:style w:type="paragraph" w:styleId="ListBullet">
    <w:name w:val="List Bullet"/>
    <w:basedOn w:val="List"/>
    <w:rsid w:val="005F677E"/>
    <w:pPr>
      <w:numPr>
        <w:numId w:val="13"/>
      </w:numPr>
      <w:tabs>
        <w:tab w:val="clear" w:pos="340"/>
      </w:tabs>
      <w:spacing w:before="40" w:after="40"/>
    </w:pPr>
  </w:style>
  <w:style w:type="character" w:customStyle="1" w:styleId="SpecialBold">
    <w:name w:val="Special Bold"/>
    <w:basedOn w:val="DefaultParagraphFont"/>
    <w:rsid w:val="005F677E"/>
    <w:rPr>
      <w:b/>
      <w:spacing w:val="0"/>
    </w:rPr>
  </w:style>
  <w:style w:type="paragraph" w:styleId="ListBullet2">
    <w:name w:val="List Bullet 2"/>
    <w:basedOn w:val="List2"/>
    <w:rsid w:val="005F677E"/>
    <w:pPr>
      <w:numPr>
        <w:numId w:val="14"/>
      </w:numPr>
      <w:tabs>
        <w:tab w:val="clear" w:pos="680"/>
      </w:tabs>
    </w:pPr>
  </w:style>
  <w:style w:type="paragraph" w:styleId="Header">
    <w:name w:val="header"/>
    <w:basedOn w:val="Normal"/>
    <w:link w:val="HeaderChar"/>
    <w:rsid w:val="005F6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7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677E"/>
    <w:pPr>
      <w:spacing w:before="240" w:after="120"/>
      <w:outlineLvl w:val="0"/>
    </w:pPr>
    <w:rPr>
      <w:rFonts w:ascii="Times New Roman" w:hAnsi="Times New Roman"/>
      <w:b/>
      <w:sz w:val="28"/>
    </w:rPr>
  </w:style>
  <w:style w:type="paragraph" w:customStyle="1" w:styleId="AllowPageBreak">
    <w:name w:val="AllowPageBreak"/>
    <w:rsid w:val="005F67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677E"/>
    <w:pPr>
      <w:tabs>
        <w:tab w:val="left" w:pos="680"/>
      </w:tabs>
      <w:spacing w:before="60" w:after="60"/>
      <w:ind w:left="680" w:hanging="340"/>
    </w:pPr>
  </w:style>
  <w:style w:type="character" w:customStyle="1" w:styleId="BoldandItalics">
    <w:name w:val="Bold and Italics"/>
    <w:qFormat/>
    <w:rsid w:val="005F677E"/>
    <w:rPr>
      <w:b/>
      <w:i/>
      <w:u w:val="none"/>
    </w:rPr>
  </w:style>
  <w:style w:type="character" w:customStyle="1" w:styleId="Heading2Char">
    <w:name w:val="Heading 2 Char"/>
    <w:basedOn w:val="DefaultParagraphFont"/>
    <w:link w:val="Heading2"/>
    <w:rsid w:val="005F6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7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7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7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67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677E"/>
    <w:rPr>
      <w:rFonts w:ascii="Courier New" w:eastAsia="Times New Roman" w:hAnsi="Courier New" w:cs="Times New Roman"/>
      <w:i/>
      <w:szCs w:val="20"/>
      <w:lang w:val="en-US" w:eastAsia="en-US"/>
    </w:rPr>
  </w:style>
  <w:style w:type="paragraph" w:customStyle="1" w:styleId="HeadingBase">
    <w:name w:val="Heading Base"/>
    <w:rsid w:val="005F6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77E"/>
    <w:pPr>
      <w:tabs>
        <w:tab w:val="right" w:leader="dot" w:pos="9072"/>
      </w:tabs>
      <w:ind w:left="567"/>
    </w:pPr>
    <w:rPr>
      <w:szCs w:val="22"/>
    </w:rPr>
  </w:style>
  <w:style w:type="paragraph" w:customStyle="1" w:styleId="TOCBase">
    <w:name w:val="TOC Base"/>
    <w:rsid w:val="005F6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77E"/>
    <w:pPr>
      <w:tabs>
        <w:tab w:val="right" w:leader="dot" w:pos="9072"/>
      </w:tabs>
      <w:spacing w:before="40" w:after="40"/>
      <w:ind w:left="284"/>
    </w:pPr>
    <w:rPr>
      <w:rFonts w:ascii="Times New Roman" w:hAnsi="Times New Roman"/>
    </w:rPr>
  </w:style>
  <w:style w:type="paragraph" w:styleId="TOC1">
    <w:name w:val="toc 1"/>
    <w:basedOn w:val="TOCBase"/>
    <w:next w:val="Normal"/>
    <w:rsid w:val="005F67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677E"/>
    <w:pPr>
      <w:spacing w:before="5040"/>
      <w:jc w:val="center"/>
    </w:pPr>
    <w:rPr>
      <w:sz w:val="48"/>
      <w:szCs w:val="72"/>
      <w:lang w:val="en-US"/>
    </w:rPr>
  </w:style>
  <w:style w:type="character" w:customStyle="1" w:styleId="TitleChar">
    <w:name w:val="Title Char"/>
    <w:basedOn w:val="DefaultParagraphFont"/>
    <w:link w:val="Title"/>
    <w:rsid w:val="005F6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77E"/>
    <w:pPr>
      <w:tabs>
        <w:tab w:val="left" w:pos="3600"/>
        <w:tab w:val="left" w:pos="3958"/>
      </w:tabs>
    </w:pPr>
  </w:style>
  <w:style w:type="paragraph" w:customStyle="1" w:styleId="Note">
    <w:name w:val="Note"/>
    <w:basedOn w:val="BodyText"/>
    <w:rsid w:val="005F6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77E"/>
    <w:pPr>
      <w:framePr w:wrap="auto" w:hAnchor="text" w:y="6049"/>
    </w:pPr>
    <w:rPr>
      <w:color w:val="000000"/>
      <w:sz w:val="40"/>
    </w:rPr>
  </w:style>
  <w:style w:type="paragraph" w:customStyle="1" w:styleId="TOCTitle">
    <w:name w:val="TOCTitle"/>
    <w:basedOn w:val="Heading1"/>
    <w:rsid w:val="005F677E"/>
    <w:pPr>
      <w:spacing w:after="240"/>
      <w:jc w:val="center"/>
      <w:outlineLvl w:val="9"/>
    </w:pPr>
    <w:rPr>
      <w:caps/>
    </w:rPr>
  </w:style>
  <w:style w:type="paragraph" w:customStyle="1" w:styleId="Version">
    <w:name w:val="Version"/>
    <w:rsid w:val="005F67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77E"/>
    <w:pPr>
      <w:keepNext w:val="0"/>
      <w:tabs>
        <w:tab w:val="right" w:pos="4176"/>
      </w:tabs>
      <w:ind w:left="198" w:hanging="198"/>
    </w:pPr>
    <w:rPr>
      <w:rFonts w:ascii="Garamond" w:hAnsi="Garamond"/>
    </w:rPr>
  </w:style>
  <w:style w:type="paragraph" w:styleId="IndexHeading">
    <w:name w:val="index heading"/>
    <w:basedOn w:val="Normal"/>
    <w:next w:val="Index1"/>
    <w:semiHidden/>
    <w:rsid w:val="005F677E"/>
    <w:pPr>
      <w:spacing w:before="120" w:after="120"/>
    </w:pPr>
    <w:rPr>
      <w:rFonts w:ascii="Arial" w:hAnsi="Arial"/>
      <w:b/>
      <w:color w:val="918585"/>
      <w:sz w:val="24"/>
    </w:rPr>
  </w:style>
  <w:style w:type="paragraph" w:customStyle="1" w:styleId="Chapter">
    <w:name w:val="Chapter"/>
    <w:basedOn w:val="Normal"/>
    <w:rsid w:val="005F677E"/>
    <w:pPr>
      <w:spacing w:before="240"/>
    </w:pPr>
    <w:rPr>
      <w:rFonts w:ascii="Times New Roman" w:hAnsi="Times New Roman"/>
      <w:smallCaps/>
      <w:spacing w:val="80"/>
      <w:sz w:val="28"/>
    </w:rPr>
  </w:style>
  <w:style w:type="paragraph" w:customStyle="1" w:styleId="InChapter">
    <w:name w:val="InChapter"/>
    <w:basedOn w:val="Heading3"/>
    <w:rsid w:val="005F677E"/>
    <w:pPr>
      <w:spacing w:after="240"/>
      <w:outlineLvl w:val="9"/>
    </w:pPr>
    <w:rPr>
      <w:noProof/>
    </w:rPr>
  </w:style>
  <w:style w:type="paragraph" w:styleId="Index2">
    <w:name w:val="index 2"/>
    <w:basedOn w:val="Normal"/>
    <w:next w:val="Normal"/>
    <w:semiHidden/>
    <w:rsid w:val="005F677E"/>
    <w:pPr>
      <w:tabs>
        <w:tab w:val="right" w:pos="4176"/>
      </w:tabs>
      <w:ind w:left="568" w:hanging="284"/>
    </w:pPr>
    <w:rPr>
      <w:rFonts w:ascii="Garamond" w:hAnsi="Garamond"/>
    </w:rPr>
  </w:style>
  <w:style w:type="paragraph" w:customStyle="1" w:styleId="Byline">
    <w:name w:val="Byline"/>
    <w:rsid w:val="005F6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77E"/>
    <w:pPr>
      <w:tabs>
        <w:tab w:val="clear" w:pos="3600"/>
        <w:tab w:val="clear" w:pos="3958"/>
      </w:tabs>
      <w:jc w:val="right"/>
    </w:pPr>
  </w:style>
  <w:style w:type="character" w:styleId="Emphasis">
    <w:name w:val="Emphasis"/>
    <w:basedOn w:val="DefaultParagraphFont"/>
    <w:qFormat/>
    <w:rsid w:val="005F677E"/>
    <w:rPr>
      <w:i/>
    </w:rPr>
  </w:style>
  <w:style w:type="paragraph" w:styleId="Caption">
    <w:name w:val="caption"/>
    <w:basedOn w:val="BodyText"/>
    <w:next w:val="Normal"/>
    <w:qFormat/>
    <w:rsid w:val="005F677E"/>
    <w:pPr>
      <w:framePr w:w="2268" w:hSpace="181" w:vSpace="181" w:wrap="around" w:vAnchor="text" w:hAnchor="page" w:x="1135" w:y="285" w:anchorLock="1"/>
    </w:pPr>
    <w:rPr>
      <w:i/>
    </w:rPr>
  </w:style>
  <w:style w:type="paragraph" w:customStyle="1" w:styleId="MiniTOCTitle">
    <w:name w:val="MiniTOCTitle"/>
    <w:basedOn w:val="Heading4"/>
    <w:rsid w:val="005F677E"/>
    <w:pPr>
      <w:spacing w:before="240"/>
      <w:outlineLvl w:val="9"/>
    </w:pPr>
    <w:rPr>
      <w:noProof/>
      <w:sz w:val="24"/>
    </w:rPr>
  </w:style>
  <w:style w:type="paragraph" w:customStyle="1" w:styleId="MiniTOCItem">
    <w:name w:val="MiniTOCItem"/>
    <w:basedOn w:val="ListBullet"/>
    <w:rsid w:val="005F677E"/>
    <w:pPr>
      <w:numPr>
        <w:numId w:val="0"/>
      </w:numPr>
      <w:tabs>
        <w:tab w:val="right" w:leader="dot" w:pos="6521"/>
      </w:tabs>
      <w:spacing w:before="0" w:after="0"/>
    </w:pPr>
  </w:style>
  <w:style w:type="paragraph" w:customStyle="1" w:styleId="TOFTitle">
    <w:name w:val="TOFTitle"/>
    <w:basedOn w:val="TOCTitle"/>
    <w:rsid w:val="005F677E"/>
  </w:style>
  <w:style w:type="paragraph" w:styleId="TableofFigures">
    <w:name w:val="table of figures"/>
    <w:basedOn w:val="Normal"/>
    <w:next w:val="Normal"/>
    <w:semiHidden/>
    <w:rsid w:val="005F677E"/>
    <w:pPr>
      <w:tabs>
        <w:tab w:val="right" w:leader="dot" w:pos="9072"/>
      </w:tabs>
      <w:ind w:left="970" w:hanging="403"/>
    </w:pPr>
    <w:rPr>
      <w:rFonts w:ascii="Times New Roman" w:hAnsi="Times New Roman"/>
      <w:b/>
    </w:rPr>
  </w:style>
  <w:style w:type="paragraph" w:styleId="ListNumber">
    <w:name w:val="List Number"/>
    <w:basedOn w:val="List"/>
    <w:rsid w:val="005F677E"/>
    <w:pPr>
      <w:numPr>
        <w:numId w:val="11"/>
      </w:numPr>
    </w:pPr>
  </w:style>
  <w:style w:type="character" w:customStyle="1" w:styleId="WingdingSymbols">
    <w:name w:val="Wingding Symbols"/>
    <w:rsid w:val="005F677E"/>
    <w:rPr>
      <w:rFonts w:ascii="Wingdings" w:hAnsi="Wingdings"/>
    </w:rPr>
  </w:style>
  <w:style w:type="paragraph" w:customStyle="1" w:styleId="TableHeading">
    <w:name w:val="Table Heading"/>
    <w:basedOn w:val="HeadingBase"/>
    <w:rsid w:val="005F677E"/>
    <w:pPr>
      <w:keepLines/>
      <w:pBdr>
        <w:bottom w:val="single" w:sz="6" w:space="1" w:color="918585"/>
      </w:pBdr>
      <w:spacing w:before="240"/>
    </w:pPr>
  </w:style>
  <w:style w:type="character" w:customStyle="1" w:styleId="HotSpot">
    <w:name w:val="HotSpot"/>
    <w:rsid w:val="005F677E"/>
    <w:rPr>
      <w:color w:val="0033CC"/>
      <w:u w:val="none"/>
    </w:rPr>
  </w:style>
  <w:style w:type="paragraph" w:customStyle="1" w:styleId="BodyTextRight">
    <w:name w:val="Body Text Right"/>
    <w:basedOn w:val="BodyText"/>
    <w:rsid w:val="005F677E"/>
    <w:pPr>
      <w:spacing w:before="0" w:after="0"/>
      <w:jc w:val="right"/>
    </w:pPr>
  </w:style>
  <w:style w:type="paragraph" w:styleId="Index3">
    <w:name w:val="index 3"/>
    <w:basedOn w:val="ListNumber2"/>
    <w:next w:val="Normal"/>
    <w:semiHidden/>
    <w:rsid w:val="005F677E"/>
    <w:pPr>
      <w:numPr>
        <w:numId w:val="0"/>
      </w:numPr>
      <w:tabs>
        <w:tab w:val="right" w:leader="dot" w:pos="4176"/>
      </w:tabs>
    </w:pPr>
  </w:style>
  <w:style w:type="paragraph" w:styleId="ListNumber2">
    <w:name w:val="List Number 2"/>
    <w:basedOn w:val="List2"/>
    <w:rsid w:val="005F677E"/>
    <w:pPr>
      <w:numPr>
        <w:numId w:val="10"/>
      </w:numPr>
      <w:tabs>
        <w:tab w:val="clear" w:pos="1060"/>
      </w:tabs>
    </w:pPr>
  </w:style>
  <w:style w:type="paragraph" w:customStyle="1" w:styleId="MarginNote">
    <w:name w:val="Margin Note"/>
    <w:basedOn w:val="BodyText"/>
    <w:rsid w:val="005F6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7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677E"/>
    <w:rPr>
      <w:sz w:val="32"/>
    </w:rPr>
  </w:style>
  <w:style w:type="paragraph" w:customStyle="1" w:styleId="HeadingProcedure">
    <w:name w:val="Heading Procedure"/>
    <w:basedOn w:val="HeadingBase"/>
    <w:next w:val="Normal"/>
    <w:rsid w:val="005F677E"/>
    <w:pPr>
      <w:tabs>
        <w:tab w:val="left" w:pos="0"/>
      </w:tabs>
      <w:spacing w:before="120" w:after="60"/>
    </w:pPr>
    <w:rPr>
      <w:i/>
      <w:color w:val="918585"/>
      <w:sz w:val="22"/>
    </w:rPr>
  </w:style>
  <w:style w:type="paragraph" w:customStyle="1" w:styleId="TableBodyText">
    <w:name w:val="Table Body Text"/>
    <w:basedOn w:val="BodyText"/>
    <w:rsid w:val="005F677E"/>
    <w:pPr>
      <w:spacing w:before="60" w:after="60"/>
    </w:pPr>
  </w:style>
  <w:style w:type="paragraph" w:styleId="ListContinue">
    <w:name w:val="List Continue"/>
    <w:basedOn w:val="List"/>
    <w:rsid w:val="005F677E"/>
    <w:pPr>
      <w:ind w:firstLine="0"/>
    </w:pPr>
  </w:style>
  <w:style w:type="paragraph" w:customStyle="1" w:styleId="ListNote">
    <w:name w:val="List Note"/>
    <w:basedOn w:val="List"/>
    <w:rsid w:val="005F677E"/>
    <w:pPr>
      <w:pBdr>
        <w:top w:val="single" w:sz="6" w:space="2" w:color="918585"/>
        <w:bottom w:val="single" w:sz="6" w:space="2" w:color="918585"/>
      </w:pBdr>
      <w:tabs>
        <w:tab w:val="left" w:pos="1021"/>
      </w:tabs>
      <w:ind w:firstLine="0"/>
    </w:pPr>
  </w:style>
  <w:style w:type="paragraph" w:customStyle="1" w:styleId="Warning">
    <w:name w:val="Warning"/>
    <w:basedOn w:val="BodyText"/>
    <w:rsid w:val="005F677E"/>
    <w:pPr>
      <w:shd w:val="clear" w:color="auto" w:fill="D9D9D9"/>
      <w:tabs>
        <w:tab w:val="left" w:pos="992"/>
      </w:tabs>
      <w:ind w:left="119" w:right="119"/>
    </w:pPr>
    <w:rPr>
      <w:sz w:val="20"/>
    </w:rPr>
  </w:style>
  <w:style w:type="paragraph" w:customStyle="1" w:styleId="MarginIcons">
    <w:name w:val="Margin Icons"/>
    <w:basedOn w:val="BodyText"/>
    <w:rsid w:val="005F6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77E"/>
    <w:rPr>
      <w:rFonts w:ascii="Courier New" w:hAnsi="Courier New"/>
    </w:rPr>
  </w:style>
  <w:style w:type="paragraph" w:customStyle="1" w:styleId="NoteBullet">
    <w:name w:val="Note Bullet"/>
    <w:basedOn w:val="Note"/>
    <w:rsid w:val="005F677E"/>
    <w:pPr>
      <w:tabs>
        <w:tab w:val="clear" w:pos="680"/>
      </w:tabs>
      <w:spacing w:before="60" w:after="60"/>
    </w:pPr>
  </w:style>
  <w:style w:type="paragraph" w:customStyle="1" w:styleId="SubHeading2">
    <w:name w:val="SubHeading2"/>
    <w:basedOn w:val="HeadingBase"/>
    <w:rsid w:val="005F677E"/>
    <w:pPr>
      <w:spacing w:before="240" w:after="60"/>
    </w:pPr>
    <w:rPr>
      <w:sz w:val="20"/>
    </w:rPr>
  </w:style>
  <w:style w:type="paragraph" w:customStyle="1" w:styleId="SubHeading1">
    <w:name w:val="SubHeading1"/>
    <w:basedOn w:val="HeadingBase"/>
    <w:rsid w:val="005F677E"/>
    <w:pPr>
      <w:spacing w:before="240" w:after="60"/>
    </w:pPr>
    <w:rPr>
      <w:color w:val="918585"/>
      <w:sz w:val="22"/>
    </w:rPr>
  </w:style>
  <w:style w:type="paragraph" w:customStyle="1" w:styleId="SideHeading">
    <w:name w:val="Side Heading"/>
    <w:basedOn w:val="HeadingBase"/>
    <w:rsid w:val="005F6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77E"/>
    <w:pPr>
      <w:numPr>
        <w:numId w:val="12"/>
      </w:numPr>
    </w:pPr>
  </w:style>
  <w:style w:type="paragraph" w:styleId="PlainText">
    <w:name w:val="Plain Text"/>
    <w:basedOn w:val="Normal"/>
    <w:link w:val="PlainTextChar"/>
    <w:rsid w:val="005F677E"/>
    <w:rPr>
      <w:sz w:val="20"/>
    </w:rPr>
  </w:style>
  <w:style w:type="character" w:customStyle="1" w:styleId="PlainTextChar">
    <w:name w:val="Plain Text Char"/>
    <w:basedOn w:val="DefaultParagraphFont"/>
    <w:link w:val="PlainText"/>
    <w:rsid w:val="005F67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677E"/>
    <w:rPr>
      <w:b/>
      <w:smallCaps/>
    </w:rPr>
  </w:style>
  <w:style w:type="paragraph" w:customStyle="1" w:styleId="TableListNumber">
    <w:name w:val="Table List Number"/>
    <w:basedOn w:val="ListNumber"/>
    <w:rsid w:val="005F677E"/>
    <w:pPr>
      <w:numPr>
        <w:numId w:val="0"/>
      </w:numPr>
    </w:pPr>
  </w:style>
  <w:style w:type="paragraph" w:styleId="TOC4">
    <w:name w:val="toc 4"/>
    <w:basedOn w:val="TOCBase"/>
    <w:next w:val="Normal"/>
    <w:semiHidden/>
    <w:rsid w:val="005F677E"/>
    <w:pPr>
      <w:tabs>
        <w:tab w:val="right" w:leader="dot" w:pos="9071"/>
      </w:tabs>
      <w:ind w:left="1701"/>
    </w:pPr>
  </w:style>
  <w:style w:type="paragraph" w:customStyle="1" w:styleId="ListAlpha">
    <w:name w:val="List Alpha"/>
    <w:basedOn w:val="List"/>
    <w:rsid w:val="005F677E"/>
    <w:pPr>
      <w:numPr>
        <w:numId w:val="9"/>
      </w:numPr>
    </w:pPr>
  </w:style>
  <w:style w:type="paragraph" w:customStyle="1" w:styleId="ListAlpha2">
    <w:name w:val="List Alpha 2"/>
    <w:basedOn w:val="List2"/>
    <w:rsid w:val="005F677E"/>
    <w:pPr>
      <w:numPr>
        <w:numId w:val="8"/>
      </w:numPr>
    </w:pPr>
  </w:style>
  <w:style w:type="paragraph" w:styleId="List3">
    <w:name w:val="List 3"/>
    <w:basedOn w:val="BodyText"/>
    <w:rsid w:val="005F677E"/>
    <w:pPr>
      <w:tabs>
        <w:tab w:val="left" w:pos="1021"/>
      </w:tabs>
      <w:spacing w:before="60" w:after="60"/>
      <w:ind w:left="1020" w:hanging="340"/>
    </w:pPr>
  </w:style>
  <w:style w:type="paragraph" w:styleId="List4">
    <w:name w:val="List 4"/>
    <w:basedOn w:val="BodyText"/>
    <w:rsid w:val="005F677E"/>
    <w:pPr>
      <w:tabs>
        <w:tab w:val="left" w:pos="1361"/>
      </w:tabs>
      <w:spacing w:before="60" w:after="60"/>
      <w:ind w:left="1361" w:hanging="340"/>
    </w:pPr>
  </w:style>
  <w:style w:type="paragraph" w:styleId="List5">
    <w:name w:val="List 5"/>
    <w:basedOn w:val="BodyText"/>
    <w:rsid w:val="005F677E"/>
    <w:pPr>
      <w:tabs>
        <w:tab w:val="left" w:pos="1701"/>
      </w:tabs>
      <w:spacing w:before="60" w:after="60"/>
      <w:ind w:left="1701" w:hanging="340"/>
    </w:pPr>
  </w:style>
  <w:style w:type="paragraph" w:styleId="ListBullet3">
    <w:name w:val="List Bullet 3"/>
    <w:basedOn w:val="List3"/>
    <w:rsid w:val="005F677E"/>
    <w:pPr>
      <w:numPr>
        <w:numId w:val="15"/>
      </w:numPr>
      <w:tabs>
        <w:tab w:val="clear" w:pos="1021"/>
      </w:tabs>
      <w:ind w:left="1037" w:hanging="357"/>
    </w:pPr>
  </w:style>
  <w:style w:type="paragraph" w:styleId="ListBullet4">
    <w:name w:val="List Bullet 4"/>
    <w:basedOn w:val="List4"/>
    <w:rsid w:val="005F677E"/>
    <w:pPr>
      <w:numPr>
        <w:numId w:val="3"/>
      </w:numPr>
    </w:pPr>
  </w:style>
  <w:style w:type="paragraph" w:styleId="ListBullet5">
    <w:name w:val="List Bullet 5"/>
    <w:basedOn w:val="List5"/>
    <w:rsid w:val="005F677E"/>
    <w:pPr>
      <w:numPr>
        <w:numId w:val="4"/>
      </w:numPr>
    </w:pPr>
  </w:style>
  <w:style w:type="paragraph" w:styleId="ListContinue2">
    <w:name w:val="List Continue 2"/>
    <w:basedOn w:val="List2"/>
    <w:rsid w:val="005F677E"/>
    <w:pPr>
      <w:ind w:firstLine="0"/>
    </w:pPr>
  </w:style>
  <w:style w:type="paragraph" w:styleId="ListContinue3">
    <w:name w:val="List Continue 3"/>
    <w:basedOn w:val="List3"/>
    <w:rsid w:val="005F677E"/>
    <w:pPr>
      <w:ind w:left="1021" w:firstLine="0"/>
    </w:pPr>
  </w:style>
  <w:style w:type="paragraph" w:styleId="ListContinue4">
    <w:name w:val="List Continue 4"/>
    <w:basedOn w:val="List4"/>
    <w:rsid w:val="005F677E"/>
    <w:pPr>
      <w:ind w:firstLine="0"/>
    </w:pPr>
  </w:style>
  <w:style w:type="paragraph" w:styleId="ListContinue5">
    <w:name w:val="List Continue 5"/>
    <w:basedOn w:val="List5"/>
    <w:rsid w:val="005F677E"/>
    <w:pPr>
      <w:ind w:firstLine="0"/>
    </w:pPr>
  </w:style>
  <w:style w:type="paragraph" w:styleId="ListNumber3">
    <w:name w:val="List Number 3"/>
    <w:basedOn w:val="List3"/>
    <w:rsid w:val="005F677E"/>
    <w:pPr>
      <w:numPr>
        <w:numId w:val="5"/>
      </w:numPr>
    </w:pPr>
  </w:style>
  <w:style w:type="paragraph" w:styleId="ListNumber4">
    <w:name w:val="List Number 4"/>
    <w:basedOn w:val="List4"/>
    <w:rsid w:val="005F677E"/>
    <w:pPr>
      <w:numPr>
        <w:numId w:val="6"/>
      </w:numPr>
    </w:pPr>
  </w:style>
  <w:style w:type="paragraph" w:styleId="ListNumber5">
    <w:name w:val="List Number 5"/>
    <w:basedOn w:val="List5"/>
    <w:rsid w:val="005F677E"/>
    <w:pPr>
      <w:numPr>
        <w:numId w:val="7"/>
      </w:numPr>
    </w:pPr>
  </w:style>
  <w:style w:type="paragraph" w:styleId="BlockText">
    <w:name w:val="Block Text"/>
    <w:basedOn w:val="Normal"/>
    <w:rsid w:val="005F677E"/>
    <w:pPr>
      <w:spacing w:after="120"/>
      <w:ind w:left="1440" w:right="1440"/>
    </w:pPr>
  </w:style>
  <w:style w:type="character" w:customStyle="1" w:styleId="Subscript">
    <w:name w:val="Subscript"/>
    <w:basedOn w:val="DefaultParagraphFont"/>
    <w:rsid w:val="005F677E"/>
    <w:rPr>
      <w:sz w:val="16"/>
      <w:vertAlign w:val="subscript"/>
    </w:rPr>
  </w:style>
  <w:style w:type="character" w:customStyle="1" w:styleId="Superscript">
    <w:name w:val="Superscript"/>
    <w:basedOn w:val="DefaultParagraphFont"/>
    <w:rsid w:val="005F677E"/>
    <w:rPr>
      <w:sz w:val="16"/>
      <w:vertAlign w:val="superscript"/>
    </w:rPr>
  </w:style>
  <w:style w:type="character" w:customStyle="1" w:styleId="Symbols">
    <w:name w:val="Symbols"/>
    <w:basedOn w:val="DefaultParagraphFont"/>
    <w:rsid w:val="005F677E"/>
    <w:rPr>
      <w:rFonts w:ascii="Symbol" w:hAnsi="Symbol"/>
    </w:rPr>
  </w:style>
  <w:style w:type="character" w:customStyle="1" w:styleId="MenuOptions">
    <w:name w:val="Menu Options"/>
    <w:basedOn w:val="DefaultParagraphFont"/>
    <w:rsid w:val="005F677E"/>
    <w:rPr>
      <w:rFonts w:ascii="Arial Narrow" w:hAnsi="Arial Narrow"/>
      <w:smallCaps/>
    </w:rPr>
  </w:style>
  <w:style w:type="character" w:customStyle="1" w:styleId="Buttons">
    <w:name w:val="Buttons"/>
    <w:basedOn w:val="DefaultParagraphFont"/>
    <w:rsid w:val="005F677E"/>
    <w:rPr>
      <w:b/>
    </w:rPr>
  </w:style>
  <w:style w:type="character" w:customStyle="1" w:styleId="Underlined">
    <w:name w:val="Underlined"/>
    <w:basedOn w:val="DefaultParagraphFont"/>
    <w:rsid w:val="005F677E"/>
    <w:rPr>
      <w:u w:val="single"/>
    </w:rPr>
  </w:style>
  <w:style w:type="paragraph" w:customStyle="1" w:styleId="TableBodyTextRight">
    <w:name w:val="Table Body Text Right"/>
    <w:basedOn w:val="TableBodyText"/>
    <w:rsid w:val="005F677E"/>
    <w:pPr>
      <w:widowControl w:val="0"/>
      <w:autoSpaceDE w:val="0"/>
      <w:autoSpaceDN w:val="0"/>
      <w:adjustRightInd w:val="0"/>
      <w:jc w:val="right"/>
    </w:pPr>
    <w:rPr>
      <w:rFonts w:cs="Arial"/>
      <w:szCs w:val="18"/>
    </w:rPr>
  </w:style>
  <w:style w:type="paragraph" w:customStyle="1" w:styleId="CopyrightText">
    <w:name w:val="Copyright Text"/>
    <w:basedOn w:val="BodyText"/>
    <w:rsid w:val="005F677E"/>
    <w:rPr>
      <w:sz w:val="18"/>
    </w:rPr>
  </w:style>
  <w:style w:type="paragraph" w:customStyle="1" w:styleId="BodySmallRight">
    <w:name w:val="Body Small Right"/>
    <w:basedOn w:val="BodyTextRight"/>
    <w:rsid w:val="005F677E"/>
    <w:rPr>
      <w:sz w:val="18"/>
      <w:szCs w:val="18"/>
    </w:rPr>
  </w:style>
  <w:style w:type="paragraph" w:customStyle="1" w:styleId="MarginEdition">
    <w:name w:val="Margin Edition"/>
    <w:basedOn w:val="MarginNote"/>
    <w:rsid w:val="005F677E"/>
    <w:pPr>
      <w:spacing w:before="0" w:after="0"/>
    </w:pPr>
    <w:rPr>
      <w:rFonts w:ascii="Times New Roman" w:hAnsi="Times New Roman"/>
      <w:color w:val="999999"/>
    </w:rPr>
  </w:style>
  <w:style w:type="paragraph" w:customStyle="1" w:styleId="Spacer">
    <w:name w:val="Spacer"/>
    <w:basedOn w:val="Normal"/>
    <w:rsid w:val="005F677E"/>
    <w:rPr>
      <w:sz w:val="2"/>
      <w:szCs w:val="2"/>
    </w:rPr>
  </w:style>
  <w:style w:type="character" w:customStyle="1" w:styleId="Small">
    <w:name w:val="Small"/>
    <w:basedOn w:val="DefaultParagraphFont"/>
    <w:rsid w:val="005F677E"/>
    <w:rPr>
      <w:sz w:val="16"/>
    </w:rPr>
  </w:style>
  <w:style w:type="paragraph" w:customStyle="1" w:styleId="WideTable">
    <w:name w:val="Wide Table"/>
    <w:basedOn w:val="Normal"/>
    <w:rsid w:val="005F677E"/>
    <w:pPr>
      <w:ind w:left="-1418"/>
    </w:pPr>
    <w:rPr>
      <w:sz w:val="2"/>
      <w:szCs w:val="2"/>
    </w:rPr>
  </w:style>
  <w:style w:type="character" w:styleId="PageNumber">
    <w:name w:val="page number"/>
    <w:basedOn w:val="DefaultParagraphFont"/>
    <w:rsid w:val="005F677E"/>
  </w:style>
  <w:style w:type="paragraph" w:styleId="Quote">
    <w:name w:val="Quote"/>
    <w:basedOn w:val="Heading1"/>
    <w:link w:val="QuoteChar"/>
    <w:qFormat/>
    <w:rsid w:val="005F677E"/>
    <w:rPr>
      <w:b w:val="0"/>
      <w:sz w:val="72"/>
      <w:szCs w:val="72"/>
      <w:lang w:val="en-NZ"/>
    </w:rPr>
  </w:style>
  <w:style w:type="character" w:customStyle="1" w:styleId="QuoteChar">
    <w:name w:val="Quote Char"/>
    <w:basedOn w:val="DefaultParagraphFont"/>
    <w:link w:val="Quote"/>
    <w:rsid w:val="005F6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77E"/>
    <w:pPr>
      <w:pageBreakBefore/>
    </w:pPr>
  </w:style>
  <w:style w:type="paragraph" w:customStyle="1" w:styleId="Border">
    <w:name w:val="Border"/>
    <w:basedOn w:val="Normal"/>
    <w:qFormat/>
    <w:rsid w:val="005F6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77E"/>
    <w:rPr>
      <w:b/>
      <w:bCs/>
      <w:i/>
      <w:iCs/>
      <w:color w:val="auto"/>
    </w:rPr>
  </w:style>
  <w:style w:type="paragraph" w:styleId="IntenseQuote">
    <w:name w:val="Intense Quote"/>
    <w:basedOn w:val="Normal"/>
    <w:next w:val="Normal"/>
    <w:link w:val="IntenseQuoteChar"/>
    <w:uiPriority w:val="30"/>
    <w:qFormat/>
    <w:rsid w:val="005F6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7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677E"/>
    <w:rPr>
      <w:smallCaps/>
      <w:color w:val="auto"/>
      <w:u w:val="single"/>
    </w:rPr>
  </w:style>
  <w:style w:type="character" w:styleId="IntenseReference">
    <w:name w:val="Intense Reference"/>
    <w:basedOn w:val="DefaultParagraphFont"/>
    <w:uiPriority w:val="32"/>
    <w:qFormat/>
    <w:rsid w:val="005F677E"/>
    <w:rPr>
      <w:b/>
      <w:bCs/>
      <w:smallCaps/>
      <w:color w:val="auto"/>
      <w:spacing w:val="5"/>
      <w:u w:val="single"/>
    </w:rPr>
  </w:style>
  <w:style w:type="paragraph" w:customStyle="1" w:styleId="2ColumnHeading">
    <w:name w:val="2Column Heading"/>
    <w:basedOn w:val="BodyText"/>
    <w:qFormat/>
    <w:rsid w:val="005F677E"/>
    <w:pPr>
      <w:spacing w:after="60"/>
      <w:ind w:left="-2268"/>
    </w:pPr>
    <w:rPr>
      <w:b/>
    </w:rPr>
  </w:style>
  <w:style w:type="paragraph" w:customStyle="1" w:styleId="Heading1TOC">
    <w:name w:val="Heading1 TOC"/>
    <w:basedOn w:val="Normal"/>
    <w:qFormat/>
    <w:rsid w:val="005F677E"/>
    <w:pPr>
      <w:spacing w:before="240" w:after="120"/>
    </w:pPr>
    <w:rPr>
      <w:rFonts w:ascii="Times New Roman" w:hAnsi="Times New Roman"/>
      <w:b/>
      <w:sz w:val="32"/>
    </w:rPr>
  </w:style>
  <w:style w:type="paragraph" w:customStyle="1" w:styleId="Heading2TOC">
    <w:name w:val="Heading2 TOC"/>
    <w:basedOn w:val="Normal"/>
    <w:qFormat/>
    <w:rsid w:val="005F677E"/>
    <w:pPr>
      <w:spacing w:before="240" w:after="60"/>
    </w:pPr>
    <w:rPr>
      <w:rFonts w:ascii="Times New Roman" w:hAnsi="Times New Roman"/>
      <w:b/>
      <w:sz w:val="28"/>
    </w:rPr>
  </w:style>
  <w:style w:type="character" w:customStyle="1" w:styleId="Underline">
    <w:name w:val="Underline"/>
    <w:basedOn w:val="DefaultParagraphFont"/>
    <w:qFormat/>
    <w:rsid w:val="005F677E"/>
    <w:rPr>
      <w:u w:val="single"/>
    </w:rPr>
  </w:style>
  <w:style w:type="paragraph" w:styleId="BalloonText">
    <w:name w:val="Balloon Text"/>
    <w:basedOn w:val="Normal"/>
    <w:link w:val="BalloonTextChar"/>
    <w:rsid w:val="005F677E"/>
    <w:rPr>
      <w:rFonts w:ascii="Tahoma" w:hAnsi="Tahoma" w:cs="Tahoma"/>
      <w:sz w:val="16"/>
      <w:szCs w:val="16"/>
    </w:rPr>
  </w:style>
  <w:style w:type="character" w:customStyle="1" w:styleId="BalloonTextChar">
    <w:name w:val="Balloon Text Char"/>
    <w:basedOn w:val="DefaultParagraphFont"/>
    <w:link w:val="BalloonText"/>
    <w:rsid w:val="005F67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67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67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1430</Words>
  <Characters>8432</Characters>
  <Application>Microsoft Office Word</Application>
  <DocSecurity>0</DocSecurity>
  <Lines>322</Lines>
  <Paragraphs>156</Paragraphs>
  <ScaleCrop>false</ScaleCrop>
  <Company>Author-it Software Corporation Ltd.</Company>
  <LinksUpToDate>false</LinksUpToDate>
  <CharactersWithSpaces>9777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FNSFLT203A Develop understanding of debt and consumer credit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2012-05-26T16:16:00Z</dcterms:created>
  <dcterms:modified xsi:type="dcterms:W3CDTF">2012-05-26T16:16:00Z</dcterms:modified>
</cp:coreProperties>
</file>