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9BF" w:rsidP="00B359BF">
      <w:pPr>
        <w:pStyle w:val="Title"/>
      </w:pPr>
      <w:r>
        <w:fldChar w:fldCharType="begin"/>
      </w:r>
      <w:r>
        <w:instrText xml:space="preserve"> TITLE   \* MERGEFORMAT </w:instrText>
      </w:r>
      <w:r>
        <w:fldChar w:fldCharType="separate"/>
      </w:r>
      <w:r>
        <w:t>FNSCRD502A Manage factoring and invoice discounting arrangements</w:t>
      </w:r>
      <w:r>
        <w:fldChar w:fldCharType="end"/>
      </w:r>
    </w:p>
    <w:p w:rsidR="00B359BF" w:rsidP="00B359BF">
      <w:pPr>
        <w:pStyle w:val="Version"/>
        <w:sectPr w:rsidSect="007B1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106B" w:rsidP="007B106B">
      <w:pPr>
        <w:pStyle w:val="SuperHeading"/>
      </w:pPr>
      <w:r w:rsidRPr="007B106B">
        <w:t>FNSCRD502A Manage factoring and invoice discounting arrangements</w:t>
      </w:r>
    </w:p>
    <w:p w:rsidR="00000000" w:rsidRPr="007B106B" w:rsidP="007B106B">
      <w:pPr>
        <w:pStyle w:val="SuperHeading"/>
      </w:pPr>
    </w:p>
    <w:p w:rsidR="00000000" w:rsidRPr="007B106B" w:rsidP="007B106B">
      <w:pPr>
        <w:pStyle w:val="Heading1"/>
      </w:pPr>
      <w:bookmarkStart w:id="1" w:name="O_77955"/>
      <w:bookmarkEnd w:id="1"/>
      <w:r w:rsidRPr="007B106B">
        <w:t>Modification History</w:t>
      </w:r>
    </w:p>
    <w:p w:rsidR="00000000" w:rsidRPr="007B106B" w:rsidP="007B106B">
      <w:pPr>
        <w:pStyle w:val="BodyText"/>
      </w:pPr>
      <w:r w:rsidRPr="007B106B">
        <w:t>Not applicable.</w:t>
      </w:r>
    </w:p>
    <w:p w:rsidR="00000000" w:rsidRPr="007B106B" w:rsidP="007B106B">
      <w:pPr>
        <w:pStyle w:val="AllowPageBreak"/>
      </w:pPr>
    </w:p>
    <w:p w:rsidR="00000000" w:rsidRPr="007B106B" w:rsidP="007B106B">
      <w:pPr>
        <w:pStyle w:val="Heading1"/>
      </w:pPr>
      <w:bookmarkStart w:id="2" w:name="O_77956"/>
      <w:bookmarkEnd w:id="2"/>
      <w:r w:rsidRPr="007B106B">
        <w:t>Unit Descriptor</w:t>
      </w:r>
    </w:p>
    <w:tbl>
      <w:tblPr>
        <w:tblW w:w="0" w:type="auto"/>
        <w:tblLayout w:type="fixed"/>
        <w:tblCellMar>
          <w:left w:w="62" w:type="dxa"/>
          <w:right w:w="62" w:type="dxa"/>
        </w:tblCellMar>
        <w:tblLook w:val="0000"/>
      </w:tblPr>
      <w:tblGrid>
        <w:gridCol w:w="2638"/>
        <w:gridCol w:w="5884"/>
      </w:tblGrid>
      <w:tr w:rsidTr="00B359BF">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This unit describes the performance outcomes, skills and knowledge required to arrange f</w:t>
            </w:r>
            <w:r w:rsidRPr="007B106B">
              <w:t>or the factoring of debts or invoice discounting.</w:t>
            </w:r>
          </w:p>
          <w:p w:rsidR="00000000" w:rsidRPr="007B106B" w:rsidP="007B106B">
            <w:pPr>
              <w:pStyle w:val="BodyText"/>
            </w:pPr>
          </w:p>
          <w:p w:rsidR="00000000" w:rsidRPr="007B106B" w:rsidP="007B106B">
            <w:pPr>
              <w:pStyle w:val="BodyText"/>
            </w:pPr>
            <w:r w:rsidRPr="007B106B">
              <w:t>This unit has application to a variety of financial services sectors and is applicable to individuals working within enterprises and job roles subject to licensing, legislative, regulatory or certification</w:t>
            </w:r>
            <w:r w:rsidRPr="007B106B">
              <w:t xml:space="preserve"> requirements so the varying Commonwealth, State or Territory requirements should be confirmed with the relevant body.</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3" w:name="O_77957"/>
      <w:bookmarkEnd w:id="3"/>
      <w:r w:rsidRPr="007B106B">
        <w:t>Application of the Unit</w:t>
      </w:r>
    </w:p>
    <w:tbl>
      <w:tblPr>
        <w:tblW w:w="0" w:type="auto"/>
        <w:tblLayout w:type="fixed"/>
        <w:tblCellMar>
          <w:left w:w="62" w:type="dxa"/>
          <w:right w:w="62" w:type="dxa"/>
        </w:tblCellMar>
        <w:tblLook w:val="0000"/>
      </w:tblPr>
      <w:tblGrid>
        <w:gridCol w:w="2721"/>
        <w:gridCol w:w="5801"/>
      </w:tblGrid>
      <w:tr w:rsidTr="00B359B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The unit may be applied within financial organisations of various sizes and across a range of customer bases.</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4" w:name="O_77958"/>
      <w:bookmarkEnd w:id="4"/>
      <w:r w:rsidRPr="007B106B">
        <w:t>Licensing/Regulatory Information</w:t>
      </w:r>
    </w:p>
    <w:p w:rsidR="00000000" w:rsidRPr="007B106B" w:rsidP="007B106B">
      <w:pPr>
        <w:pStyle w:val="BodyText"/>
      </w:pPr>
      <w:r w:rsidRPr="007B106B">
        <w:t>Not applicable.</w:t>
      </w:r>
    </w:p>
    <w:p w:rsidR="00000000" w:rsidRPr="007B106B" w:rsidP="007B106B">
      <w:pPr>
        <w:pStyle w:val="AllowPageBreak"/>
      </w:pPr>
    </w:p>
    <w:p w:rsidR="00000000" w:rsidRPr="007B106B" w:rsidP="007B106B">
      <w:pPr>
        <w:pStyle w:val="Heading1"/>
      </w:pPr>
      <w:bookmarkStart w:id="5" w:name="O_77960"/>
      <w:bookmarkEnd w:id="5"/>
      <w:r w:rsidRPr="007B106B">
        <w:t>Pre-Requisites</w:t>
      </w:r>
    </w:p>
    <w:tbl>
      <w:tblPr>
        <w:tblW w:w="0" w:type="auto"/>
        <w:tblLayout w:type="fixed"/>
        <w:tblCellMar>
          <w:left w:w="62" w:type="dxa"/>
          <w:right w:w="62" w:type="dxa"/>
        </w:tblCellMar>
        <w:tblLook w:val="0000"/>
      </w:tblPr>
      <w:tblGrid>
        <w:gridCol w:w="2745"/>
        <w:gridCol w:w="1301"/>
        <w:gridCol w:w="4476"/>
      </w:tblGrid>
      <w:tr w:rsidTr="00B359B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p>
        </w:tc>
      </w:tr>
      <w:tr w:rsidTr="00B359B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p>
        </w:tc>
      </w:tr>
      <w:tr w:rsidTr="00B359B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6" w:name="O_77959"/>
      <w:bookmarkEnd w:id="6"/>
      <w:r w:rsidRPr="007B106B">
        <w:t>Employability Skills Information</w:t>
      </w:r>
    </w:p>
    <w:tbl>
      <w:tblPr>
        <w:tblW w:w="0" w:type="auto"/>
        <w:tblLayout w:type="fixed"/>
        <w:tblCellMar>
          <w:left w:w="62" w:type="dxa"/>
          <w:right w:w="62" w:type="dxa"/>
        </w:tblCellMar>
        <w:tblLook w:val="0000"/>
      </w:tblPr>
      <w:tblGrid>
        <w:gridCol w:w="2762"/>
        <w:gridCol w:w="5760"/>
      </w:tblGrid>
      <w:tr w:rsidTr="00B359B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This unit contains employability skills.</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7" w:name="O_77961"/>
      <w:bookmarkEnd w:id="7"/>
      <w:r w:rsidRPr="007B106B">
        <w:t>Elements and Performance Criteria Pre-Content</w:t>
      </w:r>
    </w:p>
    <w:tbl>
      <w:tblPr>
        <w:tblW w:w="0" w:type="auto"/>
        <w:tblLayout w:type="fixed"/>
        <w:tblCellMar>
          <w:left w:w="62" w:type="dxa"/>
          <w:right w:w="62" w:type="dxa"/>
        </w:tblCellMar>
        <w:tblLook w:val="0000"/>
      </w:tblPr>
      <w:tblGrid>
        <w:gridCol w:w="2572"/>
        <w:gridCol w:w="5950"/>
      </w:tblGrid>
      <w:tr w:rsidTr="00B359B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Performance criteria describe the performance needed to demonstrate achievement of the element. Where bold italicised text is used, further information is detailed in the required skills and knowledge section and the range statement. Assessment of performa</w:t>
            </w:r>
            <w:r w:rsidRPr="007B106B">
              <w:t>nce is to be consistent with the evidence guide.</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8" w:name="O_77962"/>
      <w:bookmarkEnd w:id="8"/>
      <w:r w:rsidRPr="007B106B">
        <w:t>Elements and Performance Criteria</w:t>
      </w:r>
    </w:p>
    <w:tbl>
      <w:tblPr>
        <w:tblW w:w="0" w:type="auto"/>
        <w:tblLayout w:type="fixed"/>
        <w:tblCellMar>
          <w:left w:w="62" w:type="dxa"/>
          <w:right w:w="62" w:type="dxa"/>
        </w:tblCellMar>
        <w:tblLook w:val="0000"/>
      </w:tblPr>
      <w:tblGrid>
        <w:gridCol w:w="2572"/>
        <w:gridCol w:w="5950"/>
      </w:tblGrid>
      <w:tr w:rsidTr="00B359BF">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PERFORMANCE CRITERIA</w:t>
            </w:r>
          </w:p>
        </w:tc>
      </w:tr>
      <w:tr w:rsidTr="00B359B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List"/>
              <w:rPr>
                <w:lang w:val="en-NZ"/>
              </w:rPr>
            </w:pPr>
            <w:r w:rsidRPr="007B106B">
              <w:t>1.</w:t>
            </w:r>
            <w:r w:rsidRPr="007B106B">
              <w:tab/>
              <w:t>Advise potential clients on appropriate factoring or invoice discounting arrangements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2"/>
            </w:pPr>
            <w:r w:rsidRPr="007B106B">
              <w:t>1.1.</w:t>
            </w:r>
            <w:r w:rsidRPr="007B106B">
              <w:tab/>
            </w:r>
            <w:r w:rsidRPr="007B106B">
              <w:t>Different types of arrangements that may be offered to prospective clients are identified</w:t>
            </w:r>
          </w:p>
          <w:p w:rsidR="00000000" w:rsidRPr="007B106B" w:rsidP="007B106B">
            <w:pPr>
              <w:pStyle w:val="List2"/>
            </w:pPr>
            <w:r w:rsidRPr="007B106B">
              <w:t>1.2.</w:t>
            </w:r>
            <w:r w:rsidRPr="007B106B">
              <w:tab/>
              <w:t xml:space="preserve">Clients are advised of the different </w:t>
            </w:r>
            <w:r w:rsidRPr="007B106B">
              <w:rPr>
                <w:rStyle w:val="BoldandItalics"/>
              </w:rPr>
              <w:t>policies and procedures</w:t>
            </w:r>
            <w:r w:rsidRPr="007B106B">
              <w:t xml:space="preserve"> that should be followed in relation to the different types of products</w:t>
            </w:r>
          </w:p>
          <w:p w:rsidR="00000000" w:rsidRPr="007B106B" w:rsidP="007B106B">
            <w:pPr>
              <w:pStyle w:val="List2"/>
            </w:pPr>
            <w:r w:rsidRPr="007B106B">
              <w:t>1.3.</w:t>
            </w:r>
            <w:r w:rsidRPr="007B106B">
              <w:tab/>
              <w:t>Prospective clients' fin</w:t>
            </w:r>
            <w:r w:rsidRPr="007B106B">
              <w:t xml:space="preserve">ancial position is assessed from information provided and the and </w:t>
            </w:r>
            <w:r w:rsidRPr="007B106B">
              <w:rPr>
                <w:rStyle w:val="BoldandItalics"/>
              </w:rPr>
              <w:t>advantages and disadvantages</w:t>
            </w:r>
            <w:r w:rsidRPr="007B106B">
              <w:t xml:space="preserve"> of various debt assignment options and products</w:t>
            </w:r>
          </w:p>
          <w:p w:rsidR="00000000" w:rsidP="007B106B">
            <w:pPr>
              <w:pStyle w:val="List2"/>
              <w:rPr>
                <w:lang w:val="en-NZ"/>
              </w:rPr>
            </w:pPr>
            <w:r w:rsidRPr="007B106B">
              <w:t>1.4.</w:t>
            </w:r>
            <w:r w:rsidRPr="007B106B">
              <w:tab/>
              <w:t xml:space="preserve">Clients are advised on the different types of legal assignment of debt that relate to each type of product </w:t>
            </w:r>
          </w:p>
        </w:tc>
      </w:tr>
      <w:tr w:rsidTr="00B359B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List"/>
              <w:rPr>
                <w:lang w:val="en-NZ"/>
              </w:rPr>
            </w:pPr>
            <w:r w:rsidRPr="007B106B">
              <w:t>2.</w:t>
            </w:r>
            <w:r w:rsidRPr="007B106B">
              <w:tab/>
              <w:t>Manage the relationship between the debtor and factor or invoice discounter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2"/>
            </w:pPr>
            <w:r w:rsidRPr="007B106B">
              <w:t>2.1.</w:t>
            </w:r>
            <w:r w:rsidRPr="007B106B">
              <w:tab/>
              <w:t xml:space="preserve">Information is provided to the debtor as appropriate to the type of product and in accordance with </w:t>
            </w:r>
            <w:r w:rsidRPr="007B106B">
              <w:rPr>
                <w:rStyle w:val="BoldandItalics"/>
              </w:rPr>
              <w:t>statutory and legislative guidelines</w:t>
            </w:r>
          </w:p>
          <w:p w:rsidR="00000000" w:rsidP="007B106B">
            <w:pPr>
              <w:pStyle w:val="List2"/>
              <w:rPr>
                <w:lang w:val="en-NZ"/>
              </w:rPr>
            </w:pPr>
            <w:r w:rsidRPr="007B106B">
              <w:t>2.2.</w:t>
            </w:r>
            <w:r w:rsidRPr="007B106B">
              <w:tab/>
              <w:t>Debt recovery arrangements inc</w:t>
            </w:r>
            <w:r w:rsidRPr="007B106B">
              <w:t xml:space="preserve">luding all </w:t>
            </w:r>
            <w:r w:rsidRPr="007B106B">
              <w:rPr>
                <w:rStyle w:val="BoldandItalics"/>
              </w:rPr>
              <w:t>terms and conditions</w:t>
            </w:r>
            <w:r w:rsidRPr="007B106B">
              <w:t xml:space="preserve"> are established with the debtor</w:t>
            </w:r>
          </w:p>
        </w:tc>
      </w:tr>
      <w:tr w:rsidTr="00B359B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List"/>
              <w:rPr>
                <w:lang w:val="en-NZ"/>
              </w:rPr>
            </w:pPr>
            <w:r w:rsidRPr="007B106B">
              <w:t>3.</w:t>
            </w:r>
            <w:r w:rsidRPr="007B106B">
              <w:tab/>
              <w:t xml:space="preserve">Manage the relationship between the client and the factor or invoice discounter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2"/>
            </w:pPr>
            <w:r w:rsidRPr="007B106B">
              <w:t>3.1.</w:t>
            </w:r>
            <w:r w:rsidRPr="007B106B">
              <w:tab/>
              <w:t>Clients are advised clearly and comprehensively how the relationship will proceed</w:t>
            </w:r>
          </w:p>
          <w:p w:rsidR="00000000" w:rsidRPr="007B106B" w:rsidP="007B106B">
            <w:pPr>
              <w:pStyle w:val="List2"/>
            </w:pPr>
            <w:r w:rsidRPr="007B106B">
              <w:t>3.2.</w:t>
            </w:r>
            <w:r w:rsidRPr="007B106B">
              <w:tab/>
              <w:t>Ongoing monitor</w:t>
            </w:r>
            <w:r w:rsidRPr="007B106B">
              <w:t>ing review procedures are established with the client using questioning to confirm full understanding</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9" w:name="O_77963"/>
      <w:bookmarkEnd w:id="9"/>
      <w:r w:rsidRPr="007B106B">
        <w:t>Required Skills and Knowledge</w:t>
      </w:r>
    </w:p>
    <w:tbl>
      <w:tblPr>
        <w:tblW w:w="0" w:type="auto"/>
        <w:tblLayout w:type="fixed"/>
        <w:tblCellMar>
          <w:left w:w="62" w:type="dxa"/>
          <w:right w:w="62" w:type="dxa"/>
        </w:tblCellMar>
        <w:tblLook w:val="0000"/>
      </w:tblPr>
      <w:tblGrid>
        <w:gridCol w:w="8522"/>
      </w:tblGrid>
      <w:tr w:rsidTr="00B359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REQUIRED SKILLS AND KNOWLEDGE</w:t>
            </w:r>
          </w:p>
        </w:tc>
      </w:tr>
      <w:tr w:rsidTr="00B359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t>This section describes the skills and knowledge required for this unit.</w:t>
            </w:r>
          </w:p>
        </w:tc>
      </w:tr>
      <w:tr w:rsidTr="00B3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Required skills</w:t>
            </w:r>
          </w:p>
        </w:tc>
      </w:tr>
      <w:tr w:rsidTr="00B3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well-developed communication skills to:</w:t>
            </w:r>
          </w:p>
          <w:p w:rsidR="00000000" w:rsidRPr="007B106B" w:rsidP="007B106B">
            <w:pPr>
              <w:pStyle w:val="ListBullet2"/>
            </w:pPr>
            <w:r w:rsidRPr="007B106B">
              <w:t xml:space="preserve">clarify, discuss and update debt situations with customers using questioning and active listening as required </w:t>
            </w:r>
          </w:p>
          <w:p w:rsidR="00000000" w:rsidRPr="007B106B" w:rsidP="007B106B">
            <w:pPr>
              <w:pStyle w:val="ListBullet2"/>
            </w:pPr>
            <w:r w:rsidRPr="007B106B">
              <w:t>liaise with others, share information, listen and understand</w:t>
            </w:r>
          </w:p>
          <w:p w:rsidR="00000000" w:rsidRPr="007B106B" w:rsidP="007B106B">
            <w:pPr>
              <w:pStyle w:val="ListBullet2"/>
            </w:pPr>
            <w:r w:rsidRPr="007B106B">
              <w:t>use language and concepts appropriate to cultural differences</w:t>
            </w:r>
          </w:p>
          <w:p w:rsidR="00000000" w:rsidRPr="007B106B" w:rsidP="007B106B">
            <w:pPr>
              <w:pStyle w:val="ListBullet"/>
            </w:pPr>
            <w:r w:rsidRPr="007B106B">
              <w:t>numeracy and IT skills to:</w:t>
            </w:r>
          </w:p>
          <w:p w:rsidR="00000000" w:rsidRPr="007B106B" w:rsidP="007B106B">
            <w:pPr>
              <w:pStyle w:val="ListBullet2"/>
            </w:pPr>
            <w:r w:rsidRPr="007B106B">
              <w:t>perform debt factoring calculations</w:t>
            </w:r>
          </w:p>
          <w:p w:rsidR="00000000" w:rsidRPr="007B106B" w:rsidP="007B106B">
            <w:pPr>
              <w:pStyle w:val="ListBullet2"/>
            </w:pPr>
            <w:r w:rsidRPr="007B106B">
              <w:t>use relevant software, spreadsheets and databases</w:t>
            </w:r>
          </w:p>
          <w:p w:rsidR="00000000" w:rsidRPr="007B106B" w:rsidP="007B106B">
            <w:pPr>
              <w:pStyle w:val="ListBullet2"/>
            </w:pPr>
            <w:r w:rsidRPr="007B106B">
              <w:t>access web based information services</w:t>
            </w:r>
          </w:p>
          <w:p w:rsidR="00000000" w:rsidRPr="007B106B" w:rsidP="007B106B">
            <w:pPr>
              <w:pStyle w:val="ListBullet"/>
            </w:pPr>
            <w:r w:rsidRPr="007B106B">
              <w:t>research and analysis for accessing, interpreting and managing business and personal information to determine debt factoring and invoice discounting advantages and disadvantages</w:t>
            </w:r>
          </w:p>
          <w:p w:rsidR="00000000" w:rsidRPr="007B106B" w:rsidP="007B106B">
            <w:pPr>
              <w:pStyle w:val="ListBullet"/>
            </w:pPr>
            <w:r w:rsidRPr="007B106B">
              <w:t>well-developed judgement skills for making debt factoring and invoice discount</w:t>
            </w:r>
            <w:r w:rsidRPr="007B106B">
              <w:t>ing determinations</w:t>
            </w:r>
          </w:p>
          <w:p w:rsidR="00000000" w:rsidP="007B106B">
            <w:pPr>
              <w:pStyle w:val="ListBullet"/>
              <w:rPr>
                <w:lang w:val="en-NZ"/>
              </w:rPr>
            </w:pPr>
            <w:r w:rsidRPr="007B106B">
              <w:t>organisational skills, including the ability to plan and sequence work</w:t>
            </w:r>
          </w:p>
        </w:tc>
      </w:tr>
      <w:tr w:rsidTr="00B3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Required knowledge</w:t>
            </w:r>
          </w:p>
        </w:tc>
      </w:tr>
      <w:tr w:rsidTr="00B3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current organisational policy and procedures for debt factoring</w:t>
            </w:r>
          </w:p>
          <w:p w:rsidR="00000000" w:rsidRPr="007B106B" w:rsidP="007B106B">
            <w:pPr>
              <w:pStyle w:val="ListBullet"/>
            </w:pPr>
            <w:r w:rsidRPr="007B106B">
              <w:t>debt factoring options and characteristics</w:t>
            </w:r>
          </w:p>
          <w:p w:rsidR="00000000" w:rsidRPr="007B106B" w:rsidP="007B106B">
            <w:pPr>
              <w:pStyle w:val="ListBullet"/>
            </w:pPr>
            <w:r w:rsidRPr="007B106B">
              <w:t>relevant current debt management legislation</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10" w:name="O_77964"/>
      <w:bookmarkEnd w:id="10"/>
      <w:r w:rsidRPr="007B106B">
        <w:t>Evidence Guide</w:t>
      </w:r>
    </w:p>
    <w:tbl>
      <w:tblPr>
        <w:tblW w:w="9570" w:type="dxa"/>
        <w:tblLayout w:type="fixed"/>
        <w:tblCellMar>
          <w:left w:w="62" w:type="dxa"/>
          <w:right w:w="62" w:type="dxa"/>
        </w:tblCellMar>
        <w:tblLook w:val="0000"/>
      </w:tblPr>
      <w:tblGrid>
        <w:gridCol w:w="2808"/>
        <w:gridCol w:w="6762"/>
      </w:tblGrid>
      <w:tr w:rsidTr="00B359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EVIDENCE GUIDE</w:t>
            </w:r>
          </w:p>
        </w:tc>
      </w:tr>
      <w:tr w:rsidTr="00B359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t xml:space="preserve">The Evidence Guide provides advice on assessment and must be read in conjunction with the performance criteria, required skills and knowledge, </w:t>
            </w:r>
            <w:r w:rsidRPr="007B106B">
              <w:t>range statement and the Assessment Guidelines for the Training Package.</w:t>
            </w:r>
          </w:p>
        </w:tc>
      </w:tr>
      <w:tr w:rsidTr="00B35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p>
        </w:tc>
      </w:tr>
      <w:tr w:rsidTr="00B35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Evidence of the ability to:</w:t>
            </w:r>
          </w:p>
          <w:p w:rsidR="00000000" w:rsidRPr="007B106B" w:rsidP="007B106B">
            <w:pPr>
              <w:pStyle w:val="ListBullet"/>
            </w:pPr>
            <w:r w:rsidRPr="007B106B">
              <w:t xml:space="preserve">interpret and comply with relevant </w:t>
            </w:r>
            <w:r w:rsidRPr="007B106B">
              <w:t>legislation</w:t>
            </w:r>
          </w:p>
          <w:p w:rsidR="00000000" w:rsidRPr="007B106B" w:rsidP="007B106B">
            <w:pPr>
              <w:pStyle w:val="ListBullet"/>
            </w:pPr>
            <w:r w:rsidRPr="007B106B">
              <w:t>accurately check customer accounts</w:t>
            </w:r>
          </w:p>
          <w:p w:rsidR="00000000" w:rsidRPr="007B106B" w:rsidP="007B106B">
            <w:pPr>
              <w:pStyle w:val="ListBullet"/>
            </w:pPr>
            <w:r w:rsidRPr="007B106B">
              <w:t>exhibit appropriate empathy to customers</w:t>
            </w:r>
          </w:p>
          <w:p w:rsidR="00000000" w:rsidP="007B106B">
            <w:pPr>
              <w:pStyle w:val="ListBullet"/>
              <w:rPr>
                <w:lang w:val="en-NZ"/>
              </w:rPr>
            </w:pPr>
            <w:r w:rsidRPr="007B106B">
              <w:t>analyse relevant company data.</w:t>
            </w:r>
          </w:p>
        </w:tc>
      </w:tr>
      <w:tr w:rsidTr="00B35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Assessment must ensure:</w:t>
            </w:r>
          </w:p>
          <w:p w:rsidR="00000000" w:rsidRPr="007B106B" w:rsidP="007B106B">
            <w:pPr>
              <w:pStyle w:val="ListBullet"/>
            </w:pPr>
            <w:r w:rsidRPr="007B106B">
              <w:t>competency is demonstrated in the context of the financial services work environment and conditions specified in the range statement either in a relevant workplace or a closely simulated work environment</w:t>
            </w:r>
          </w:p>
          <w:p w:rsidR="00000000" w:rsidRPr="007B106B" w:rsidP="007B106B">
            <w:pPr>
              <w:pStyle w:val="ListBullet"/>
            </w:pPr>
            <w:r w:rsidRPr="007B106B">
              <w:t>access to and the use of a range of common office eq</w:t>
            </w:r>
            <w:r w:rsidRPr="007B106B">
              <w:t>uipment, technology, software and consumables</w:t>
            </w:r>
          </w:p>
          <w:p w:rsidR="00000000" w:rsidP="007B106B">
            <w:pPr>
              <w:pStyle w:val="ListBullet"/>
              <w:rPr>
                <w:lang w:val="en-NZ"/>
              </w:rPr>
            </w:pPr>
            <w:r w:rsidRPr="007B106B">
              <w:t>access to organisational policies and procedures for debt factoring and invoice discounting and relevant legislation.</w:t>
            </w:r>
          </w:p>
        </w:tc>
      </w:tr>
      <w:tr w:rsidTr="00B35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A range of assessment methods should be used to assess practical skill</w:t>
            </w:r>
            <w:r w:rsidRPr="007B106B">
              <w:t>s and knowledge. The following examples, in combination, are appropriate for this unit:</w:t>
            </w:r>
          </w:p>
          <w:p w:rsidR="00000000" w:rsidRPr="007B106B" w:rsidP="007B106B">
            <w:pPr>
              <w:pStyle w:val="ListBullet"/>
            </w:pPr>
            <w:r w:rsidRPr="007B106B">
              <w:t>evaluating an integrated activity which combines the elements of competency for the unit or a cluster of related units of competency</w:t>
            </w:r>
          </w:p>
          <w:p w:rsidR="00000000" w:rsidRPr="007B106B" w:rsidP="007B106B">
            <w:pPr>
              <w:pStyle w:val="ListBullet"/>
            </w:pPr>
            <w:r w:rsidRPr="007B106B">
              <w:t>verbal or written questioning on u</w:t>
            </w:r>
            <w:r w:rsidRPr="007B106B">
              <w:t>nderpinning knowledge and skills</w:t>
            </w:r>
          </w:p>
          <w:p w:rsidR="00000000" w:rsidRPr="007B106B" w:rsidP="007B106B">
            <w:pPr>
              <w:pStyle w:val="ListBullet"/>
            </w:pPr>
            <w:r w:rsidRPr="007B106B">
              <w:t>setting and reviewing business simulations or scenarios</w:t>
            </w:r>
          </w:p>
          <w:p w:rsidR="00000000" w:rsidP="007B106B">
            <w:pPr>
              <w:pStyle w:val="ListBullet"/>
              <w:rPr>
                <w:lang w:val="en-NZ"/>
              </w:rPr>
            </w:pPr>
            <w:r w:rsidRPr="007B106B">
              <w:t>accessing and validating third party reports.</w:t>
            </w:r>
          </w:p>
        </w:tc>
      </w:tr>
      <w:tr w:rsidTr="00B35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11" w:name="O_77965"/>
      <w:bookmarkEnd w:id="11"/>
      <w:r w:rsidRPr="007B106B">
        <w:t>Range Statement</w:t>
      </w:r>
    </w:p>
    <w:tbl>
      <w:tblPr>
        <w:tblW w:w="0" w:type="auto"/>
        <w:tblLayout w:type="fixed"/>
        <w:tblCellMar>
          <w:left w:w="62" w:type="dxa"/>
          <w:right w:w="62" w:type="dxa"/>
        </w:tblCellMar>
        <w:tblLook w:val="0000"/>
      </w:tblPr>
      <w:tblGrid>
        <w:gridCol w:w="2539"/>
        <w:gridCol w:w="5983"/>
      </w:tblGrid>
      <w:tr w:rsidTr="00B359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RANGE STATEMENT</w:t>
            </w:r>
          </w:p>
        </w:tc>
      </w:tr>
      <w:tr w:rsidTr="00B35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t>The range statement relates to the unit of competency as a whole. It allows for different work environments and situations that may affect performance. Bold italicised wording, if used in the performance criteria, is detailed below. Essential operating con</w:t>
            </w:r>
            <w:r w:rsidRPr="007B106B">
              <w:t>ditions that may be present with training and assessment (depending on the work situation, needs of the candidate, accessibility of the item, and local industry and regional contexts) may also be included.</w:t>
            </w:r>
          </w:p>
        </w:tc>
      </w:tr>
      <w:tr w:rsidTr="00B359B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BoldandItalics"/>
              </w:rPr>
              <w:t>Policy and procedures</w:t>
            </w:r>
            <w:r w:rsidRPr="007B106B">
              <w:t xml:space="preserve"> may include, but are not l</w:t>
            </w:r>
            <w:r w:rsidRPr="007B106B">
              <w:t>imited to:</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assistance to customers on billing and collection problems</w:t>
            </w:r>
          </w:p>
          <w:p w:rsidR="00000000" w:rsidRPr="007B106B" w:rsidP="007B106B">
            <w:pPr>
              <w:pStyle w:val="ListBullet"/>
            </w:pPr>
            <w:r w:rsidRPr="007B106B">
              <w:t>gathering debt information and its evaluation</w:t>
            </w:r>
          </w:p>
          <w:p w:rsidR="00000000" w:rsidRPr="007B106B" w:rsidP="007B106B">
            <w:pPr>
              <w:pStyle w:val="ListBullet"/>
            </w:pPr>
            <w:r w:rsidRPr="007B106B">
              <w:t>legal obligations and framework</w:t>
            </w:r>
          </w:p>
          <w:p w:rsidR="00000000" w:rsidRPr="007B106B" w:rsidP="007B106B">
            <w:pPr>
              <w:pStyle w:val="ListBullet"/>
            </w:pPr>
            <w:r w:rsidRPr="007B106B">
              <w:t>making billing adjustments to customer account files</w:t>
            </w:r>
          </w:p>
          <w:p w:rsidR="00000000" w:rsidRPr="007B106B" w:rsidP="007B106B">
            <w:pPr>
              <w:pStyle w:val="ListBullet"/>
            </w:pPr>
            <w:r w:rsidRPr="007B106B">
              <w:t>minimising risk</w:t>
            </w:r>
          </w:p>
          <w:p w:rsidR="00000000" w:rsidRPr="007B106B" w:rsidP="007B106B">
            <w:pPr>
              <w:pStyle w:val="ListBullet"/>
            </w:pPr>
            <w:r w:rsidRPr="007B106B">
              <w:t>reviewing and adjusting credit limits for established customers</w:t>
            </w:r>
          </w:p>
          <w:p w:rsidR="00000000" w:rsidP="007B106B">
            <w:pPr>
              <w:pStyle w:val="ListBullet"/>
              <w:rPr>
                <w:lang w:val="en-NZ"/>
              </w:rPr>
            </w:pPr>
            <w:r w:rsidRPr="007B106B">
              <w:t>trading terms and credit limits.</w:t>
            </w:r>
          </w:p>
        </w:tc>
      </w:tr>
      <w:tr w:rsidTr="00B359B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BoldandItalics"/>
              </w:rPr>
              <w:t>Advantages and disadvantages</w:t>
            </w:r>
            <w:r w:rsidRPr="007B106B">
              <w:t xml:space="preserve"> may include, but are not limited to:</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cost saving through outsourced administration</w:t>
            </w:r>
          </w:p>
          <w:p w:rsidR="00000000" w:rsidRPr="007B106B" w:rsidP="007B106B">
            <w:pPr>
              <w:pStyle w:val="ListBullet"/>
            </w:pPr>
            <w:r w:rsidRPr="007B106B">
              <w:t>immediate cash flow</w:t>
            </w:r>
          </w:p>
          <w:p w:rsidR="00000000" w:rsidRPr="007B106B" w:rsidP="007B106B">
            <w:pPr>
              <w:pStyle w:val="ListBullet"/>
            </w:pPr>
            <w:r w:rsidRPr="007B106B">
              <w:t>maintenance of good custo</w:t>
            </w:r>
            <w:r w:rsidRPr="007B106B">
              <w:t>mer relationships</w:t>
            </w:r>
          </w:p>
          <w:p w:rsidR="00000000" w:rsidRPr="007B106B" w:rsidP="007B106B">
            <w:pPr>
              <w:pStyle w:val="ListBullet"/>
            </w:pPr>
            <w:r w:rsidRPr="007B106B">
              <w:t>recovery of costs associated with debt</w:t>
            </w:r>
          </w:p>
          <w:p w:rsidR="00000000" w:rsidRPr="007B106B" w:rsidP="007B106B">
            <w:pPr>
              <w:pStyle w:val="ListBullet"/>
            </w:pPr>
            <w:r w:rsidRPr="007B106B">
              <w:t>risk reduction</w:t>
            </w:r>
          </w:p>
          <w:p w:rsidR="00000000" w:rsidRPr="007B106B" w:rsidP="007B106B">
            <w:pPr>
              <w:pStyle w:val="ListBullet"/>
            </w:pPr>
            <w:r w:rsidRPr="007B106B">
              <w:t>security</w:t>
            </w:r>
          </w:p>
          <w:p w:rsidR="00000000" w:rsidP="007B106B">
            <w:pPr>
              <w:pStyle w:val="ListBullet"/>
              <w:rPr>
                <w:lang w:val="en-NZ"/>
              </w:rPr>
            </w:pPr>
            <w:r w:rsidRPr="007B106B">
              <w:t>working capital for growth.</w:t>
            </w:r>
          </w:p>
        </w:tc>
      </w:tr>
      <w:tr w:rsidTr="00B359B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BoldandItalics"/>
              </w:rPr>
              <w:t>Statutory and legislative guidelines</w:t>
            </w:r>
            <w:r w:rsidRPr="007B106B">
              <w:t xml:space="preserve"> may include, but are not limited to:</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appropriate sections of the Tax Act</w:t>
            </w:r>
          </w:p>
          <w:p w:rsidR="00000000" w:rsidRPr="007B106B" w:rsidP="007B106B">
            <w:pPr>
              <w:pStyle w:val="ListBullet"/>
            </w:pPr>
            <w:r w:rsidRPr="007B106B">
              <w:t>Bankruptcy Act</w:t>
            </w:r>
          </w:p>
          <w:p w:rsidR="00000000" w:rsidRPr="007B106B" w:rsidP="007B106B">
            <w:pPr>
              <w:pStyle w:val="ListBullet"/>
            </w:pPr>
            <w:r w:rsidRPr="007B106B">
              <w:t>Bills of Sale and Other Instruments Act</w:t>
            </w:r>
          </w:p>
          <w:p w:rsidR="00000000" w:rsidRPr="007B106B" w:rsidP="007B106B">
            <w:pPr>
              <w:pStyle w:val="ListBullet"/>
            </w:pPr>
            <w:r w:rsidRPr="007B106B">
              <w:t>Cheques and Payment Orders Act</w:t>
            </w:r>
          </w:p>
          <w:p w:rsidR="00000000" w:rsidRPr="007B106B" w:rsidP="007B106B">
            <w:pPr>
              <w:pStyle w:val="ListBullet"/>
            </w:pPr>
            <w:r w:rsidRPr="007B106B">
              <w:t>Corporations Act</w:t>
            </w:r>
          </w:p>
          <w:p w:rsidR="00000000" w:rsidRPr="007B106B" w:rsidP="007B106B">
            <w:pPr>
              <w:pStyle w:val="ListBullet"/>
            </w:pPr>
            <w:r w:rsidRPr="007B106B">
              <w:t>Criminal Act</w:t>
            </w:r>
          </w:p>
          <w:p w:rsidR="00000000" w:rsidRPr="007B106B" w:rsidP="007B106B">
            <w:pPr>
              <w:pStyle w:val="ListBullet"/>
            </w:pPr>
            <w:r w:rsidRPr="007B106B">
              <w:t>equal opportunities legislation</w:t>
            </w:r>
          </w:p>
          <w:p w:rsidR="00000000" w:rsidRPr="007B106B" w:rsidP="007B106B">
            <w:pPr>
              <w:pStyle w:val="ListBullet"/>
            </w:pPr>
            <w:r w:rsidRPr="007B106B">
              <w:t>Fair Trading Act</w:t>
            </w:r>
          </w:p>
          <w:p w:rsidR="00000000" w:rsidRPr="007B106B" w:rsidP="007B106B">
            <w:pPr>
              <w:pStyle w:val="ListBullet"/>
            </w:pPr>
            <w:r w:rsidRPr="007B106B">
              <w:t>Magistrates' Court Act</w:t>
            </w:r>
          </w:p>
          <w:p w:rsidR="00000000" w:rsidRPr="007B106B" w:rsidP="007B106B">
            <w:pPr>
              <w:pStyle w:val="ListBullet"/>
            </w:pPr>
            <w:r w:rsidRPr="007B106B">
              <w:t>National Consumer Credit Protection Acts</w:t>
            </w:r>
          </w:p>
          <w:p w:rsidR="00000000" w:rsidRPr="007B106B" w:rsidP="007B106B">
            <w:pPr>
              <w:pStyle w:val="ListBullet"/>
            </w:pPr>
            <w:r w:rsidRPr="007B106B">
              <w:t>Partnership Act</w:t>
            </w:r>
          </w:p>
          <w:p w:rsidR="00000000" w:rsidRPr="007B106B" w:rsidP="007B106B">
            <w:pPr>
              <w:pStyle w:val="ListBullet"/>
            </w:pPr>
            <w:r w:rsidRPr="007B106B">
              <w:t>Personal Property Security</w:t>
            </w:r>
            <w:r w:rsidRPr="007B106B">
              <w:t xml:space="preserve"> Act</w:t>
            </w:r>
          </w:p>
          <w:p w:rsidR="00000000" w:rsidRPr="007B106B" w:rsidP="007B106B">
            <w:pPr>
              <w:pStyle w:val="ListBullet"/>
            </w:pPr>
            <w:r w:rsidRPr="007B106B">
              <w:t>Privacy Act</w:t>
            </w:r>
          </w:p>
          <w:p w:rsidR="00000000" w:rsidRPr="007B106B" w:rsidP="007B106B">
            <w:pPr>
              <w:pStyle w:val="ListBullet"/>
            </w:pPr>
            <w:r w:rsidRPr="007B106B">
              <w:t>Small Debts Court Act or equivalent</w:t>
            </w:r>
          </w:p>
          <w:p w:rsidR="00000000" w:rsidP="007B106B">
            <w:pPr>
              <w:pStyle w:val="ListBullet"/>
              <w:rPr>
                <w:lang w:val="en-NZ"/>
              </w:rPr>
            </w:pPr>
            <w:r w:rsidRPr="007B106B">
              <w:t>Trade Practices Act.</w:t>
            </w:r>
          </w:p>
        </w:tc>
      </w:tr>
      <w:tr w:rsidTr="00B359B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BoldandItalics"/>
              </w:rPr>
              <w:t>Terms and conditions</w:t>
            </w:r>
            <w:r w:rsidRPr="007B106B">
              <w:t xml:space="preserve"> may include, but are not limited to:</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ListBullet"/>
            </w:pPr>
            <w:r w:rsidRPr="007B106B">
              <w:t>agreement components</w:t>
            </w:r>
          </w:p>
          <w:p w:rsidR="00000000" w:rsidRPr="007B106B" w:rsidP="007B106B">
            <w:pPr>
              <w:pStyle w:val="ListBullet"/>
            </w:pPr>
            <w:r w:rsidRPr="007B106B">
              <w:t>asset control</w:t>
            </w:r>
          </w:p>
          <w:p w:rsidR="00000000" w:rsidRPr="007B106B" w:rsidP="007B106B">
            <w:pPr>
              <w:pStyle w:val="ListBullet"/>
            </w:pPr>
            <w:r w:rsidRPr="007B106B">
              <w:t>cooperation factoring</w:t>
            </w:r>
          </w:p>
          <w:p w:rsidR="00000000" w:rsidRPr="007B106B" w:rsidP="007B106B">
            <w:pPr>
              <w:pStyle w:val="ListBullet"/>
            </w:pPr>
            <w:r w:rsidRPr="007B106B">
              <w:t>debtor administration</w:t>
            </w:r>
          </w:p>
          <w:p w:rsidR="00000000" w:rsidRPr="007B106B" w:rsidP="007B106B">
            <w:pPr>
              <w:pStyle w:val="ListBullet"/>
            </w:pPr>
            <w:r w:rsidRPr="007B106B">
              <w:t>invoice discounting.</w:t>
            </w:r>
          </w:p>
        </w:tc>
      </w:tr>
    </w:tbl>
    <w:p w:rsidR="00B359BF" w:rsidP="007B106B">
      <w:pPr>
        <w:pStyle w:val="BodyText"/>
      </w:pPr>
    </w:p>
    <w:p w:rsidR="00B359BF" w:rsidP="007B106B">
      <w:pPr>
        <w:pStyle w:val="BodyText"/>
      </w:pPr>
    </w:p>
    <w:p w:rsidR="00000000" w:rsidRPr="007B106B" w:rsidP="007B106B">
      <w:pPr>
        <w:pStyle w:val="Heading1"/>
      </w:pPr>
      <w:bookmarkStart w:id="12" w:name="O_77966"/>
      <w:bookmarkEnd w:id="12"/>
      <w:r w:rsidRPr="007B106B">
        <w:t>Unit Sector(s)</w:t>
      </w:r>
    </w:p>
    <w:tbl>
      <w:tblPr>
        <w:tblW w:w="0" w:type="auto"/>
        <w:tblLayout w:type="fixed"/>
        <w:tblCellMar>
          <w:left w:w="62" w:type="dxa"/>
          <w:right w:w="62" w:type="dxa"/>
        </w:tblCellMar>
        <w:tblLook w:val="0000"/>
      </w:tblPr>
      <w:tblGrid>
        <w:gridCol w:w="2607"/>
        <w:gridCol w:w="5915"/>
      </w:tblGrid>
      <w:tr w:rsidTr="00B359BF">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r w:rsidRPr="007B106B">
              <w:t>Credit management</w:t>
            </w: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13" w:name="O_156227"/>
      <w:bookmarkEnd w:id="13"/>
      <w:r w:rsidRPr="007B106B">
        <w:t>Competency field</w:t>
      </w:r>
    </w:p>
    <w:tbl>
      <w:tblPr>
        <w:tblW w:w="0" w:type="auto"/>
        <w:tblLayout w:type="fixed"/>
        <w:tblCellMar>
          <w:left w:w="62" w:type="dxa"/>
          <w:right w:w="62" w:type="dxa"/>
        </w:tblCellMar>
        <w:tblLook w:val="0000"/>
      </w:tblPr>
      <w:tblGrid>
        <w:gridCol w:w="2754"/>
        <w:gridCol w:w="5768"/>
      </w:tblGrid>
      <w:tr w:rsidTr="00B359B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p>
        </w:tc>
      </w:tr>
    </w:tbl>
    <w:p w:rsidR="00000000" w:rsidRPr="007B106B" w:rsidP="007B106B">
      <w:pPr>
        <w:pStyle w:val="BodyText"/>
      </w:pPr>
    </w:p>
    <w:p w:rsidR="00000000" w:rsidRPr="007B106B" w:rsidP="007B106B">
      <w:pPr>
        <w:pStyle w:val="AllowPageBreak"/>
      </w:pPr>
    </w:p>
    <w:p w:rsidR="00000000" w:rsidRPr="007B106B" w:rsidP="007B106B">
      <w:pPr>
        <w:pStyle w:val="Heading1"/>
      </w:pPr>
      <w:bookmarkStart w:id="14" w:name="O_156226"/>
      <w:bookmarkEnd w:id="14"/>
      <w:r w:rsidRPr="007B106B">
        <w:t>Co-requisite units</w:t>
      </w:r>
    </w:p>
    <w:tbl>
      <w:tblPr>
        <w:tblW w:w="0" w:type="auto"/>
        <w:tblLayout w:type="fixed"/>
        <w:tblCellMar>
          <w:left w:w="62" w:type="dxa"/>
          <w:right w:w="62" w:type="dxa"/>
        </w:tblCellMar>
        <w:tblLook w:val="0000"/>
      </w:tblPr>
      <w:tblGrid>
        <w:gridCol w:w="2629"/>
        <w:gridCol w:w="1324"/>
        <w:gridCol w:w="4569"/>
      </w:tblGrid>
      <w:tr w:rsidTr="00B359B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r w:rsidRPr="007B106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6B">
            <w:pPr>
              <w:pStyle w:val="BodyText"/>
              <w:rPr>
                <w:lang w:val="en-NZ"/>
              </w:rPr>
            </w:pPr>
          </w:p>
        </w:tc>
      </w:tr>
      <w:tr w:rsidTr="00B359B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6B" w:rsidP="007B106B">
            <w:pPr>
              <w:pStyle w:val="BodyText"/>
            </w:pPr>
          </w:p>
        </w:tc>
      </w:tr>
    </w:tbl>
    <w:p w:rsidR="00000000" w:rsidRPr="007B106B" w:rsidP="007B106B">
      <w:pPr>
        <w:pStyle w:val="BodyText"/>
      </w:pPr>
    </w:p>
    <w:p w:rsidR="00000000" w:rsidRPr="007B106B" w:rsidP="007B106B"/>
    <w:sectPr w:rsidSect="007B1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9BF" w:rsidP="00B35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BF" w:rsidP="007B1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59BF" w:rsidP="007B1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59BF" w:rsidP="007B1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9BF" w:rsidP="00B359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BF" w:rsidP="007B106B">
    <w:pPr>
      <w:pStyle w:val="Header"/>
      <w:framePr w:wrap="around"/>
    </w:pPr>
    <w:r>
      <w:fldChar w:fldCharType="begin"/>
    </w:r>
    <w:r>
      <w:instrText xml:space="preserve"> TITLE   \* MERGEFORMAT </w:instrText>
    </w:r>
    <w:r>
      <w:fldChar w:fldCharType="separate"/>
    </w:r>
    <w:r>
      <w:t>FNSCRD502A Manage factoring and invoice discounting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59BF" w:rsidP="007B1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44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48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85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06B"/>
    <w:pPr>
      <w:spacing w:before="360" w:after="60"/>
      <w:outlineLvl w:val="0"/>
    </w:pPr>
    <w:rPr>
      <w:sz w:val="32"/>
    </w:rPr>
  </w:style>
  <w:style w:type="paragraph" w:styleId="Heading2">
    <w:name w:val="heading 2"/>
    <w:basedOn w:val="HeadingBase"/>
    <w:next w:val="BodyText"/>
    <w:link w:val="Heading2Char"/>
    <w:qFormat/>
    <w:rsid w:val="007B106B"/>
    <w:pPr>
      <w:keepLines/>
      <w:spacing w:before="240" w:after="120"/>
      <w:outlineLvl w:val="1"/>
    </w:pPr>
    <w:rPr>
      <w:sz w:val="28"/>
      <w:szCs w:val="40"/>
    </w:rPr>
  </w:style>
  <w:style w:type="paragraph" w:styleId="Heading3">
    <w:name w:val="heading 3"/>
    <w:basedOn w:val="HeadingBase"/>
    <w:next w:val="BodyText"/>
    <w:link w:val="Heading3Char"/>
    <w:qFormat/>
    <w:rsid w:val="007B106B"/>
    <w:pPr>
      <w:spacing w:before="180" w:after="120"/>
      <w:outlineLvl w:val="2"/>
    </w:pPr>
    <w:rPr>
      <w:spacing w:val="-10"/>
      <w:kern w:val="32"/>
    </w:rPr>
  </w:style>
  <w:style w:type="paragraph" w:styleId="Heading4">
    <w:name w:val="heading 4"/>
    <w:basedOn w:val="HeadingBase"/>
    <w:next w:val="BodyText"/>
    <w:link w:val="Heading4Char"/>
    <w:qFormat/>
    <w:rsid w:val="007B106B"/>
    <w:pPr>
      <w:spacing w:before="160" w:after="120"/>
      <w:outlineLvl w:val="3"/>
    </w:pPr>
    <w:rPr>
      <w:sz w:val="22"/>
    </w:rPr>
  </w:style>
  <w:style w:type="paragraph" w:styleId="Heading5">
    <w:name w:val="heading 5"/>
    <w:basedOn w:val="HeadingBase"/>
    <w:next w:val="Normal"/>
    <w:link w:val="Heading5Char"/>
    <w:qFormat/>
    <w:rsid w:val="007B106B"/>
    <w:pPr>
      <w:spacing w:before="80"/>
      <w:outlineLvl w:val="4"/>
    </w:pPr>
    <w:rPr>
      <w:color w:val="918585"/>
      <w:sz w:val="20"/>
    </w:rPr>
  </w:style>
  <w:style w:type="paragraph" w:styleId="Heading6">
    <w:name w:val="heading 6"/>
    <w:basedOn w:val="HeadingBase"/>
    <w:next w:val="Normal"/>
    <w:link w:val="Heading6Char"/>
    <w:qFormat/>
    <w:rsid w:val="007B106B"/>
    <w:pPr>
      <w:spacing w:before="60"/>
      <w:outlineLvl w:val="5"/>
    </w:pPr>
    <w:rPr>
      <w:color w:val="918585"/>
      <w:sz w:val="20"/>
    </w:rPr>
  </w:style>
  <w:style w:type="paragraph" w:styleId="Heading7">
    <w:name w:val="heading 7"/>
    <w:basedOn w:val="Normal"/>
    <w:next w:val="Normal"/>
    <w:link w:val="Heading7Char"/>
    <w:qFormat/>
    <w:rsid w:val="007B106B"/>
    <w:pPr>
      <w:ind w:left="720"/>
      <w:outlineLvl w:val="6"/>
    </w:pPr>
    <w:rPr>
      <w:i/>
    </w:rPr>
  </w:style>
  <w:style w:type="paragraph" w:styleId="Heading8">
    <w:name w:val="heading 8"/>
    <w:basedOn w:val="Normal"/>
    <w:next w:val="Normal"/>
    <w:link w:val="Heading8Char"/>
    <w:qFormat/>
    <w:rsid w:val="007B106B"/>
    <w:pPr>
      <w:ind w:left="720"/>
      <w:outlineLvl w:val="7"/>
    </w:pPr>
    <w:rPr>
      <w:i/>
    </w:rPr>
  </w:style>
  <w:style w:type="paragraph" w:styleId="Heading9">
    <w:name w:val="heading 9"/>
    <w:basedOn w:val="Normal"/>
    <w:next w:val="Normal"/>
    <w:link w:val="Heading9Char"/>
    <w:qFormat/>
    <w:rsid w:val="007B106B"/>
    <w:pPr>
      <w:ind w:left="720"/>
      <w:outlineLvl w:val="8"/>
    </w:pPr>
    <w:rPr>
      <w:i/>
    </w:rPr>
  </w:style>
  <w:style w:type="character" w:default="1" w:styleId="DefaultParagraphFont">
    <w:name w:val="Default Paragraph Font"/>
    <w:uiPriority w:val="1"/>
    <w:unhideWhenUsed/>
    <w:rsid w:val="007B1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06B"/>
  </w:style>
  <w:style w:type="character" w:customStyle="1" w:styleId="Heading1Char">
    <w:name w:val="Heading 1 Char"/>
    <w:basedOn w:val="DefaultParagraphFont"/>
    <w:link w:val="Heading1"/>
    <w:rsid w:val="007B106B"/>
    <w:rPr>
      <w:rFonts w:ascii="Times New Roman" w:eastAsia="Times New Roman" w:hAnsi="Times New Roman" w:cs="Times New Roman"/>
      <w:b/>
      <w:sz w:val="32"/>
      <w:szCs w:val="20"/>
      <w:lang w:eastAsia="en-US"/>
    </w:rPr>
  </w:style>
  <w:style w:type="paragraph" w:styleId="BodyText">
    <w:name w:val="Body Text"/>
    <w:basedOn w:val="Normal"/>
    <w:link w:val="BodyTextChar"/>
    <w:rsid w:val="007B1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06B"/>
    <w:rPr>
      <w:rFonts w:ascii="Times New Roman" w:eastAsia="Times New Roman" w:hAnsi="Times New Roman" w:cs="Times New Roman"/>
      <w:sz w:val="24"/>
      <w:lang w:val="en-US" w:eastAsia="en-US"/>
    </w:rPr>
  </w:style>
  <w:style w:type="paragraph" w:styleId="Footer">
    <w:name w:val="footer"/>
    <w:basedOn w:val="Normal"/>
    <w:link w:val="FooterChar"/>
    <w:rsid w:val="007B1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06B"/>
    <w:rPr>
      <w:rFonts w:ascii="Times New Roman" w:eastAsia="Times New Roman" w:hAnsi="Times New Roman" w:cs="Times New Roman"/>
      <w:sz w:val="16"/>
      <w:lang w:val="en-US" w:eastAsia="en-US"/>
    </w:rPr>
  </w:style>
  <w:style w:type="paragraph" w:styleId="List">
    <w:name w:val="List"/>
    <w:basedOn w:val="BodyText"/>
    <w:next w:val="BodyText"/>
    <w:rsid w:val="007B106B"/>
    <w:pPr>
      <w:tabs>
        <w:tab w:val="left" w:pos="340"/>
      </w:tabs>
      <w:spacing w:before="60" w:after="60"/>
      <w:ind w:left="340" w:hanging="340"/>
    </w:pPr>
  </w:style>
  <w:style w:type="paragraph" w:styleId="ListBullet">
    <w:name w:val="List Bullet"/>
    <w:basedOn w:val="List"/>
    <w:rsid w:val="007B106B"/>
    <w:pPr>
      <w:numPr>
        <w:numId w:val="13"/>
      </w:numPr>
      <w:tabs>
        <w:tab w:val="clear" w:pos="340"/>
      </w:tabs>
      <w:spacing w:before="40" w:after="40"/>
    </w:pPr>
  </w:style>
  <w:style w:type="character" w:customStyle="1" w:styleId="SpecialBold">
    <w:name w:val="Special Bold"/>
    <w:basedOn w:val="DefaultParagraphFont"/>
    <w:rsid w:val="007B106B"/>
    <w:rPr>
      <w:b/>
      <w:spacing w:val="0"/>
    </w:rPr>
  </w:style>
  <w:style w:type="paragraph" w:styleId="ListBullet2">
    <w:name w:val="List Bullet 2"/>
    <w:basedOn w:val="List2"/>
    <w:rsid w:val="007B106B"/>
    <w:pPr>
      <w:numPr>
        <w:numId w:val="14"/>
      </w:numPr>
      <w:tabs>
        <w:tab w:val="clear" w:pos="680"/>
      </w:tabs>
    </w:pPr>
  </w:style>
  <w:style w:type="paragraph" w:styleId="Header">
    <w:name w:val="header"/>
    <w:basedOn w:val="Normal"/>
    <w:link w:val="HeaderChar"/>
    <w:rsid w:val="007B1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06B"/>
    <w:pPr>
      <w:spacing w:before="240" w:after="120"/>
      <w:outlineLvl w:val="0"/>
    </w:pPr>
    <w:rPr>
      <w:rFonts w:ascii="Times New Roman" w:hAnsi="Times New Roman"/>
      <w:b/>
      <w:sz w:val="28"/>
    </w:rPr>
  </w:style>
  <w:style w:type="paragraph" w:customStyle="1" w:styleId="AllowPageBreak">
    <w:name w:val="AllowPageBreak"/>
    <w:rsid w:val="007B10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06B"/>
    <w:pPr>
      <w:tabs>
        <w:tab w:val="left" w:pos="680"/>
      </w:tabs>
      <w:spacing w:before="60" w:after="60"/>
      <w:ind w:left="680" w:hanging="340"/>
    </w:pPr>
  </w:style>
  <w:style w:type="character" w:customStyle="1" w:styleId="BoldandItalics">
    <w:name w:val="Bold and Italics"/>
    <w:qFormat/>
    <w:rsid w:val="007B106B"/>
    <w:rPr>
      <w:b/>
      <w:i/>
      <w:u w:val="none"/>
    </w:rPr>
  </w:style>
  <w:style w:type="character" w:customStyle="1" w:styleId="Heading2Char">
    <w:name w:val="Heading 2 Char"/>
    <w:basedOn w:val="DefaultParagraphFont"/>
    <w:link w:val="Heading2"/>
    <w:rsid w:val="007B1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06B"/>
    <w:rPr>
      <w:rFonts w:ascii="Courier New" w:eastAsia="Times New Roman" w:hAnsi="Courier New" w:cs="Times New Roman"/>
      <w:i/>
      <w:szCs w:val="20"/>
      <w:lang w:val="en-US" w:eastAsia="en-US"/>
    </w:rPr>
  </w:style>
  <w:style w:type="paragraph" w:customStyle="1" w:styleId="HeadingBase">
    <w:name w:val="Heading Base"/>
    <w:rsid w:val="007B1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06B"/>
    <w:pPr>
      <w:tabs>
        <w:tab w:val="right" w:leader="dot" w:pos="9072"/>
      </w:tabs>
      <w:ind w:left="567"/>
    </w:pPr>
    <w:rPr>
      <w:szCs w:val="22"/>
    </w:rPr>
  </w:style>
  <w:style w:type="paragraph" w:customStyle="1" w:styleId="TOCBase">
    <w:name w:val="TOC Base"/>
    <w:rsid w:val="007B1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06B"/>
    <w:pPr>
      <w:tabs>
        <w:tab w:val="right" w:leader="dot" w:pos="9072"/>
      </w:tabs>
      <w:spacing w:before="40" w:after="40"/>
      <w:ind w:left="284"/>
    </w:pPr>
    <w:rPr>
      <w:rFonts w:ascii="Times New Roman" w:hAnsi="Times New Roman"/>
    </w:rPr>
  </w:style>
  <w:style w:type="paragraph" w:styleId="TOC1">
    <w:name w:val="toc 1"/>
    <w:basedOn w:val="TOCBase"/>
    <w:next w:val="Normal"/>
    <w:rsid w:val="007B1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06B"/>
    <w:pPr>
      <w:spacing w:before="5040"/>
      <w:jc w:val="center"/>
    </w:pPr>
    <w:rPr>
      <w:sz w:val="48"/>
      <w:szCs w:val="72"/>
      <w:lang w:val="en-US"/>
    </w:rPr>
  </w:style>
  <w:style w:type="character" w:customStyle="1" w:styleId="TitleChar">
    <w:name w:val="Title Char"/>
    <w:basedOn w:val="DefaultParagraphFont"/>
    <w:link w:val="Title"/>
    <w:rsid w:val="007B1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06B"/>
    <w:pPr>
      <w:tabs>
        <w:tab w:val="left" w:pos="3600"/>
        <w:tab w:val="left" w:pos="3958"/>
      </w:tabs>
    </w:pPr>
  </w:style>
  <w:style w:type="paragraph" w:customStyle="1" w:styleId="Note">
    <w:name w:val="Note"/>
    <w:basedOn w:val="BodyText"/>
    <w:rsid w:val="007B1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06B"/>
    <w:pPr>
      <w:framePr w:wrap="auto" w:hAnchor="text" w:y="6049"/>
    </w:pPr>
    <w:rPr>
      <w:color w:val="000000"/>
      <w:sz w:val="40"/>
    </w:rPr>
  </w:style>
  <w:style w:type="paragraph" w:customStyle="1" w:styleId="TOCTitle">
    <w:name w:val="TOCTitle"/>
    <w:basedOn w:val="Heading1"/>
    <w:rsid w:val="007B106B"/>
    <w:pPr>
      <w:spacing w:after="240"/>
      <w:jc w:val="center"/>
      <w:outlineLvl w:val="9"/>
    </w:pPr>
    <w:rPr>
      <w:caps/>
    </w:rPr>
  </w:style>
  <w:style w:type="paragraph" w:customStyle="1" w:styleId="Version">
    <w:name w:val="Version"/>
    <w:rsid w:val="007B1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06B"/>
    <w:pPr>
      <w:keepNext w:val="0"/>
      <w:tabs>
        <w:tab w:val="right" w:pos="4176"/>
      </w:tabs>
      <w:ind w:left="198" w:hanging="198"/>
    </w:pPr>
    <w:rPr>
      <w:rFonts w:ascii="Garamond" w:hAnsi="Garamond"/>
    </w:rPr>
  </w:style>
  <w:style w:type="paragraph" w:styleId="IndexHeading">
    <w:name w:val="index heading"/>
    <w:basedOn w:val="Normal"/>
    <w:next w:val="Index1"/>
    <w:semiHidden/>
    <w:rsid w:val="007B106B"/>
    <w:pPr>
      <w:spacing w:before="120" w:after="120"/>
    </w:pPr>
    <w:rPr>
      <w:rFonts w:ascii="Arial" w:hAnsi="Arial"/>
      <w:b/>
      <w:color w:val="918585"/>
      <w:sz w:val="24"/>
    </w:rPr>
  </w:style>
  <w:style w:type="paragraph" w:customStyle="1" w:styleId="Chapter">
    <w:name w:val="Chapter"/>
    <w:basedOn w:val="Normal"/>
    <w:rsid w:val="007B106B"/>
    <w:pPr>
      <w:spacing w:before="240"/>
    </w:pPr>
    <w:rPr>
      <w:rFonts w:ascii="Times New Roman" w:hAnsi="Times New Roman"/>
      <w:smallCaps/>
      <w:spacing w:val="80"/>
      <w:sz w:val="28"/>
    </w:rPr>
  </w:style>
  <w:style w:type="paragraph" w:customStyle="1" w:styleId="InChapter">
    <w:name w:val="InChapter"/>
    <w:basedOn w:val="Heading3"/>
    <w:rsid w:val="007B106B"/>
    <w:pPr>
      <w:spacing w:after="240"/>
      <w:outlineLvl w:val="9"/>
    </w:pPr>
    <w:rPr>
      <w:noProof/>
    </w:rPr>
  </w:style>
  <w:style w:type="paragraph" w:styleId="Index2">
    <w:name w:val="index 2"/>
    <w:basedOn w:val="Normal"/>
    <w:next w:val="Normal"/>
    <w:semiHidden/>
    <w:rsid w:val="007B106B"/>
    <w:pPr>
      <w:tabs>
        <w:tab w:val="right" w:pos="4176"/>
      </w:tabs>
      <w:ind w:left="568" w:hanging="284"/>
    </w:pPr>
    <w:rPr>
      <w:rFonts w:ascii="Garamond" w:hAnsi="Garamond"/>
    </w:rPr>
  </w:style>
  <w:style w:type="paragraph" w:customStyle="1" w:styleId="Byline">
    <w:name w:val="Byline"/>
    <w:rsid w:val="007B1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06B"/>
    <w:pPr>
      <w:tabs>
        <w:tab w:val="clear" w:pos="3600"/>
        <w:tab w:val="clear" w:pos="3958"/>
      </w:tabs>
      <w:jc w:val="right"/>
    </w:pPr>
  </w:style>
  <w:style w:type="character" w:styleId="Emphasis">
    <w:name w:val="Emphasis"/>
    <w:basedOn w:val="DefaultParagraphFont"/>
    <w:qFormat/>
    <w:rsid w:val="007B106B"/>
    <w:rPr>
      <w:i/>
    </w:rPr>
  </w:style>
  <w:style w:type="paragraph" w:styleId="Caption">
    <w:name w:val="caption"/>
    <w:basedOn w:val="BodyText"/>
    <w:next w:val="Normal"/>
    <w:qFormat/>
    <w:rsid w:val="007B106B"/>
    <w:pPr>
      <w:framePr w:w="2268" w:hSpace="181" w:vSpace="181" w:wrap="around" w:vAnchor="text" w:hAnchor="page" w:x="1135" w:y="285" w:anchorLock="1"/>
    </w:pPr>
    <w:rPr>
      <w:i/>
    </w:rPr>
  </w:style>
  <w:style w:type="paragraph" w:customStyle="1" w:styleId="MiniTOCTitle">
    <w:name w:val="MiniTOCTitle"/>
    <w:basedOn w:val="Heading4"/>
    <w:rsid w:val="007B106B"/>
    <w:pPr>
      <w:spacing w:before="240"/>
      <w:outlineLvl w:val="9"/>
    </w:pPr>
    <w:rPr>
      <w:noProof/>
      <w:sz w:val="24"/>
    </w:rPr>
  </w:style>
  <w:style w:type="paragraph" w:customStyle="1" w:styleId="MiniTOCItem">
    <w:name w:val="MiniTOCItem"/>
    <w:basedOn w:val="ListBullet"/>
    <w:rsid w:val="007B106B"/>
    <w:pPr>
      <w:numPr>
        <w:numId w:val="0"/>
      </w:numPr>
      <w:tabs>
        <w:tab w:val="right" w:leader="dot" w:pos="6521"/>
      </w:tabs>
      <w:spacing w:before="0" w:after="0"/>
    </w:pPr>
  </w:style>
  <w:style w:type="paragraph" w:customStyle="1" w:styleId="TOFTitle">
    <w:name w:val="TOFTitle"/>
    <w:basedOn w:val="TOCTitle"/>
    <w:rsid w:val="007B106B"/>
  </w:style>
  <w:style w:type="paragraph" w:styleId="TableofFigures">
    <w:name w:val="table of figures"/>
    <w:basedOn w:val="Normal"/>
    <w:next w:val="Normal"/>
    <w:semiHidden/>
    <w:rsid w:val="007B106B"/>
    <w:pPr>
      <w:tabs>
        <w:tab w:val="right" w:leader="dot" w:pos="9072"/>
      </w:tabs>
      <w:ind w:left="970" w:hanging="403"/>
    </w:pPr>
    <w:rPr>
      <w:rFonts w:ascii="Times New Roman" w:hAnsi="Times New Roman"/>
      <w:b/>
    </w:rPr>
  </w:style>
  <w:style w:type="paragraph" w:styleId="ListNumber">
    <w:name w:val="List Number"/>
    <w:basedOn w:val="List"/>
    <w:rsid w:val="007B106B"/>
    <w:pPr>
      <w:numPr>
        <w:numId w:val="11"/>
      </w:numPr>
    </w:pPr>
  </w:style>
  <w:style w:type="character" w:customStyle="1" w:styleId="WingdingSymbols">
    <w:name w:val="Wingding Symbols"/>
    <w:rsid w:val="007B106B"/>
    <w:rPr>
      <w:rFonts w:ascii="Wingdings" w:hAnsi="Wingdings"/>
    </w:rPr>
  </w:style>
  <w:style w:type="paragraph" w:customStyle="1" w:styleId="TableHeading">
    <w:name w:val="Table Heading"/>
    <w:basedOn w:val="HeadingBase"/>
    <w:rsid w:val="007B106B"/>
    <w:pPr>
      <w:keepLines/>
      <w:pBdr>
        <w:bottom w:val="single" w:sz="6" w:space="1" w:color="918585"/>
      </w:pBdr>
      <w:spacing w:before="240"/>
    </w:pPr>
  </w:style>
  <w:style w:type="character" w:customStyle="1" w:styleId="HotSpot">
    <w:name w:val="HotSpot"/>
    <w:rsid w:val="007B106B"/>
    <w:rPr>
      <w:color w:val="0033CC"/>
      <w:u w:val="none"/>
    </w:rPr>
  </w:style>
  <w:style w:type="paragraph" w:customStyle="1" w:styleId="BodyTextRight">
    <w:name w:val="Body Text Right"/>
    <w:basedOn w:val="BodyText"/>
    <w:rsid w:val="007B106B"/>
    <w:pPr>
      <w:spacing w:before="0" w:after="0"/>
      <w:jc w:val="right"/>
    </w:pPr>
  </w:style>
  <w:style w:type="paragraph" w:styleId="Index3">
    <w:name w:val="index 3"/>
    <w:basedOn w:val="ListNumber2"/>
    <w:next w:val="Normal"/>
    <w:semiHidden/>
    <w:rsid w:val="007B106B"/>
    <w:pPr>
      <w:numPr>
        <w:numId w:val="0"/>
      </w:numPr>
      <w:tabs>
        <w:tab w:val="right" w:leader="dot" w:pos="4176"/>
      </w:tabs>
    </w:pPr>
  </w:style>
  <w:style w:type="paragraph" w:styleId="ListNumber2">
    <w:name w:val="List Number 2"/>
    <w:basedOn w:val="List2"/>
    <w:rsid w:val="007B106B"/>
    <w:pPr>
      <w:numPr>
        <w:numId w:val="10"/>
      </w:numPr>
      <w:tabs>
        <w:tab w:val="clear" w:pos="1060"/>
      </w:tabs>
    </w:pPr>
  </w:style>
  <w:style w:type="paragraph" w:customStyle="1" w:styleId="MarginNote">
    <w:name w:val="Margin Note"/>
    <w:basedOn w:val="BodyText"/>
    <w:rsid w:val="007B1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06B"/>
    <w:rPr>
      <w:sz w:val="32"/>
    </w:rPr>
  </w:style>
  <w:style w:type="paragraph" w:customStyle="1" w:styleId="HeadingProcedure">
    <w:name w:val="Heading Procedure"/>
    <w:basedOn w:val="HeadingBase"/>
    <w:next w:val="Normal"/>
    <w:rsid w:val="007B106B"/>
    <w:pPr>
      <w:tabs>
        <w:tab w:val="left" w:pos="0"/>
      </w:tabs>
      <w:spacing w:before="120" w:after="60"/>
    </w:pPr>
    <w:rPr>
      <w:i/>
      <w:color w:val="918585"/>
      <w:sz w:val="22"/>
    </w:rPr>
  </w:style>
  <w:style w:type="paragraph" w:customStyle="1" w:styleId="TableBodyText">
    <w:name w:val="Table Body Text"/>
    <w:basedOn w:val="BodyText"/>
    <w:rsid w:val="007B106B"/>
    <w:pPr>
      <w:spacing w:before="60" w:after="60"/>
    </w:pPr>
  </w:style>
  <w:style w:type="paragraph" w:styleId="ListContinue">
    <w:name w:val="List Continue"/>
    <w:basedOn w:val="List"/>
    <w:rsid w:val="007B106B"/>
    <w:pPr>
      <w:ind w:firstLine="0"/>
    </w:pPr>
  </w:style>
  <w:style w:type="paragraph" w:customStyle="1" w:styleId="ListNote">
    <w:name w:val="List Note"/>
    <w:basedOn w:val="List"/>
    <w:rsid w:val="007B106B"/>
    <w:pPr>
      <w:pBdr>
        <w:top w:val="single" w:sz="6" w:space="2" w:color="918585"/>
        <w:bottom w:val="single" w:sz="6" w:space="2" w:color="918585"/>
      </w:pBdr>
      <w:tabs>
        <w:tab w:val="left" w:pos="1021"/>
      </w:tabs>
      <w:ind w:firstLine="0"/>
    </w:pPr>
  </w:style>
  <w:style w:type="paragraph" w:customStyle="1" w:styleId="Warning">
    <w:name w:val="Warning"/>
    <w:basedOn w:val="BodyText"/>
    <w:rsid w:val="007B106B"/>
    <w:pPr>
      <w:shd w:val="clear" w:color="auto" w:fill="D9D9D9"/>
      <w:tabs>
        <w:tab w:val="left" w:pos="992"/>
      </w:tabs>
      <w:ind w:left="119" w:right="119"/>
    </w:pPr>
    <w:rPr>
      <w:sz w:val="20"/>
    </w:rPr>
  </w:style>
  <w:style w:type="paragraph" w:customStyle="1" w:styleId="MarginIcons">
    <w:name w:val="Margin Icons"/>
    <w:basedOn w:val="BodyText"/>
    <w:rsid w:val="007B1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06B"/>
    <w:rPr>
      <w:rFonts w:ascii="Courier New" w:hAnsi="Courier New"/>
    </w:rPr>
  </w:style>
  <w:style w:type="paragraph" w:customStyle="1" w:styleId="NoteBullet">
    <w:name w:val="Note Bullet"/>
    <w:basedOn w:val="Note"/>
    <w:rsid w:val="007B106B"/>
    <w:pPr>
      <w:tabs>
        <w:tab w:val="clear" w:pos="680"/>
      </w:tabs>
      <w:spacing w:before="60" w:after="60"/>
    </w:pPr>
  </w:style>
  <w:style w:type="paragraph" w:customStyle="1" w:styleId="SubHeading2">
    <w:name w:val="SubHeading2"/>
    <w:basedOn w:val="HeadingBase"/>
    <w:rsid w:val="007B106B"/>
    <w:pPr>
      <w:spacing w:before="240" w:after="60"/>
    </w:pPr>
    <w:rPr>
      <w:sz w:val="20"/>
    </w:rPr>
  </w:style>
  <w:style w:type="paragraph" w:customStyle="1" w:styleId="SubHeading1">
    <w:name w:val="SubHeading1"/>
    <w:basedOn w:val="HeadingBase"/>
    <w:rsid w:val="007B106B"/>
    <w:pPr>
      <w:spacing w:before="240" w:after="60"/>
    </w:pPr>
    <w:rPr>
      <w:color w:val="918585"/>
      <w:sz w:val="22"/>
    </w:rPr>
  </w:style>
  <w:style w:type="paragraph" w:customStyle="1" w:styleId="SideHeading">
    <w:name w:val="Side Heading"/>
    <w:basedOn w:val="HeadingBase"/>
    <w:rsid w:val="007B1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06B"/>
    <w:pPr>
      <w:numPr>
        <w:numId w:val="12"/>
      </w:numPr>
    </w:pPr>
  </w:style>
  <w:style w:type="paragraph" w:styleId="PlainText">
    <w:name w:val="Plain Text"/>
    <w:basedOn w:val="Normal"/>
    <w:link w:val="PlainTextChar"/>
    <w:rsid w:val="007B106B"/>
    <w:rPr>
      <w:sz w:val="20"/>
    </w:rPr>
  </w:style>
  <w:style w:type="character" w:customStyle="1" w:styleId="PlainTextChar">
    <w:name w:val="Plain Text Char"/>
    <w:basedOn w:val="DefaultParagraphFont"/>
    <w:link w:val="PlainText"/>
    <w:rsid w:val="007B1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06B"/>
    <w:rPr>
      <w:b/>
      <w:smallCaps/>
    </w:rPr>
  </w:style>
  <w:style w:type="paragraph" w:customStyle="1" w:styleId="TableListNumber">
    <w:name w:val="Table List Number"/>
    <w:basedOn w:val="ListNumber"/>
    <w:rsid w:val="007B106B"/>
    <w:pPr>
      <w:numPr>
        <w:numId w:val="0"/>
      </w:numPr>
    </w:pPr>
  </w:style>
  <w:style w:type="paragraph" w:styleId="TOC4">
    <w:name w:val="toc 4"/>
    <w:basedOn w:val="TOCBase"/>
    <w:next w:val="Normal"/>
    <w:semiHidden/>
    <w:rsid w:val="007B106B"/>
    <w:pPr>
      <w:tabs>
        <w:tab w:val="right" w:leader="dot" w:pos="9071"/>
      </w:tabs>
      <w:ind w:left="1701"/>
    </w:pPr>
  </w:style>
  <w:style w:type="paragraph" w:customStyle="1" w:styleId="ListAlpha">
    <w:name w:val="List Alpha"/>
    <w:basedOn w:val="List"/>
    <w:rsid w:val="007B106B"/>
    <w:pPr>
      <w:numPr>
        <w:numId w:val="9"/>
      </w:numPr>
    </w:pPr>
  </w:style>
  <w:style w:type="paragraph" w:customStyle="1" w:styleId="ListAlpha2">
    <w:name w:val="List Alpha 2"/>
    <w:basedOn w:val="List2"/>
    <w:rsid w:val="007B106B"/>
    <w:pPr>
      <w:numPr>
        <w:numId w:val="8"/>
      </w:numPr>
    </w:pPr>
  </w:style>
  <w:style w:type="paragraph" w:styleId="List3">
    <w:name w:val="List 3"/>
    <w:basedOn w:val="BodyText"/>
    <w:rsid w:val="007B106B"/>
    <w:pPr>
      <w:tabs>
        <w:tab w:val="left" w:pos="1021"/>
      </w:tabs>
      <w:spacing w:before="60" w:after="60"/>
      <w:ind w:left="1020" w:hanging="340"/>
    </w:pPr>
  </w:style>
  <w:style w:type="paragraph" w:styleId="List4">
    <w:name w:val="List 4"/>
    <w:basedOn w:val="BodyText"/>
    <w:rsid w:val="007B106B"/>
    <w:pPr>
      <w:tabs>
        <w:tab w:val="left" w:pos="1361"/>
      </w:tabs>
      <w:spacing w:before="60" w:after="60"/>
      <w:ind w:left="1361" w:hanging="340"/>
    </w:pPr>
  </w:style>
  <w:style w:type="paragraph" w:styleId="List5">
    <w:name w:val="List 5"/>
    <w:basedOn w:val="BodyText"/>
    <w:rsid w:val="007B106B"/>
    <w:pPr>
      <w:tabs>
        <w:tab w:val="left" w:pos="1701"/>
      </w:tabs>
      <w:spacing w:before="60" w:after="60"/>
      <w:ind w:left="1701" w:hanging="340"/>
    </w:pPr>
  </w:style>
  <w:style w:type="paragraph" w:styleId="ListBullet3">
    <w:name w:val="List Bullet 3"/>
    <w:basedOn w:val="List3"/>
    <w:rsid w:val="007B106B"/>
    <w:pPr>
      <w:numPr>
        <w:numId w:val="15"/>
      </w:numPr>
      <w:tabs>
        <w:tab w:val="clear" w:pos="1021"/>
      </w:tabs>
      <w:ind w:left="1037" w:hanging="357"/>
    </w:pPr>
  </w:style>
  <w:style w:type="paragraph" w:styleId="ListBullet4">
    <w:name w:val="List Bullet 4"/>
    <w:basedOn w:val="List4"/>
    <w:rsid w:val="007B106B"/>
    <w:pPr>
      <w:numPr>
        <w:numId w:val="3"/>
      </w:numPr>
    </w:pPr>
  </w:style>
  <w:style w:type="paragraph" w:styleId="ListBullet5">
    <w:name w:val="List Bullet 5"/>
    <w:basedOn w:val="List5"/>
    <w:rsid w:val="007B106B"/>
    <w:pPr>
      <w:numPr>
        <w:numId w:val="4"/>
      </w:numPr>
    </w:pPr>
  </w:style>
  <w:style w:type="paragraph" w:styleId="ListContinue2">
    <w:name w:val="List Continue 2"/>
    <w:basedOn w:val="List2"/>
    <w:rsid w:val="007B106B"/>
    <w:pPr>
      <w:ind w:firstLine="0"/>
    </w:pPr>
  </w:style>
  <w:style w:type="paragraph" w:styleId="ListContinue3">
    <w:name w:val="List Continue 3"/>
    <w:basedOn w:val="List3"/>
    <w:rsid w:val="007B106B"/>
    <w:pPr>
      <w:ind w:left="1021" w:firstLine="0"/>
    </w:pPr>
  </w:style>
  <w:style w:type="paragraph" w:styleId="ListContinue4">
    <w:name w:val="List Continue 4"/>
    <w:basedOn w:val="List4"/>
    <w:rsid w:val="007B106B"/>
    <w:pPr>
      <w:ind w:firstLine="0"/>
    </w:pPr>
  </w:style>
  <w:style w:type="paragraph" w:styleId="ListContinue5">
    <w:name w:val="List Continue 5"/>
    <w:basedOn w:val="List5"/>
    <w:rsid w:val="007B106B"/>
    <w:pPr>
      <w:ind w:firstLine="0"/>
    </w:pPr>
  </w:style>
  <w:style w:type="paragraph" w:styleId="ListNumber3">
    <w:name w:val="List Number 3"/>
    <w:basedOn w:val="List3"/>
    <w:rsid w:val="007B106B"/>
    <w:pPr>
      <w:numPr>
        <w:numId w:val="5"/>
      </w:numPr>
    </w:pPr>
  </w:style>
  <w:style w:type="paragraph" w:styleId="ListNumber4">
    <w:name w:val="List Number 4"/>
    <w:basedOn w:val="List4"/>
    <w:rsid w:val="007B106B"/>
    <w:pPr>
      <w:numPr>
        <w:numId w:val="6"/>
      </w:numPr>
    </w:pPr>
  </w:style>
  <w:style w:type="paragraph" w:styleId="ListNumber5">
    <w:name w:val="List Number 5"/>
    <w:basedOn w:val="List5"/>
    <w:rsid w:val="007B106B"/>
    <w:pPr>
      <w:numPr>
        <w:numId w:val="7"/>
      </w:numPr>
    </w:pPr>
  </w:style>
  <w:style w:type="paragraph" w:styleId="BlockText">
    <w:name w:val="Block Text"/>
    <w:basedOn w:val="Normal"/>
    <w:rsid w:val="007B106B"/>
    <w:pPr>
      <w:spacing w:after="120"/>
      <w:ind w:left="1440" w:right="1440"/>
    </w:pPr>
  </w:style>
  <w:style w:type="character" w:customStyle="1" w:styleId="Subscript">
    <w:name w:val="Subscript"/>
    <w:basedOn w:val="DefaultParagraphFont"/>
    <w:rsid w:val="007B106B"/>
    <w:rPr>
      <w:sz w:val="16"/>
      <w:vertAlign w:val="subscript"/>
    </w:rPr>
  </w:style>
  <w:style w:type="character" w:customStyle="1" w:styleId="Superscript">
    <w:name w:val="Superscript"/>
    <w:basedOn w:val="DefaultParagraphFont"/>
    <w:rsid w:val="007B106B"/>
    <w:rPr>
      <w:sz w:val="16"/>
      <w:vertAlign w:val="superscript"/>
    </w:rPr>
  </w:style>
  <w:style w:type="character" w:customStyle="1" w:styleId="Symbols">
    <w:name w:val="Symbols"/>
    <w:basedOn w:val="DefaultParagraphFont"/>
    <w:rsid w:val="007B106B"/>
    <w:rPr>
      <w:rFonts w:ascii="Symbol" w:hAnsi="Symbol"/>
    </w:rPr>
  </w:style>
  <w:style w:type="character" w:customStyle="1" w:styleId="MenuOptions">
    <w:name w:val="Menu Options"/>
    <w:basedOn w:val="DefaultParagraphFont"/>
    <w:rsid w:val="007B106B"/>
    <w:rPr>
      <w:rFonts w:ascii="Arial Narrow" w:hAnsi="Arial Narrow"/>
      <w:smallCaps/>
    </w:rPr>
  </w:style>
  <w:style w:type="character" w:customStyle="1" w:styleId="Buttons">
    <w:name w:val="Buttons"/>
    <w:basedOn w:val="DefaultParagraphFont"/>
    <w:rsid w:val="007B106B"/>
    <w:rPr>
      <w:b/>
    </w:rPr>
  </w:style>
  <w:style w:type="character" w:customStyle="1" w:styleId="Underlined">
    <w:name w:val="Underlined"/>
    <w:basedOn w:val="DefaultParagraphFont"/>
    <w:rsid w:val="007B106B"/>
    <w:rPr>
      <w:u w:val="single"/>
    </w:rPr>
  </w:style>
  <w:style w:type="paragraph" w:customStyle="1" w:styleId="TableBodyTextRight">
    <w:name w:val="Table Body Text Right"/>
    <w:basedOn w:val="TableBodyText"/>
    <w:rsid w:val="007B106B"/>
    <w:pPr>
      <w:widowControl w:val="0"/>
      <w:autoSpaceDE w:val="0"/>
      <w:autoSpaceDN w:val="0"/>
      <w:adjustRightInd w:val="0"/>
      <w:jc w:val="right"/>
    </w:pPr>
    <w:rPr>
      <w:rFonts w:cs="Arial"/>
      <w:szCs w:val="18"/>
    </w:rPr>
  </w:style>
  <w:style w:type="paragraph" w:customStyle="1" w:styleId="CopyrightText">
    <w:name w:val="Copyright Text"/>
    <w:basedOn w:val="BodyText"/>
    <w:rsid w:val="007B106B"/>
    <w:rPr>
      <w:sz w:val="18"/>
    </w:rPr>
  </w:style>
  <w:style w:type="paragraph" w:customStyle="1" w:styleId="BodySmallRight">
    <w:name w:val="Body Small Right"/>
    <w:basedOn w:val="BodyTextRight"/>
    <w:rsid w:val="007B106B"/>
    <w:rPr>
      <w:sz w:val="18"/>
      <w:szCs w:val="18"/>
    </w:rPr>
  </w:style>
  <w:style w:type="paragraph" w:customStyle="1" w:styleId="MarginEdition">
    <w:name w:val="Margin Edition"/>
    <w:basedOn w:val="MarginNote"/>
    <w:rsid w:val="007B106B"/>
    <w:pPr>
      <w:spacing w:before="0" w:after="0"/>
    </w:pPr>
    <w:rPr>
      <w:rFonts w:ascii="Times New Roman" w:hAnsi="Times New Roman"/>
      <w:color w:val="999999"/>
    </w:rPr>
  </w:style>
  <w:style w:type="paragraph" w:customStyle="1" w:styleId="Spacer">
    <w:name w:val="Spacer"/>
    <w:basedOn w:val="Normal"/>
    <w:rsid w:val="007B106B"/>
    <w:rPr>
      <w:sz w:val="2"/>
      <w:szCs w:val="2"/>
    </w:rPr>
  </w:style>
  <w:style w:type="character" w:customStyle="1" w:styleId="Small">
    <w:name w:val="Small"/>
    <w:basedOn w:val="DefaultParagraphFont"/>
    <w:rsid w:val="007B106B"/>
    <w:rPr>
      <w:sz w:val="16"/>
    </w:rPr>
  </w:style>
  <w:style w:type="paragraph" w:customStyle="1" w:styleId="WideTable">
    <w:name w:val="Wide Table"/>
    <w:basedOn w:val="Normal"/>
    <w:rsid w:val="007B106B"/>
    <w:pPr>
      <w:ind w:left="-1418"/>
    </w:pPr>
    <w:rPr>
      <w:sz w:val="2"/>
      <w:szCs w:val="2"/>
    </w:rPr>
  </w:style>
  <w:style w:type="character" w:styleId="PageNumber">
    <w:name w:val="page number"/>
    <w:basedOn w:val="DefaultParagraphFont"/>
    <w:rsid w:val="007B106B"/>
  </w:style>
  <w:style w:type="paragraph" w:styleId="Quote">
    <w:name w:val="Quote"/>
    <w:basedOn w:val="Heading1"/>
    <w:link w:val="QuoteChar"/>
    <w:qFormat/>
    <w:rsid w:val="007B106B"/>
    <w:rPr>
      <w:b w:val="0"/>
      <w:sz w:val="72"/>
      <w:szCs w:val="72"/>
      <w:lang w:val="en-NZ"/>
    </w:rPr>
  </w:style>
  <w:style w:type="character" w:customStyle="1" w:styleId="QuoteChar">
    <w:name w:val="Quote Char"/>
    <w:basedOn w:val="DefaultParagraphFont"/>
    <w:link w:val="Quote"/>
    <w:rsid w:val="007B1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06B"/>
    <w:pPr>
      <w:pageBreakBefore/>
    </w:pPr>
  </w:style>
  <w:style w:type="paragraph" w:customStyle="1" w:styleId="Border">
    <w:name w:val="Border"/>
    <w:basedOn w:val="Normal"/>
    <w:qFormat/>
    <w:rsid w:val="007B1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06B"/>
    <w:rPr>
      <w:b/>
      <w:bCs/>
      <w:i/>
      <w:iCs/>
      <w:color w:val="auto"/>
    </w:rPr>
  </w:style>
  <w:style w:type="paragraph" w:styleId="IntenseQuote">
    <w:name w:val="Intense Quote"/>
    <w:basedOn w:val="Normal"/>
    <w:next w:val="Normal"/>
    <w:link w:val="IntenseQuoteChar"/>
    <w:uiPriority w:val="30"/>
    <w:qFormat/>
    <w:rsid w:val="007B1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06B"/>
    <w:rPr>
      <w:smallCaps/>
      <w:color w:val="auto"/>
      <w:u w:val="single"/>
    </w:rPr>
  </w:style>
  <w:style w:type="character" w:styleId="IntenseReference">
    <w:name w:val="Intense Reference"/>
    <w:basedOn w:val="DefaultParagraphFont"/>
    <w:uiPriority w:val="32"/>
    <w:qFormat/>
    <w:rsid w:val="007B106B"/>
    <w:rPr>
      <w:b/>
      <w:bCs/>
      <w:smallCaps/>
      <w:color w:val="auto"/>
      <w:spacing w:val="5"/>
      <w:u w:val="single"/>
    </w:rPr>
  </w:style>
  <w:style w:type="paragraph" w:customStyle="1" w:styleId="2ColumnHeading">
    <w:name w:val="2Column Heading"/>
    <w:basedOn w:val="BodyText"/>
    <w:qFormat/>
    <w:rsid w:val="007B106B"/>
    <w:pPr>
      <w:spacing w:after="60"/>
      <w:ind w:left="-2268"/>
    </w:pPr>
    <w:rPr>
      <w:b/>
    </w:rPr>
  </w:style>
  <w:style w:type="paragraph" w:customStyle="1" w:styleId="Heading1TOC">
    <w:name w:val="Heading1 TOC"/>
    <w:basedOn w:val="Normal"/>
    <w:qFormat/>
    <w:rsid w:val="007B106B"/>
    <w:pPr>
      <w:spacing w:before="240" w:after="120"/>
    </w:pPr>
    <w:rPr>
      <w:rFonts w:ascii="Times New Roman" w:hAnsi="Times New Roman"/>
      <w:b/>
      <w:sz w:val="32"/>
    </w:rPr>
  </w:style>
  <w:style w:type="paragraph" w:customStyle="1" w:styleId="Heading2TOC">
    <w:name w:val="Heading2 TOC"/>
    <w:basedOn w:val="Normal"/>
    <w:qFormat/>
    <w:rsid w:val="007B106B"/>
    <w:pPr>
      <w:spacing w:before="240" w:after="60"/>
    </w:pPr>
    <w:rPr>
      <w:rFonts w:ascii="Times New Roman" w:hAnsi="Times New Roman"/>
      <w:b/>
      <w:sz w:val="28"/>
    </w:rPr>
  </w:style>
  <w:style w:type="character" w:customStyle="1" w:styleId="Underline">
    <w:name w:val="Underline"/>
    <w:basedOn w:val="DefaultParagraphFont"/>
    <w:qFormat/>
    <w:rsid w:val="007B106B"/>
    <w:rPr>
      <w:u w:val="single"/>
    </w:rPr>
  </w:style>
  <w:style w:type="paragraph" w:styleId="BalloonText">
    <w:name w:val="Balloon Text"/>
    <w:basedOn w:val="Normal"/>
    <w:link w:val="BalloonTextChar"/>
    <w:rsid w:val="007B106B"/>
    <w:rPr>
      <w:rFonts w:ascii="Tahoma" w:hAnsi="Tahoma" w:cs="Tahoma"/>
      <w:sz w:val="16"/>
      <w:szCs w:val="16"/>
    </w:rPr>
  </w:style>
  <w:style w:type="character" w:customStyle="1" w:styleId="BalloonTextChar">
    <w:name w:val="Balloon Text Char"/>
    <w:basedOn w:val="DefaultParagraphFont"/>
    <w:link w:val="BalloonText"/>
    <w:rsid w:val="007B1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6268</Characters>
  <Application>Microsoft Office Word</Application>
  <DocSecurity>0</DocSecurity>
  <Lines>245</Lines>
  <Paragraphs>125</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FNSCRD502A Manage factoring and invoice discounting arrangements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